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 to 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001-34481</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Mistras Group,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291" w:type="dxa"/>
        <w:jc w:val="center"/>
        <w:tblInd w:w="0" w:type="dxa"/>
        <w:tblLayout w:type="fixed"/>
        <w:tblCellMar>
          <w:top w:w="28" w:type="dxa"/>
          <w:left w:w="28" w:type="dxa"/>
          <w:bottom w:w="28" w:type="dxa"/>
          <w:right w:w="28" w:type="dxa"/>
        </w:tblCellMar>
      </w:tblPr>
      <w:tblGrid>
        <w:gridCol w:w="686"/>
        <w:gridCol w:w="603"/>
        <w:gridCol w:w="603"/>
        <w:gridCol w:w="461"/>
        <w:gridCol w:w="461"/>
        <w:gridCol w:w="485"/>
        <w:gridCol w:w="109"/>
        <w:gridCol w:w="109"/>
        <w:gridCol w:w="109"/>
        <w:gridCol w:w="487"/>
        <w:gridCol w:w="487"/>
        <w:gridCol w:w="691"/>
      </w:tblGrid>
      <w:tr>
        <w:trPr/>
        <w:tc>
          <w:tcPr>
            <w:tcW w:w="68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22-3341267</w:t>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No.)</w:t>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195 Clarksville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 Junction,</w:t>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08550</w:t>
            </w:r>
          </w:p>
        </w:tc>
      </w:tr>
      <w:tr>
        <w:trPr/>
        <w:tc>
          <w:tcPr>
            <w:tcW w:w="329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(609) 716-4000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(Registrant’s telephone number, including area code)</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before="0" w:after="0"/>
        <w:ind w:left="0" w:right="0" w:firstLine="720"/>
        <w:jc w:val="left"/>
        <w:rPr/>
      </w:pPr>
      <w:r>
        <w:r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37" w:type="dxa"/>
        <w:jc w:val="left"/>
        <w:tblInd w:w="0" w:type="dxa"/>
        <w:tblLayout w:type="fixed"/>
        <w:tblCellMar>
          <w:top w:w="28" w:type="dxa"/>
          <w:left w:w="28" w:type="dxa"/>
          <w:bottom w:w="28" w:type="dxa"/>
          <w:right w:w="28" w:type="dxa"/>
        </w:tblCellMar>
      </w:tblPr>
      <w:tblGrid>
        <w:gridCol w:w="985"/>
        <w:gridCol w:w="867"/>
        <w:gridCol w:w="877"/>
        <w:gridCol w:w="109"/>
        <w:gridCol w:w="109"/>
        <w:gridCol w:w="109"/>
        <w:gridCol w:w="534"/>
        <w:gridCol w:w="534"/>
        <w:gridCol w:w="536"/>
        <w:gridCol w:w="109"/>
        <w:gridCol w:w="109"/>
        <w:gridCol w:w="109"/>
        <w:gridCol w:w="1095"/>
        <w:gridCol w:w="1095"/>
        <w:gridCol w:w="1560"/>
      </w:tblGrid>
      <w:tr>
        <w:trPr/>
        <w:tc>
          <w:tcPr>
            <w:tcW w:w="98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88" w:before="0" w:after="0"/>
        <w:jc w:val="right"/>
        <w:rPr/>
      </w:pP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lineRule="auto" w:line="288" w:before="0" w:after="0"/>
        <w:jc w:val="right"/>
        <w:rPr/>
      </w:pPr>
      <w:r>
        <w:rPr>
          <w:color w:val="000000"/>
        </w:rPr>
        <w:t>☒ </w:t>
      </w:r>
      <w:r>
        <w:rPr>
          <w:rFonts w:ascii="Times New Roman;serif" w:hAnsi="Times New Roman;serif"/>
          <w:b w:val="false"/>
          <w:color w:val="000000"/>
          <w:sz w:val="20"/>
        </w:rPr>
        <w:t>Yes  </w:t>
      </w: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No</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reporting company” and “emerging growth company” in Rule 12b-2 of the Exchange Act. </w:t>
      </w:r>
    </w:p>
    <w:tbl>
      <w:tblPr>
        <w:tblW w:w="7776" w:type="dxa"/>
        <w:jc w:val="left"/>
        <w:tblInd w:w="0" w:type="dxa"/>
        <w:tblLayout w:type="fixed"/>
        <w:tblCellMar>
          <w:top w:w="28" w:type="dxa"/>
          <w:left w:w="28" w:type="dxa"/>
          <w:bottom w:w="28" w:type="dxa"/>
          <w:right w:w="28" w:type="dxa"/>
        </w:tblCellMar>
      </w:tblPr>
      <w:tblGrid>
        <w:gridCol w:w="1217"/>
        <w:gridCol w:w="1071"/>
        <w:gridCol w:w="1072"/>
        <w:gridCol w:w="109"/>
        <w:gridCol w:w="109"/>
        <w:gridCol w:w="109"/>
        <w:gridCol w:w="109"/>
        <w:gridCol w:w="109"/>
        <w:gridCol w:w="109"/>
        <w:gridCol w:w="1129"/>
        <w:gridCol w:w="1129"/>
        <w:gridCol w:w="1132"/>
        <w:gridCol w:w="109"/>
        <w:gridCol w:w="109"/>
        <w:gridCol w:w="154"/>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5, 2026, the registrant had 31,849,893 shares of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4"/>
        <w:gridCol w:w="285"/>
        <w:gridCol w:w="285"/>
        <w:gridCol w:w="326"/>
        <w:gridCol w:w="285"/>
        <w:gridCol w:w="285"/>
        <w:gridCol w:w="2698"/>
        <w:gridCol w:w="2550"/>
        <w:gridCol w:w="2549"/>
        <w:gridCol w:w="180"/>
        <w:gridCol w:w="180"/>
        <w:gridCol w:w="258"/>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5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0">
              <w:r>
                <w:rPr>
                  <w:rStyle w:val="InternetLink"/>
                  <w:rFonts w:ascii="Times New Roman;serif" w:hAnsi="Times New Roman;serif"/>
                  <w:b w:val="false"/>
                  <w:color w:val="0000FF"/>
                  <w:sz w:val="20"/>
                  <w:u w:val="single"/>
                </w:rPr>
                <w:t>PART I—FINANCIAL INFORMATION</w:t>
              </w:r>
            </w:hyperlink>
          </w:p>
        </w:tc>
        <w:tc>
          <w:tcPr>
            <w:tcW w:w="61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
              <w:r>
                <w:rPr>
                  <w:rStyle w:val="InternetLink"/>
                  <w:rFonts w:ascii="Times New Roman;serif" w:hAnsi="Times New Roman;serif"/>
                  <w:b w:val="false"/>
                  <w:color w:val="0000FF"/>
                  <w:sz w:val="20"/>
                  <w:u w:val="single"/>
                </w:rPr>
                <w:t>ITEM 1.</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
              <w:r>
                <w:rPr>
                  <w:rStyle w:val="InternetLink"/>
                  <w:rFonts w:ascii="Times New Roman;serif" w:hAnsi="Times New Roman;serif"/>
                  <w:b w:val="false"/>
                  <w:color w:val="0000FF"/>
                  <w:sz w:val="20"/>
                  <w:u w:val="single"/>
                </w:rPr>
                <w:t>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3">
              <w:r>
                <w:rPr>
                  <w:rStyle w:val="InternetLink"/>
                  <w:rFonts w:ascii="Times New Roman;serif" w:hAnsi="Times New Roman;serif"/>
                  <w:b w:val="false"/>
                  <w:color w:val="0000FF"/>
                  <w:sz w:val="20"/>
                  <w:u w:val="single"/>
                </w:rPr>
                <w:t>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6">
              <w:r>
                <w:rPr>
                  <w:rStyle w:val="InternetLink"/>
                  <w:rFonts w:ascii="Times New Roman;serif" w:hAnsi="Times New Roman;serif"/>
                  <w:b w:val="false"/>
                  <w:color w:val="000080"/>
                  <w:sz w:val="20"/>
                  <w:u w:val="single"/>
                </w:rPr>
                <w:t xml:space="preserve">Unaudited Condensed Consolidated Balance Sheets as of </w:t>
              </w:r>
            </w:hyperlink>
            <w:r>
              <w:rPr>
                <w:rFonts w:ascii="Times New Roman;serif" w:hAnsi="Times New Roman;serif"/>
                <w:b w:val="false"/>
                <w:color w:val="0E32E1"/>
                <w:sz w:val="20"/>
                <w:u w:val="single"/>
              </w:rPr>
              <w:t>June 30, 2026</w:t>
            </w:r>
            <w:hyperlink w:anchor="ie7e7ee8d4fe6449e8099231f929eb506_16">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December 31,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6">
              <w:r>
                <w:rPr>
                  <w:rStyle w:val="InternetLink"/>
                  <w:rFonts w:ascii="Times New Roman;serif" w:hAnsi="Times New Roman;serif"/>
                  <w:b w:val="false"/>
                  <w:color w:val="0000FF"/>
                  <w:sz w:val="20"/>
                  <w:u w:val="single"/>
                </w:rPr>
                <w:t>1</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9">
              <w:r>
                <w:rPr>
                  <w:rStyle w:val="InternetLink"/>
                  <w:rFonts w:ascii="Times New Roman;serif" w:hAnsi="Times New Roman;serif"/>
                  <w:b w:val="false"/>
                  <w:color w:val="000080"/>
                  <w:sz w:val="20"/>
                  <w:u w:val="single"/>
                </w:rPr>
                <w:t>Unaudited Condensed Consolidated Statements of Income</w:t>
              </w:r>
            </w:hyperlink>
            <w:hyperlink w:anchor="ie7e7ee8d4fe6449e8099231f929eb506_19">
              <w:r>
                <w:rPr>
                  <w:rStyle w:val="InternetLink"/>
                  <w:rFonts w:ascii="Times New Roman;serif" w:hAnsi="Times New Roman;serif"/>
                  <w:b w:val="false"/>
                  <w:color w:val="000080"/>
                  <w:sz w:val="20"/>
                  <w:u w:val="single"/>
                </w:rPr>
                <w:t xml:space="preserve"> (Loss)</w:t>
              </w:r>
            </w:hyperlink>
            <w:hyperlink w:anchor="ie7e7ee8d4fe6449e8099231f929eb506_19">
              <w:r>
                <w:rPr>
                  <w:rStyle w:val="InternetLink"/>
                  <w:rFonts w:ascii="Times New Roman;serif" w:hAnsi="Times New Roman;serif"/>
                  <w:b w:val="false"/>
                  <w:color w:val="000080"/>
                  <w:sz w:val="20"/>
                  <w:u w:val="single"/>
                </w:rPr>
                <w:t xml:space="preserve"> for the </w:t>
              </w:r>
            </w:hyperlink>
            <w:r>
              <w:rPr>
                <w:rFonts w:ascii="Times New Roman;serif" w:hAnsi="Times New Roman;serif"/>
                <w:b w:val="false"/>
                <w:color w:val="0E32E1"/>
                <w:sz w:val="20"/>
                <w:u w:val="single"/>
              </w:rPr>
              <w:t>three and six months ended June 30, 2026</w:t>
            </w:r>
            <w:hyperlink w:anchor="ie7e7ee8d4fe6449e8099231f929eb506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9">
              <w:r>
                <w:rPr>
                  <w:rStyle w:val="InternetLink"/>
                  <w:rFonts w:ascii="Times New Roman;serif" w:hAnsi="Times New Roman;serif"/>
                  <w:b w:val="false"/>
                  <w:color w:val="0000FF"/>
                  <w:sz w:val="20"/>
                  <w:u w:val="single"/>
                </w:rPr>
                <w:t>2</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22">
              <w:r>
                <w:rPr>
                  <w:rStyle w:val="InternetLink"/>
                  <w:rFonts w:ascii="Times New Roman;serif" w:hAnsi="Times New Roman;serif"/>
                  <w:b w:val="false"/>
                  <w:color w:val="000080"/>
                  <w:sz w:val="20"/>
                  <w:u w:val="single"/>
                </w:rPr>
                <w:t>Unaudited Condensed Consolidated Statements of Comprehensive Income</w:t>
              </w:r>
            </w:hyperlink>
            <w:hyperlink w:anchor="ie7e7ee8d4fe6449e8099231f929eb506_22">
              <w:r>
                <w:rPr>
                  <w:rStyle w:val="InternetLink"/>
                  <w:rFonts w:ascii="Times New Roman;serif" w:hAnsi="Times New Roman;serif"/>
                  <w:b w:val="false"/>
                  <w:color w:val="000080"/>
                  <w:sz w:val="20"/>
                  <w:u w:val="single"/>
                </w:rPr>
                <w:t xml:space="preserve"> </w:t>
              </w:r>
            </w:hyperlink>
            <w:hyperlink w:anchor="ie7e7ee8d4fe6449e8099231f929eb506_22">
              <w:r>
                <w:rPr>
                  <w:rStyle w:val="InternetLink"/>
                  <w:rFonts w:ascii="Times New Roman;serif" w:hAnsi="Times New Roman;serif"/>
                  <w:b w:val="false"/>
                  <w:color w:val="000080"/>
                  <w:sz w:val="20"/>
                  <w:u w:val="single"/>
                </w:rPr>
                <w:t>for the</w:t>
              </w:r>
            </w:hyperlink>
            <w:r>
              <w:rPr>
                <w:rFonts w:ascii="Times New Roman;serif" w:hAnsi="Times New Roman;serif"/>
                <w:b w:val="false"/>
                <w:color w:val="0E32E1"/>
                <w:sz w:val="20"/>
                <w:u w:val="single"/>
              </w:rPr>
              <w:t xml:space="preserve"> three and six months ended June 30, 2026</w:t>
            </w:r>
            <w:hyperlink w:anchor="ie7e7ee8d4fe6449e8099231f929eb506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22">
              <w:r>
                <w:rPr>
                  <w:rStyle w:val="InternetLink"/>
                  <w:rFonts w:ascii="Times New Roman;serif" w:hAnsi="Times New Roman;serif"/>
                  <w:b w:val="false"/>
                  <w:color w:val="0000FF"/>
                  <w:sz w:val="20"/>
                  <w:u w:val="single"/>
                </w:rPr>
                <w:t>3</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25">
              <w:r>
                <w:rPr>
                  <w:rStyle w:val="InternetLink"/>
                  <w:rFonts w:ascii="Times New Roman;serif" w:hAnsi="Times New Roman;serif"/>
                  <w:b w:val="false"/>
                  <w:color w:val="000080"/>
                  <w:sz w:val="20"/>
                  <w:u w:val="single"/>
                </w:rPr>
                <w:t>Unaudited Condensed Consolidated Statements of Equity for the</w:t>
              </w:r>
            </w:hyperlink>
            <w:r>
              <w:rPr>
                <w:rFonts w:ascii="Times New Roman;serif" w:hAnsi="Times New Roman;serif"/>
                <w:b w:val="false"/>
                <w:color w:val="0E32E1"/>
                <w:sz w:val="20"/>
                <w:u w:val="single"/>
              </w:rPr>
              <w:t xml:space="preserve"> three and six months ended June 30, 2026</w:t>
            </w:r>
            <w:hyperlink w:anchor="ie7e7ee8d4fe6449e8099231f929eb506_25">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E32E1"/>
                <w:sz w:val="20"/>
                <w:u w:val="single"/>
              </w:rPr>
              <w:t>June 30,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25">
              <w:r>
                <w:rPr>
                  <w:rStyle w:val="InternetLink"/>
                  <w:rFonts w:ascii="Times New Roman;serif" w:hAnsi="Times New Roman;serif"/>
                  <w:b w:val="false"/>
                  <w:color w:val="0000FF"/>
                  <w:sz w:val="20"/>
                  <w:u w:val="single"/>
                </w:rPr>
                <w:t>4</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34">
              <w:r>
                <w:rPr>
                  <w:rStyle w:val="InternetLink"/>
                  <w:rFonts w:ascii="Times New Roman;serif" w:hAnsi="Times New Roman;serif"/>
                  <w:b w:val="false"/>
                  <w:color w:val="000080"/>
                  <w:sz w:val="20"/>
                  <w:u w:val="single"/>
                </w:rPr>
                <w:t xml:space="preserve">Unaudited Condensed Consolidated Statements of Cash Flows for the </w:t>
              </w:r>
            </w:hyperlink>
            <w:r>
              <w:rPr>
                <w:rFonts w:ascii="Times New Roman;serif" w:hAnsi="Times New Roman;serif"/>
                <w:b w:val="false"/>
                <w:color w:val="0E32E1"/>
                <w:sz w:val="20"/>
                <w:u w:val="single"/>
              </w:rPr>
              <w:t>six months ended June 30, 2026 and June 30, 2025</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34">
              <w:r>
                <w:rPr>
                  <w:rStyle w:val="InternetLink"/>
                  <w:rFonts w:ascii="Times New Roman;serif" w:hAnsi="Times New Roman;serif"/>
                  <w:b w:val="false"/>
                  <w:color w:val="0000FF"/>
                  <w:sz w:val="20"/>
                  <w:u w:val="single"/>
                </w:rPr>
                <w:t>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37">
              <w:r>
                <w:rPr>
                  <w:rStyle w:val="InternetLink"/>
                  <w:rFonts w:ascii="Times New Roman;serif" w:hAnsi="Times New Roman;serif"/>
                  <w:b w:val="false"/>
                  <w:color w:val="0000FF"/>
                  <w:sz w:val="20"/>
                  <w:u w:val="single"/>
                </w:rPr>
                <w:t>Notes to Unaudited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37">
              <w:r>
                <w:rPr>
                  <w:rStyle w:val="InternetLink"/>
                  <w:rFonts w:ascii="Times New Roman;serif" w:hAnsi="Times New Roman;serif"/>
                  <w:b w:val="false"/>
                  <w:color w:val="0000FF"/>
                  <w:sz w:val="20"/>
                  <w:u w:val="single"/>
                </w:rPr>
                <w:t>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94">
              <w:r>
                <w:rPr>
                  <w:rStyle w:val="InternetLink"/>
                  <w:rFonts w:ascii="Times New Roman;serif" w:hAnsi="Times New Roman;serif"/>
                  <w:b w:val="false"/>
                  <w:color w:val="0000FF"/>
                  <w:sz w:val="20"/>
                  <w:u w:val="single"/>
                </w:rPr>
                <w:t>ITEM 2.</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94">
              <w:r>
                <w:rPr>
                  <w:rStyle w:val="InternetLink"/>
                  <w:rFonts w:ascii="Times New Roman;serif" w:hAnsi="Times New Roman;serif"/>
                  <w:b w:val="false"/>
                  <w:color w:val="0000FF"/>
                  <w:sz w:val="20"/>
                  <w:u w:val="single"/>
                </w:rPr>
                <w:t>25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15">
              <w:r>
                <w:rPr>
                  <w:rStyle w:val="InternetLink"/>
                  <w:rFonts w:ascii="Times New Roman;serif" w:hAnsi="Times New Roman;serif"/>
                  <w:b w:val="false"/>
                  <w:color w:val="0000FF"/>
                  <w:sz w:val="20"/>
                  <w:u w:val="single"/>
                </w:rPr>
                <w:t>ITEM 3.</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15">
              <w:r>
                <w:rPr>
                  <w:rStyle w:val="InternetLink"/>
                  <w:rFonts w:ascii="Times New Roman;serif" w:hAnsi="Times New Roman;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15">
              <w:r>
                <w:rPr>
                  <w:rStyle w:val="InternetLink"/>
                  <w:rFonts w:ascii="Times New Roman;serif" w:hAnsi="Times New Roman;serif"/>
                  <w:b w:val="false"/>
                  <w:color w:val="0000FF"/>
                  <w:sz w:val="20"/>
                  <w:u w:val="single"/>
                </w:rPr>
                <w:t>35</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18">
              <w:r>
                <w:rPr>
                  <w:rStyle w:val="InternetLink"/>
                  <w:rFonts w:ascii="Times New Roman;serif" w:hAnsi="Times New Roman;serif"/>
                  <w:b w:val="false"/>
                  <w:color w:val="0000FF"/>
                  <w:sz w:val="20"/>
                  <w:u w:val="single"/>
                </w:rPr>
                <w:t>ITEM 4</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18">
              <w:r>
                <w:rPr>
                  <w:rStyle w:val="InternetLink"/>
                  <w:rFonts w:ascii="Times New Roman;serif" w:hAnsi="Times New Roman;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18">
              <w:r>
                <w:rPr>
                  <w:rStyle w:val="InternetLink"/>
                  <w:rFonts w:ascii="Times New Roman;serif" w:hAnsi="Times New Roman;serif"/>
                  <w:b w:val="false"/>
                  <w:color w:val="0000FF"/>
                  <w:sz w:val="20"/>
                  <w:u w:val="single"/>
                </w:rPr>
                <w:t>35</w:t>
              </w:r>
            </w:hyperlink>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21">
              <w:r>
                <w:rPr>
                  <w:rStyle w:val="InternetLink"/>
                  <w:rFonts w:ascii="Times New Roman;serif" w:hAnsi="Times New Roman;serif"/>
                  <w:b w:val="false"/>
                  <w:color w:val="0000FF"/>
                  <w:sz w:val="20"/>
                  <w:u w:val="single"/>
                </w:rPr>
                <w:t>PART II—OTHER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24">
              <w:r>
                <w:rPr>
                  <w:rStyle w:val="InternetLink"/>
                  <w:rFonts w:ascii="Times New Roman;serif" w:hAnsi="Times New Roman;serif"/>
                  <w:b w:val="false"/>
                  <w:color w:val="0000FF"/>
                  <w:sz w:val="20"/>
                  <w:u w:val="single"/>
                </w:rPr>
                <w:t>ITEM 1.</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24">
              <w:r>
                <w:rPr>
                  <w:rStyle w:val="InternetLink"/>
                  <w:rFonts w:ascii="Times New Roman;serif" w:hAnsi="Times New Roman;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24">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27">
              <w:r>
                <w:rPr>
                  <w:rStyle w:val="InternetLink"/>
                  <w:rFonts w:ascii="Times New Roman;serif" w:hAnsi="Times New Roman;serif"/>
                  <w:b w:val="false"/>
                  <w:color w:val="0000FF"/>
                  <w:sz w:val="20"/>
                  <w:u w:val="single"/>
                </w:rPr>
                <w:t>ITEM 1.A.</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27">
              <w:r>
                <w:rPr>
                  <w:rStyle w:val="InternetLink"/>
                  <w:rFonts w:ascii="Times New Roman;serif" w:hAnsi="Times New Roman;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27">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0">
              <w:r>
                <w:rPr>
                  <w:rStyle w:val="InternetLink"/>
                  <w:rFonts w:ascii="Times New Roman;serif" w:hAnsi="Times New Roman;serif"/>
                  <w:b w:val="false"/>
                  <w:color w:val="0000FF"/>
                  <w:sz w:val="20"/>
                  <w:u w:val="single"/>
                </w:rPr>
                <w:t>ITEM 2.</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0">
              <w:r>
                <w:rPr>
                  <w:rStyle w:val="InternetLink"/>
                  <w:rFonts w:ascii="Times New Roman;serif" w:hAnsi="Times New Roman;serif"/>
                  <w:b w:val="false"/>
                  <w:color w:val="0000FF"/>
                  <w:sz w:val="20"/>
                  <w:u w:val="single"/>
                </w:rPr>
                <w:t>Unregistered Sales of Equity Securities and Use of Proceeds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30">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3">
              <w:r>
                <w:rPr>
                  <w:rStyle w:val="InternetLink"/>
                  <w:rFonts w:ascii="Times New Roman;serif" w:hAnsi="Times New Roman;serif"/>
                  <w:b w:val="false"/>
                  <w:color w:val="0000FF"/>
                  <w:sz w:val="20"/>
                  <w:u w:val="single"/>
                </w:rPr>
                <w:t>ITEM 3.</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3">
              <w:r>
                <w:rPr>
                  <w:rStyle w:val="InternetLink"/>
                  <w:rFonts w:ascii="Times New Roman;serif" w:hAnsi="Times New Roman;serif"/>
                  <w:b w:val="false"/>
                  <w:color w:val="0000FF"/>
                  <w:sz w:val="20"/>
                  <w:u w:val="single"/>
                </w:rPr>
                <w:t>Defaults Upon Senior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33">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6">
              <w:r>
                <w:rPr>
                  <w:rStyle w:val="InternetLink"/>
                  <w:rFonts w:ascii="Times New Roman;serif" w:hAnsi="Times New Roman;serif"/>
                  <w:b w:val="false"/>
                  <w:color w:val="0000FF"/>
                  <w:sz w:val="20"/>
                  <w:u w:val="single"/>
                </w:rPr>
                <w:t>ITEM 4.</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6">
              <w:r>
                <w:rPr>
                  <w:rStyle w:val="InternetLink"/>
                  <w:rFonts w:ascii="Times New Roman;serif" w:hAnsi="Times New Roman;serif"/>
                  <w:b w:val="false"/>
                  <w:color w:val="0000FF"/>
                  <w:sz w:val="20"/>
                  <w:u w:val="single"/>
                </w:rPr>
                <w:t>Mine Safety Disclosures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36">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9">
              <w:r>
                <w:rPr>
                  <w:rStyle w:val="InternetLink"/>
                  <w:rFonts w:ascii="Times New Roman;serif" w:hAnsi="Times New Roman;serif"/>
                  <w:b w:val="false"/>
                  <w:color w:val="0000FF"/>
                  <w:sz w:val="20"/>
                  <w:u w:val="single"/>
                </w:rPr>
                <w:t>ITEM 5.</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39">
              <w:r>
                <w:rPr>
                  <w:rStyle w:val="InternetLink"/>
                  <w:rFonts w:ascii="Times New Roman;serif" w:hAnsi="Times New Roman;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39">
              <w:r>
                <w:rPr>
                  <w:rStyle w:val="InternetLink"/>
                  <w:rFonts w:ascii="Times New Roman;serif" w:hAnsi="Times New Roman;serif"/>
                  <w:b w:val="false"/>
                  <w:color w:val="0000FF"/>
                  <w:sz w:val="20"/>
                  <w:u w:val="single"/>
                </w:rPr>
                <w:t>36</w:t>
              </w:r>
            </w:hyperlink>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42">
              <w:r>
                <w:rPr>
                  <w:rStyle w:val="InternetLink"/>
                  <w:rFonts w:ascii="Times New Roman;serif" w:hAnsi="Times New Roman;serif"/>
                  <w:b w:val="false"/>
                  <w:color w:val="0000FF"/>
                  <w:sz w:val="20"/>
                  <w:u w:val="single"/>
                </w:rPr>
                <w:t>ITEM 6.</w:t>
              </w:r>
            </w:hyperlink>
          </w:p>
        </w:tc>
        <w:tc>
          <w:tcPr>
            <w:tcW w:w="7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42">
              <w:r>
                <w:rPr>
                  <w:rStyle w:val="InternetLink"/>
                  <w:rFonts w:ascii="Times New Roman;serif" w:hAnsi="Times New Roman;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42">
              <w:r>
                <w:rPr>
                  <w:rStyle w:val="InternetLink"/>
                  <w:rFonts w:ascii="Times New Roman;serif" w:hAnsi="Times New Roman;serif"/>
                  <w:b w:val="false"/>
                  <w:color w:val="0000FF"/>
                  <w:sz w:val="20"/>
                  <w:u w:val="single"/>
                </w:rPr>
                <w:t>38</w:t>
              </w:r>
            </w:hyperlink>
          </w:p>
        </w:tc>
      </w:tr>
      <w:tr>
        <w:trPr/>
        <w:tc>
          <w:tcPr>
            <w:tcW w:w="958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e7e7ee8d4fe6449e8099231f929eb506_145">
              <w:r>
                <w:rPr>
                  <w:rStyle w:val="InternetLink"/>
                  <w:rFonts w:ascii="Times New Roman;serif" w:hAnsi="Times New Roman;serif"/>
                  <w:b w:val="false"/>
                  <w:color w:val="0000FF"/>
                  <w:sz w:val="20"/>
                  <w:u w:val="singl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e7ee8d4fe6449e8099231f929eb506_145">
              <w:r>
                <w:rPr>
                  <w:rStyle w:val="InternetLink"/>
                  <w:rFonts w:ascii="Times New Roman;serif" w:hAnsi="Times New Roman;serif"/>
                  <w:b w:val="false"/>
                  <w:color w:val="0000FF"/>
                  <w:sz w:val="20"/>
                  <w:u w:val="single"/>
                </w:rPr>
                <w:t>39</w:t>
              </w:r>
            </w:hyperlink>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Condensed Consolidated Balance Sheets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in thousands, except share and per share data</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2741"/>
        <w:gridCol w:w="2286"/>
        <w:gridCol w:w="2273"/>
        <w:gridCol w:w="211"/>
        <w:gridCol w:w="826"/>
        <w:gridCol w:w="109"/>
        <w:gridCol w:w="109"/>
        <w:gridCol w:w="109"/>
        <w:gridCol w:w="109"/>
        <w:gridCol w:w="253"/>
        <w:gridCol w:w="992"/>
        <w:gridCol w:w="187"/>
      </w:tblGrid>
      <w:tr>
        <w:trPr/>
        <w:tc>
          <w:tcPr>
            <w:tcW w:w="2741"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216,192 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578,781 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14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finance lease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124,308 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finance leases,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35,081 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343,136 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10,000,000 shares authorized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200,000,000 shares authorized, 31,853,713 and 31,567,434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256,863 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earnings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Mistras Group, Inc. stockholders’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235,104 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235,645 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578,781 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Income (Loss)</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in thousands, except per share data</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609"/>
        <w:gridCol w:w="129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5"/>
      </w:tblGrid>
      <w:tr>
        <w:trPr/>
        <w:tc>
          <w:tcPr>
            <w:tcW w:w="16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engineering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operations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provision (benefit)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Mistras Group,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Comprehensive Income</w:t>
      </w:r>
    </w:p>
    <w:p>
      <w:pPr>
        <w:pStyle w:val="TextBody"/>
        <w:bidi w:val="0"/>
        <w:spacing w:lineRule="auto" w:line="288" w:before="0" w:after="0"/>
        <w:jc w:val="center"/>
        <w:rPr/>
      </w:pPr>
      <w:r>
        <w:rPr>
          <w:rFonts w:ascii="Times New Roman;serif" w:hAnsi="Times New Roman;serif"/>
          <w:b w:val="false"/>
          <w:i/>
          <w:color w:val="000000"/>
          <w:sz w:val="20"/>
        </w:rPr>
        <w:t>(in thousands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74"/>
        <w:gridCol w:w="1540"/>
        <w:gridCol w:w="1481"/>
        <w:gridCol w:w="211"/>
        <w:gridCol w:w="666"/>
        <w:gridCol w:w="109"/>
        <w:gridCol w:w="109"/>
        <w:gridCol w:w="109"/>
        <w:gridCol w:w="109"/>
        <w:gridCol w:w="211"/>
        <w:gridCol w:w="721"/>
        <w:gridCol w:w="109"/>
        <w:gridCol w:w="109"/>
        <w:gridCol w:w="109"/>
        <w:gridCol w:w="109"/>
        <w:gridCol w:w="211"/>
        <w:gridCol w:w="666"/>
        <w:gridCol w:w="109"/>
        <w:gridCol w:w="109"/>
        <w:gridCol w:w="109"/>
        <w:gridCol w:w="109"/>
        <w:gridCol w:w="211"/>
        <w:gridCol w:w="721"/>
        <w:gridCol w:w="109"/>
        <w:gridCol w:w="109"/>
        <w:gridCol w:w="109"/>
        <w:gridCol w:w="157"/>
      </w:tblGrid>
      <w:tr>
        <w:trPr/>
        <w:tc>
          <w:tcPr>
            <w:tcW w:w="177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8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14,865 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 adjustments attributable to noncontrolling interests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Mistras Group,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Equity</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in thousands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558" w:type="dxa"/>
        <w:jc w:val="center"/>
        <w:tblInd w:w="0" w:type="dxa"/>
        <w:tblLayout w:type="fixed"/>
        <w:tblCellMar>
          <w:top w:w="28" w:type="dxa"/>
          <w:left w:w="28" w:type="dxa"/>
          <w:bottom w:w="28" w:type="dxa"/>
          <w:right w:w="28" w:type="dxa"/>
        </w:tblCellMar>
      </w:tblPr>
      <w:tblGrid>
        <w:gridCol w:w="607"/>
        <w:gridCol w:w="191"/>
        <w:gridCol w:w="193"/>
        <w:gridCol w:w="270"/>
        <w:gridCol w:w="271"/>
        <w:gridCol w:w="171"/>
        <w:gridCol w:w="109"/>
        <w:gridCol w:w="109"/>
        <w:gridCol w:w="109"/>
        <w:gridCol w:w="181"/>
        <w:gridCol w:w="361"/>
        <w:gridCol w:w="109"/>
        <w:gridCol w:w="109"/>
        <w:gridCol w:w="109"/>
        <w:gridCol w:w="109"/>
        <w:gridCol w:w="181"/>
        <w:gridCol w:w="616"/>
        <w:gridCol w:w="109"/>
        <w:gridCol w:w="109"/>
        <w:gridCol w:w="109"/>
        <w:gridCol w:w="109"/>
        <w:gridCol w:w="181"/>
        <w:gridCol w:w="581"/>
        <w:gridCol w:w="109"/>
        <w:gridCol w:w="109"/>
        <w:gridCol w:w="109"/>
        <w:gridCol w:w="109"/>
        <w:gridCol w:w="212"/>
        <w:gridCol w:w="651"/>
        <w:gridCol w:w="128"/>
        <w:gridCol w:w="109"/>
        <w:gridCol w:w="109"/>
        <w:gridCol w:w="109"/>
        <w:gridCol w:w="203"/>
        <w:gridCol w:w="694"/>
        <w:gridCol w:w="124"/>
        <w:gridCol w:w="109"/>
        <w:gridCol w:w="109"/>
        <w:gridCol w:w="109"/>
        <w:gridCol w:w="296"/>
        <w:gridCol w:w="591"/>
        <w:gridCol w:w="179"/>
        <w:gridCol w:w="109"/>
        <w:gridCol w:w="109"/>
        <w:gridCol w:w="109"/>
        <w:gridCol w:w="181"/>
        <w:gridCol w:w="616"/>
        <w:gridCol w:w="109"/>
        <w:gridCol w:w="154"/>
      </w:tblGrid>
      <w:tr>
        <w:trPr/>
        <w:tc>
          <w:tcPr>
            <w:tcW w:w="6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Mistras Group,</w:t>
              <w:br/>
              <w:t>Inc.</w:t>
              <w:b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31,817 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233,228 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payments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settlement of restricted stock units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31,854 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258,838 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(36,387)</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239,963 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31,326 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(40,200)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198,665 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199,001 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11,857 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payments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5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31,538 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253,879 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(28,343)</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215,848 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216,175 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10618" w:type="dxa"/>
        <w:jc w:val="center"/>
        <w:tblInd w:w="0" w:type="dxa"/>
        <w:tblLayout w:type="fixed"/>
        <w:tblCellMar>
          <w:top w:w="28" w:type="dxa"/>
          <w:left w:w="28" w:type="dxa"/>
          <w:bottom w:w="28" w:type="dxa"/>
          <w:right w:w="28" w:type="dxa"/>
        </w:tblCellMar>
      </w:tblPr>
      <w:tblGrid>
        <w:gridCol w:w="476"/>
        <w:gridCol w:w="287"/>
        <w:gridCol w:w="288"/>
        <w:gridCol w:w="270"/>
        <w:gridCol w:w="271"/>
        <w:gridCol w:w="171"/>
        <w:gridCol w:w="109"/>
        <w:gridCol w:w="109"/>
        <w:gridCol w:w="109"/>
        <w:gridCol w:w="181"/>
        <w:gridCol w:w="361"/>
        <w:gridCol w:w="109"/>
        <w:gridCol w:w="109"/>
        <w:gridCol w:w="109"/>
        <w:gridCol w:w="109"/>
        <w:gridCol w:w="181"/>
        <w:gridCol w:w="616"/>
        <w:gridCol w:w="109"/>
        <w:gridCol w:w="109"/>
        <w:gridCol w:w="109"/>
        <w:gridCol w:w="109"/>
        <w:gridCol w:w="181"/>
        <w:gridCol w:w="581"/>
        <w:gridCol w:w="109"/>
        <w:gridCol w:w="109"/>
        <w:gridCol w:w="109"/>
        <w:gridCol w:w="109"/>
        <w:gridCol w:w="212"/>
        <w:gridCol w:w="651"/>
        <w:gridCol w:w="128"/>
        <w:gridCol w:w="109"/>
        <w:gridCol w:w="109"/>
        <w:gridCol w:w="109"/>
        <w:gridCol w:w="203"/>
        <w:gridCol w:w="694"/>
        <w:gridCol w:w="124"/>
        <w:gridCol w:w="109"/>
        <w:gridCol w:w="109"/>
        <w:gridCol w:w="109"/>
        <w:gridCol w:w="296"/>
        <w:gridCol w:w="591"/>
        <w:gridCol w:w="179"/>
        <w:gridCol w:w="109"/>
        <w:gridCol w:w="109"/>
        <w:gridCol w:w="109"/>
        <w:gridCol w:w="181"/>
        <w:gridCol w:w="616"/>
        <w:gridCol w:w="109"/>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earnings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Mistras Group,</w:t>
              <w:br/>
              <w:t>Inc.</w:t>
              <w:br/>
              <w:t>stockholders’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(29,111)</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235,104 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(7,276)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payments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 to non-controlling interests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settlement of restricted stock units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31,854 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258,838 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(36,387)</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239,963 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240,176 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(42,682)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198,568 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198,895 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net of tax</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14,339 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payments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settlement of restricted stock units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54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31,538 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253,879 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(10,153)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(28,343)</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215,848 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216,175 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hyperlink w:anchor="ie7e7ee8d4fe6449e8099231f929eb506_7">
        <w:r>
          <w:rPr>
            <w:rStyle w:val="InternetLink"/>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8379" w:type="dxa"/>
        <w:jc w:val="center"/>
        <w:tblInd w:w="0" w:type="dxa"/>
        <w:tblLayout w:type="fixed"/>
        <w:tblCellMar>
          <w:top w:w="28" w:type="dxa"/>
          <w:left w:w="28" w:type="dxa"/>
          <w:bottom w:w="28" w:type="dxa"/>
          <w:right w:w="28" w:type="dxa"/>
        </w:tblCellMar>
      </w:tblPr>
      <w:tblGrid>
        <w:gridCol w:w="2211"/>
        <w:gridCol w:w="1944"/>
        <w:gridCol w:w="1950"/>
        <w:gridCol w:w="196"/>
        <w:gridCol w:w="646"/>
        <w:gridCol w:w="109"/>
        <w:gridCol w:w="109"/>
        <w:gridCol w:w="109"/>
        <w:gridCol w:w="109"/>
        <w:gridCol w:w="196"/>
        <w:gridCol w:w="646"/>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provision for troubled customers, net of recoveries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effect of acquisitions and dispositions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(3,619)</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(11,416)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finance lease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long-term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revolver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Taxes paid related to net share settlement of share-based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in) provided by financing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paid</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net of refunds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Equipment acquired through finance lease obligations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 included in accounts payable and accrued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Mistras Group, Inc., together with its subsidiaries (the "Company"), is a global leader in technology-enabled industrial asset integrity solutions, serving critical industries including oil &amp; gas, aerospace &amp; defense, power &amp; utilities, manufacturing, and civil infrastructure.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core capabilities include NDT field inspections enhanced by advanced robotics, laboratory quality control, laboratory materials services, shop laboratory assurance testing, sensing technologies and NDT equipment, asset and mechanical integrity engineering services, and light mechanical maintenance and access services.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three operating segments. Our segments are as follows: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 xml:space="preserve">North America: </w:t>
      </w:r>
      <w:r>
        <w:rPr>
          <w:rFonts w:ascii="Times New Roman;serif" w:hAnsi="Times New Roman;serif"/>
          <w:b w:val="false"/>
          <w:color w:val="000000"/>
          <w:sz w:val="20"/>
        </w:rPr>
        <w:t>This segment provides asset protection solutions predominantly in North America, 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This segment 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Products and Systems:</w:t>
      </w:r>
      <w:r>
        <w:rPr>
          <w:color w:val="000000"/>
        </w:rPr>
        <w:t xml:space="preserve"> </w:t>
      </w:r>
      <w:r>
        <w:rPr>
          <w:rFonts w:ascii="Times New Roman;serif" w:hAnsi="Times New Roman;serif"/>
          <w:b w:val="false"/>
          <w:color w:val="000000"/>
          <w:sz w:val="20"/>
        </w:rPr>
        <w:t xml:space="preserve">This segment designs, manufactures, sells, installs and services the Company’s asset protection products and systems, including equipment and instrumentation, predominantly in the United States.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Developments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On August 5, 2026, the Company entered into an amendment (the “Amendment”) to its Credit Agreement with the lenders party thereto and JPMorgan Chase Bank, N.A., as administrative agent. The Amendment extended the maturity date of the revolving credit facility and term loan under the Credit Agreement from July 30, 2027 to July 28, 2028. The terms related to the Amendment are described in Note 15 - </w:t>
      </w:r>
      <w:r>
        <w:rPr>
          <w:rFonts w:ascii="Times New Roman;serif" w:hAnsi="Times New Roman;serif"/>
          <w:b/>
          <w:i/>
          <w:color w:val="000000"/>
          <w:sz w:val="20"/>
        </w:rPr>
        <w:t>Subsequent Events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trade landscape continues to be highly volatile. During 2025, the U.S. government implemented a series of trade tariffs on goods imported into the U.S. from various countries, many of which prompted reciprocal tariffs and other trade measures affecting U.S. exports. The ongoing tariff environment remains complex and continues to evolve as legal proceedings and trade negotiations progress. In February 2026, the U.S. Supreme Court ruled that the International Emergency Economic Powers Act ("IEEPA"), which the U.S. government relied upon to impose certain tariffs, does not authorize the imposition of tariffs. Following that decision, the U.S. Court of International Trade directed the U.S. Customs and Border Protection ("CBP") to begin processing refunds of previously collected IEEPA tariffs, and during the second quarter of 2026, CBP commenced accepting and processing refund claims. In response to the U.S. Supreme Court's ruling, the U.S. administration implemented replacement tariffs under alternative statutory authorities, including Section 122 of the Trade Act of 1974, while also pursuing additional tariff actions under other existing trade authorities. Certain of these replacement tariffs have also been challenged in court, and the related litigation remains ongoing. On July 24, 2026, the U.S. administration announced the implementation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tariffs ranging from 10% to 12.5% on imports from numerous trading partners under Section 301 of the Trade Act of 1974. Accordingly, the ultimate scope, duration and financial impact of U.S. trade measures remain uncertain. Ongoing changes to trade policies and related uncertainty may affect global economic conditions, supply chains and costs, and may reduce trade between the U.S. and impacted countries. Tariffs and trade barriers have not had a material effect on our business or results of operations during 2026 to date. However, new tariffs or other trade measures could result in increased costs for us or our suppliers and could impact the import of materials by our customers, including materials subject to our inspection and testing services, which could adversely affect demand for our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Geopolitical tensions in the Middle East, including the conflict involving the U.S. and Iran, have contributed to increased volatility in global energy markets and broader macroeconomic uncertainty. The conflict has increased uncertainty surrounding global energy supplies, international shipping routes and supply chains, contributing to fluctuations in oil and natural gas prices and increased costs for certain materials and transportation.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Middle East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contained in this report have been prepared in conformity with U.S. generally accepted accounting principles ("GAAP") and Securities and Exchange Commission ("SEC")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2026 and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Annual Report on Form 10-K for the year ended December 31, 2025 (the "2025 Annual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Condensed Consolidated Financial Statements include the accounts of Mistras Group, Inc. as well as its wholly-owned subsidiaries, majority-owned subsidiaries and consolidated variable interest entities (VIE). For consolidated subsidiaries in which the Company’s ownership interest is less than 100%, the non-controlling interests are reported in stockholders’ equity in the accompanying Unaudited Condensed Consolidated Balance Sheets. The non-controlling interests in net results, net of tax, are classified separately in the accompanying Unaudited Condensed Consolidated Statements of Income (Loss). All significant intercompany accounts and transactions have been eliminated in consolidation.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amounts in prior periods have been reclassified to conform to the current year presentation. Such reclassifications did not affect the Company's consolidated financial condition or results of operations as previously reported.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The Company’s significant accounting policies are disclosed in Note 1 – </w:t>
      </w:r>
      <w:r>
        <w:rPr>
          <w:rFonts w:ascii="Times New Roman;serif" w:hAnsi="Times New Roman;serif"/>
          <w:b/>
          <w:i/>
          <w:color w:val="000000"/>
          <w:sz w:val="20"/>
        </w:rPr>
        <w:t>Summary of Significant Accounting Policies</w:t>
      </w:r>
      <w:r>
        <w:rPr>
          <w:color w:val="000000"/>
        </w:rPr>
        <w:t xml:space="preserve"> </w:t>
      </w:r>
      <w:r>
        <w:rPr>
          <w:rFonts w:ascii="Times New Roman;serif" w:hAnsi="Times New Roman;serif"/>
          <w:b/>
          <w:i/>
          <w:color w:val="000000"/>
          <w:sz w:val="20"/>
        </w:rPr>
        <w:t>and Practices</w:t>
      </w:r>
      <w:r>
        <w:rPr>
          <w:color w:val="000000"/>
        </w:rPr>
        <w:t xml:space="preserve"> </w:t>
      </w:r>
      <w:r>
        <w:rPr>
          <w:rFonts w:ascii="Times New Roman;serif" w:hAnsi="Times New Roman;serif"/>
          <w:b w:val="false"/>
          <w:color w:val="000000"/>
          <w:sz w:val="20"/>
        </w:rPr>
        <w:t>in the 2025 Annual Report. On an ongoing basis, the Company evaluates its estimates and assumptions, including among other things, those related to revenue recognition, long-lived assets, goodwill and acquisitions. Since the date of the 2025 Annual Report, there have been no material changes to the Company’s significant accounting policies.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management concluded that it is more likely than not that a substantial portion of the Company's deferred tax assets will be realized.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income tax rate was approximately 23.1% and 25.4% for the three months ended June 30, 2026 and 2025, respectively. The Company’s effective income tax rate was approximately 21.1% and 71.4% for the six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three months ended June 30, 2026, was higher than the statutory rate primarily due to limitations on the deductibility of certain compensation expenses. The effective income tax rate for the three months ended June 30, 2025, was higher than the statutory rate primarily due to the impact of an unfavorable discrete item related to stock compensation.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six months ended June 30, 2026, was higher than the statutory rate primarily due to limitations on the deductibility of certain compensation expenses. The effective income tax rate for the six months ended June 30, 2025, was higher than the statutory rate primarily due to the reversal of valuation allowances.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("OBBBA"), was enacted, which includes a broad range of tax reform provisions. These tax reform provisions include the extension and modification of certain provisions of the Tax Cuts and Jobs Act and are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and six months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annual periods beginning after December 15, 2026 and interim periods beginning after December 15, 2027. Early adoption is permitted. The guidance is required to be applied prospectively and amendments in the ASU may be applied prospectively or retrospectively. We are currently evaluating the impacts this standard will have on our disclosures.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September 2025, the FASB issued ASU 2025-06, Intangibles—Goodwill and Other—Internal-Use Software (Subtopic 350-40): Targeted Improvements to the Accounting for Internal Use Software (ASU 2025-06). This standard clarifies capitalization thresholds for software development costs and aligns accounting treatment more closely with the economic substance of modern software development activities. ASU 2025-06 is effective for annual and interim periods beginning after December 15, 2027 on a retrospective, prospective or modified prospective basis. Early adoption is permitted. </w:t>
      </w:r>
      <w:r>
        <w:rPr>
          <w:rFonts w:ascii="Times New Roman;serif" w:hAnsi="Times New Roman;serif"/>
          <w:b w:val="false"/>
          <w:color w:val="000000"/>
          <w:sz w:val="20"/>
          <w:shd w:fill="FFFFFF" w:val="clear"/>
        </w:rPr>
        <w:t>We are currently evaluating the impact this standard will have on our disclosures.</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FASB issued ASU 2025-11, Interim Reporting (Topic 270): Narrow Scope Improvements (ASU 2025-11). This standard clarifies disclosure requirements and applicability for interim financial statements. This new guidance is effective for the Company for interim periods beginning October 1, 2028. Early adoption is permitted. The amendments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68" w:before="0" w:after="0"/>
        <w:jc w:val="left"/>
        <w:rPr/>
      </w:pPr>
      <w:r>
        <w:rPr>
          <w:rFonts w:ascii="Times New Roman;serif" w:hAnsi="Times New Roman;serif"/>
          <w:b w:val="false"/>
          <w:color w:val="000000"/>
          <w:sz w:val="20"/>
        </w:rPr>
        <w:t xml:space="preserve">this ASU may be adopted using the prospective or retrospective methods. </w:t>
      </w:r>
      <w:r>
        <w:rPr>
          <w:rFonts w:ascii="Times New Roman;serif" w:hAnsi="Times New Roman;serif"/>
          <w:b w:val="false"/>
          <w:color w:val="000000"/>
          <w:sz w:val="20"/>
          <w:shd w:fill="FFFFFF" w:val="clear"/>
        </w:rPr>
        <w:t>We are currently evaluating the impact this standard will have on our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Revenue</w:t>
      </w:r>
    </w:p>
    <w:p>
      <w:pPr>
        <w:pStyle w:val="TextBody"/>
        <w:bidi w:val="0"/>
        <w:spacing w:before="0" w:after="0"/>
        <w:jc w:val="left"/>
        <w:rPr/>
      </w:pPr>
      <w:r>
        <w:rPr/>
      </w:r>
    </w:p>
    <w:p>
      <w:pPr>
        <w:pStyle w:val="TextBody"/>
        <w:bidi w:val="0"/>
        <w:spacing w:lineRule="auto" w:line="288" w:before="0" w:after="160"/>
        <w:jc w:val="left"/>
        <w:rPr/>
      </w:pPr>
      <w:r>
        <w:rPr>
          <w:rFonts w:ascii="Times New Roman;serif" w:hAnsi="Times New Roman;serif"/>
          <w:b w:val="false"/>
          <w:color w:val="000000"/>
          <w:sz w:val="20"/>
        </w:rPr>
        <w:t xml:space="preserve">The Company derives the majority of its revenue by providing services on a time and materials basis, which are short-term in nature. The Company accounts for revenue in accordance with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Company's performance completed to date. Fixed fee arrangements are determined based on expected labor, material, and overhead to be consumed on fulfillment of such services. For these arrangements, revenue is recognized on a cost-to-cost method tracked on an input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majority of the Company's revenue recognized at a point in time is related to product sales when the customer obtains control of the asset, which is generally upon shipment to the customer. Contract costs include labor, material and overhead.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expects any significant remaining performance obligations to be satisfied within one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Contract Estimates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by Category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series of tables present the Company's disaggregated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industry was as follows:</w:t>
      </w:r>
    </w:p>
    <w:tbl>
      <w:tblPr>
        <w:tblW w:w="10205" w:type="dxa"/>
        <w:jc w:val="center"/>
        <w:tblInd w:w="0" w:type="dxa"/>
        <w:tblLayout w:type="fixed"/>
        <w:tblCellMar>
          <w:top w:w="28" w:type="dxa"/>
          <w:left w:w="28" w:type="dxa"/>
          <w:bottom w:w="28" w:type="dxa"/>
          <w:right w:w="28" w:type="dxa"/>
        </w:tblCellMar>
      </w:tblPr>
      <w:tblGrid>
        <w:gridCol w:w="1150"/>
        <w:gridCol w:w="916"/>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8"/>
      </w:tblGrid>
      <w:tr>
        <w:trPr/>
        <w:tc>
          <w:tcPr>
            <w:tcW w:w="11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94,348 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Industrials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150"/>
        <w:gridCol w:w="916"/>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8"/>
      </w:tblGrid>
      <w:tr>
        <w:trPr/>
        <w:tc>
          <w:tcPr>
            <w:tcW w:w="115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92,634 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Industrials </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tbl>
      <w:tblPr>
        <w:tblW w:w="10205" w:type="dxa"/>
        <w:jc w:val="left"/>
        <w:tblInd w:w="0" w:type="dxa"/>
        <w:tblLayout w:type="fixed"/>
        <w:tblCellMar>
          <w:top w:w="28" w:type="dxa"/>
          <w:left w:w="28" w:type="dxa"/>
          <w:bottom w:w="28" w:type="dxa"/>
          <w:right w:w="28" w:type="dxa"/>
        </w:tblCellMar>
      </w:tblPr>
      <w:tblGrid>
        <w:gridCol w:w="1128"/>
        <w:gridCol w:w="896"/>
        <w:gridCol w:w="890"/>
        <w:gridCol w:w="219"/>
        <w:gridCol w:w="857"/>
        <w:gridCol w:w="113"/>
        <w:gridCol w:w="109"/>
        <w:gridCol w:w="109"/>
        <w:gridCol w:w="109"/>
        <w:gridCol w:w="216"/>
        <w:gridCol w:w="738"/>
        <w:gridCol w:w="112"/>
        <w:gridCol w:w="109"/>
        <w:gridCol w:w="109"/>
        <w:gridCol w:w="109"/>
        <w:gridCol w:w="322"/>
        <w:gridCol w:w="941"/>
        <w:gridCol w:w="166"/>
        <w:gridCol w:w="109"/>
        <w:gridCol w:w="109"/>
        <w:gridCol w:w="109"/>
        <w:gridCol w:w="211"/>
        <w:gridCol w:w="784"/>
        <w:gridCol w:w="109"/>
        <w:gridCol w:w="109"/>
        <w:gridCol w:w="109"/>
        <w:gridCol w:w="109"/>
        <w:gridCol w:w="211"/>
        <w:gridCol w:w="826"/>
        <w:gridCol w:w="158"/>
      </w:tblGrid>
      <w:tr>
        <w:trPr/>
        <w:tc>
          <w:tcPr>
            <w:tcW w:w="1128"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40"/>
        <w:gridCol w:w="927"/>
        <w:gridCol w:w="924"/>
        <w:gridCol w:w="219"/>
        <w:gridCol w:w="859"/>
        <w:gridCol w:w="113"/>
        <w:gridCol w:w="109"/>
        <w:gridCol w:w="109"/>
        <w:gridCol w:w="109"/>
        <w:gridCol w:w="216"/>
        <w:gridCol w:w="738"/>
        <w:gridCol w:w="112"/>
        <w:gridCol w:w="109"/>
        <w:gridCol w:w="109"/>
        <w:gridCol w:w="109"/>
        <w:gridCol w:w="327"/>
        <w:gridCol w:w="957"/>
        <w:gridCol w:w="169"/>
        <w:gridCol w:w="109"/>
        <w:gridCol w:w="109"/>
        <w:gridCol w:w="109"/>
        <w:gridCol w:w="211"/>
        <w:gridCol w:w="682"/>
        <w:gridCol w:w="109"/>
        <w:gridCol w:w="109"/>
        <w:gridCol w:w="109"/>
        <w:gridCol w:w="109"/>
        <w:gridCol w:w="211"/>
        <w:gridCol w:w="826"/>
        <w:gridCol w:w="157"/>
      </w:tblGrid>
      <w:tr>
        <w:trPr/>
        <w:tc>
          <w:tcPr>
            <w:tcW w:w="114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&amp; Gas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178,365 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&amp; Defense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Generation &amp; Transmission</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Process Industries</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Research &amp; Engineering</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Petrochemical</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per key geographic location was as follows:</w:t>
      </w:r>
    </w:p>
    <w:tbl>
      <w:tblPr>
        <w:tblW w:w="10006" w:type="dxa"/>
        <w:jc w:val="center"/>
        <w:tblInd w:w="0" w:type="dxa"/>
        <w:tblLayout w:type="fixed"/>
        <w:tblCellMar>
          <w:top w:w="28" w:type="dxa"/>
          <w:left w:w="28" w:type="dxa"/>
          <w:bottom w:w="28" w:type="dxa"/>
          <w:right w:w="28" w:type="dxa"/>
        </w:tblCellMar>
      </w:tblPr>
      <w:tblGrid>
        <w:gridCol w:w="971"/>
        <w:gridCol w:w="853"/>
        <w:gridCol w:w="861"/>
        <w:gridCol w:w="221"/>
        <w:gridCol w:w="865"/>
        <w:gridCol w:w="114"/>
        <w:gridCol w:w="109"/>
        <w:gridCol w:w="109"/>
        <w:gridCol w:w="109"/>
        <w:gridCol w:w="216"/>
        <w:gridCol w:w="738"/>
        <w:gridCol w:w="112"/>
        <w:gridCol w:w="109"/>
        <w:gridCol w:w="109"/>
        <w:gridCol w:w="109"/>
        <w:gridCol w:w="348"/>
        <w:gridCol w:w="1017"/>
        <w:gridCol w:w="180"/>
        <w:gridCol w:w="109"/>
        <w:gridCol w:w="109"/>
        <w:gridCol w:w="109"/>
        <w:gridCol w:w="211"/>
        <w:gridCol w:w="691"/>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134,348 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135,835 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006" w:type="dxa"/>
        <w:jc w:val="center"/>
        <w:tblInd w:w="0" w:type="dxa"/>
        <w:tblLayout w:type="fixed"/>
        <w:tblCellMar>
          <w:top w:w="28" w:type="dxa"/>
          <w:left w:w="28" w:type="dxa"/>
          <w:bottom w:w="28" w:type="dxa"/>
          <w:right w:w="28" w:type="dxa"/>
        </w:tblCellMar>
      </w:tblPr>
      <w:tblGrid>
        <w:gridCol w:w="971"/>
        <w:gridCol w:w="853"/>
        <w:gridCol w:w="861"/>
        <w:gridCol w:w="221"/>
        <w:gridCol w:w="865"/>
        <w:gridCol w:w="114"/>
        <w:gridCol w:w="109"/>
        <w:gridCol w:w="109"/>
        <w:gridCol w:w="109"/>
        <w:gridCol w:w="216"/>
        <w:gridCol w:w="738"/>
        <w:gridCol w:w="112"/>
        <w:gridCol w:w="109"/>
        <w:gridCol w:w="109"/>
        <w:gridCol w:w="109"/>
        <w:gridCol w:w="348"/>
        <w:gridCol w:w="1017"/>
        <w:gridCol w:w="180"/>
        <w:gridCol w:w="109"/>
        <w:gridCol w:w="109"/>
        <w:gridCol w:w="109"/>
        <w:gridCol w:w="211"/>
        <w:gridCol w:w="691"/>
        <w:gridCol w:w="109"/>
        <w:gridCol w:w="109"/>
        <w:gridCol w:w="109"/>
        <w:gridCol w:w="109"/>
        <w:gridCol w:w="211"/>
        <w:gridCol w:w="82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129,011 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15" w:type="dxa"/>
        <w:jc w:val="center"/>
        <w:tblInd w:w="0" w:type="dxa"/>
        <w:tblLayout w:type="fixed"/>
        <w:tblCellMar>
          <w:top w:w="28" w:type="dxa"/>
          <w:left w:w="28" w:type="dxa"/>
          <w:bottom w:w="28" w:type="dxa"/>
          <w:right w:w="28" w:type="dxa"/>
        </w:tblCellMar>
      </w:tblPr>
      <w:tblGrid>
        <w:gridCol w:w="900"/>
        <w:gridCol w:w="791"/>
        <w:gridCol w:w="798"/>
        <w:gridCol w:w="221"/>
        <w:gridCol w:w="865"/>
        <w:gridCol w:w="114"/>
        <w:gridCol w:w="109"/>
        <w:gridCol w:w="109"/>
        <w:gridCol w:w="109"/>
        <w:gridCol w:w="216"/>
        <w:gridCol w:w="738"/>
        <w:gridCol w:w="112"/>
        <w:gridCol w:w="109"/>
        <w:gridCol w:w="109"/>
        <w:gridCol w:w="109"/>
        <w:gridCol w:w="348"/>
        <w:gridCol w:w="1017"/>
        <w:gridCol w:w="180"/>
        <w:gridCol w:w="109"/>
        <w:gridCol w:w="109"/>
        <w:gridCol w:w="109"/>
        <w:gridCol w:w="211"/>
        <w:gridCol w:w="796"/>
        <w:gridCol w:w="109"/>
        <w:gridCol w:w="109"/>
        <w:gridCol w:w="109"/>
        <w:gridCol w:w="109"/>
        <w:gridCol w:w="211"/>
        <w:gridCol w:w="82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254,927 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tbl>
      <w:tblPr>
        <w:tblW w:w="9810" w:type="dxa"/>
        <w:jc w:val="center"/>
        <w:tblInd w:w="0" w:type="dxa"/>
        <w:tblLayout w:type="fixed"/>
        <w:tblCellMar>
          <w:top w:w="28" w:type="dxa"/>
          <w:left w:w="28" w:type="dxa"/>
          <w:bottom w:w="28" w:type="dxa"/>
          <w:right w:w="28" w:type="dxa"/>
        </w:tblCellMar>
      </w:tblPr>
      <w:tblGrid>
        <w:gridCol w:w="900"/>
        <w:gridCol w:w="791"/>
        <w:gridCol w:w="798"/>
        <w:gridCol w:w="221"/>
        <w:gridCol w:w="865"/>
        <w:gridCol w:w="114"/>
        <w:gridCol w:w="109"/>
        <w:gridCol w:w="109"/>
        <w:gridCol w:w="109"/>
        <w:gridCol w:w="216"/>
        <w:gridCol w:w="738"/>
        <w:gridCol w:w="112"/>
        <w:gridCol w:w="109"/>
        <w:gridCol w:w="109"/>
        <w:gridCol w:w="109"/>
        <w:gridCol w:w="348"/>
        <w:gridCol w:w="1017"/>
        <w:gridCol w:w="180"/>
        <w:gridCol w:w="109"/>
        <w:gridCol w:w="109"/>
        <w:gridCol w:w="109"/>
        <w:gridCol w:w="211"/>
        <w:gridCol w:w="691"/>
        <w:gridCol w:w="109"/>
        <w:gridCol w:w="109"/>
        <w:gridCol w:w="109"/>
        <w:gridCol w:w="109"/>
        <w:gridCol w:w="211"/>
        <w:gridCol w:w="826"/>
        <w:gridCol w:w="154"/>
      </w:tblGrid>
      <w:tr>
        <w:trPr/>
        <w:tc>
          <w:tcPr>
            <w:tcW w:w="90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&amp;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Corp/Elim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243,344 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248,754 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Americas</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Asia-Pacific</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billings and cash collections results in billed accounts receivable, unbilled receivables (contract assets), and customer advances and deposits (contract liabilities) on the Unaudited Condensed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Unaudited Condensed Consolidated Balance Sheets at the end of each reporting period within accounts receivable, net or accrued expenses and other current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recognized during the six months ended June 30, 2026 and 2025 that was included in the contract liability balance at the beginning of the year was $5.9 million and $5.3 million, respectively. Changes in the contract asset and liability balances during these periods were not materially impacted by any other factors. The Company applies the practical expedient to expense incremental costs incurred related to obtaining a contract when the amortization period of the asset that the Company otherwise would have recognized is one year or less.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Share-Based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grants share-based incentive awards to its eligible employees and non-employee directors under its Amended and Restated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19, 2026, the Company’s shareholders approved an amendment to increase the total number of shares that may be issued under the 2016 Plan by 1.7 million shares, for a total of 7.9 million shares that are authorized for issuance under the 2016 Plan, of which approximately 1,980,000 shares were available for future grants as of June 30,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6, 2025, an executive officer of the Company was granted a stock option for the purchase of 375,000 shares of the Company's common stock at an exercise price of $9.06, the closing price of the Company's common stock on the New York Stock Exchange (the "NYSE") on the grant date. These stock options can be exercised any time on or after January 6, 2026, and prior to their expiration date, which is the earlier of 10 years from the grant date or one year following the date the executive officer is no longer serving as an officer, director or in any other capacity of the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 option activity, weighted-average exercise prices and options outstanding as of June 30, 2026 (in thousands, except per share amounts and years):</w:t>
      </w:r>
    </w:p>
    <w:p>
      <w:pPr>
        <w:pStyle w:val="TextBody"/>
        <w:bidi w:val="0"/>
        <w:spacing w:before="0" w:after="0"/>
        <w:jc w:val="left"/>
        <w:rPr/>
      </w:pPr>
      <w:r>
        <w:rPr/>
      </w:r>
    </w:p>
    <w:tbl>
      <w:tblPr>
        <w:tblW w:w="10016" w:type="dxa"/>
        <w:jc w:val="left"/>
        <w:tblInd w:w="0" w:type="dxa"/>
        <w:tblLayout w:type="fixed"/>
        <w:tblCellMar>
          <w:top w:w="28" w:type="dxa"/>
          <w:left w:w="28" w:type="dxa"/>
          <w:bottom w:w="28" w:type="dxa"/>
          <w:right w:w="28" w:type="dxa"/>
        </w:tblCellMar>
      </w:tblPr>
      <w:tblGrid>
        <w:gridCol w:w="1103"/>
        <w:gridCol w:w="968"/>
        <w:gridCol w:w="973"/>
        <w:gridCol w:w="255"/>
        <w:gridCol w:w="255"/>
        <w:gridCol w:w="256"/>
        <w:gridCol w:w="109"/>
        <w:gridCol w:w="109"/>
        <w:gridCol w:w="109"/>
        <w:gridCol w:w="211"/>
        <w:gridCol w:w="511"/>
        <w:gridCol w:w="109"/>
        <w:gridCol w:w="109"/>
        <w:gridCol w:w="109"/>
        <w:gridCol w:w="109"/>
        <w:gridCol w:w="609"/>
        <w:gridCol w:w="609"/>
        <w:gridCol w:w="611"/>
        <w:gridCol w:w="109"/>
        <w:gridCol w:w="109"/>
        <w:gridCol w:w="109"/>
        <w:gridCol w:w="618"/>
        <w:gridCol w:w="1496"/>
        <w:gridCol w:w="451"/>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br/>
              <w:t>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6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Exercisable at end of period: </w:t>
            </w:r>
          </w:p>
        </w:tc>
        <w:tc>
          <w:tcPr>
            <w:tcW w:w="51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recognized $0.1 million and $0.5 million of share-based compensation expense related to stock options during the three months ended June 30, 2026 and 2025, respectively. The Company recognized $0.2 million and $1.0 million of share-based compensation expense related to stock options during the six months ended June 30, 2026 and 2025, respectively. As of the end of the current period, there is no remaining unrecognized share-based compensation expense related to stock options.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Issuances to Non-Employee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its compensation program for non-employee directors, the Company issues fully-vested common stock to its non-employee directors. The awards are issued to non-employee directors during the second quarter of each fiscal year. A summary of the fully-vested common stock issued by the Company to its non-employee directors, in connection with its non-employee director compensation during the six months ended June 30, 2026 and 2025 is as follows (in thousands):</w:t>
      </w:r>
    </w:p>
    <w:tbl>
      <w:tblPr>
        <w:tblW w:w="5518" w:type="dxa"/>
        <w:jc w:val="left"/>
        <w:tblInd w:w="0" w:type="dxa"/>
        <w:tblLayout w:type="fixed"/>
        <w:tblCellMar>
          <w:top w:w="28" w:type="dxa"/>
          <w:left w:w="28" w:type="dxa"/>
          <w:bottom w:w="28" w:type="dxa"/>
          <w:right w:w="28" w:type="dxa"/>
        </w:tblCellMar>
      </w:tblPr>
      <w:tblGrid>
        <w:gridCol w:w="1251"/>
        <w:gridCol w:w="1098"/>
        <w:gridCol w:w="1101"/>
        <w:gridCol w:w="224"/>
        <w:gridCol w:w="496"/>
        <w:gridCol w:w="116"/>
        <w:gridCol w:w="116"/>
        <w:gridCol w:w="116"/>
        <w:gridCol w:w="116"/>
        <w:gridCol w:w="224"/>
        <w:gridCol w:w="496"/>
        <w:gridCol w:w="164"/>
      </w:tblGrid>
      <w:tr>
        <w:trPr/>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Awards issued to non-employee directors</w:t>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date fair value of awards issued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Restricted Stock Unit Awards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recognized share-based compensation expense within Selling, general and administrative expenses related to Restricted Stock Unit ("RSU") awards of $1.0 million and $0.9 million, respectively. For the six months ended June 30, 2026 and 2025, the Company recognized share-based compensation expense within Selling, general and administrative expenses related to RSU awards of $1.7 million and $2.1 million, respectively. No share-based compensation expense was recognized within Reorganization and other costs related to RSU awards for the three or six months ended June 30, 2026. For the three and six months ended June 30, 2025, the Company recognized share-based compensation expense within Reorganization and other costs related to RSU awards of $0.5 million and $1.0 million respectively. As of June 30, 2026, there was $9.0 million of unrecognized compensation costs related to RSU awards, which is expected to be recognized over a remaining weighted-average period of 2.8 years. Upon vesting, RSUs are generally net share-settled to cover the required withholding tax and the remaining amount is converted into an equivalent number of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vesting activity of RSU awards, with the respective fair value of the awards, is as follows:</w:t>
      </w:r>
    </w:p>
    <w:p>
      <w:pPr>
        <w:pStyle w:val="TextBody"/>
        <w:bidi w:val="0"/>
        <w:spacing w:before="0" w:after="0"/>
        <w:jc w:val="left"/>
        <w:rPr/>
      </w:pPr>
      <w:r>
        <w:rPr/>
      </w:r>
    </w:p>
    <w:tbl>
      <w:tblPr>
        <w:tblW w:w="5214" w:type="dxa"/>
        <w:jc w:val="left"/>
        <w:tblInd w:w="0" w:type="dxa"/>
        <w:tblLayout w:type="fixed"/>
        <w:tblCellMar>
          <w:top w:w="28" w:type="dxa"/>
          <w:left w:w="28" w:type="dxa"/>
          <w:bottom w:w="28" w:type="dxa"/>
          <w:right w:w="28" w:type="dxa"/>
        </w:tblCellMar>
      </w:tblPr>
      <w:tblGrid>
        <w:gridCol w:w="1074"/>
        <w:gridCol w:w="945"/>
        <w:gridCol w:w="951"/>
        <w:gridCol w:w="211"/>
        <w:gridCol w:w="616"/>
        <w:gridCol w:w="109"/>
        <w:gridCol w:w="109"/>
        <w:gridCol w:w="109"/>
        <w:gridCol w:w="109"/>
        <w:gridCol w:w="211"/>
        <w:gridCol w:w="61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 awards vested</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awards 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Company's outstanding, non-vested RSUs is as follows:</w:t>
      </w:r>
    </w:p>
    <w:p>
      <w:pPr>
        <w:pStyle w:val="TextBody"/>
        <w:bidi w:val="0"/>
        <w:spacing w:before="0" w:after="0"/>
        <w:jc w:val="left"/>
        <w:rPr/>
      </w:pPr>
      <w:r>
        <w:rPr/>
      </w:r>
    </w:p>
    <w:tbl>
      <w:tblPr>
        <w:tblW w:w="7557" w:type="dxa"/>
        <w:jc w:val="left"/>
        <w:tblInd w:w="0" w:type="dxa"/>
        <w:tblLayout w:type="fixed"/>
        <w:tblCellMar>
          <w:top w:w="28" w:type="dxa"/>
          <w:left w:w="28" w:type="dxa"/>
          <w:bottom w:w="28" w:type="dxa"/>
          <w:right w:w="28" w:type="dxa"/>
        </w:tblCellMar>
      </w:tblPr>
      <w:tblGrid>
        <w:gridCol w:w="1103"/>
        <w:gridCol w:w="968"/>
        <w:gridCol w:w="973"/>
        <w:gridCol w:w="269"/>
        <w:gridCol w:w="271"/>
        <w:gridCol w:w="161"/>
        <w:gridCol w:w="109"/>
        <w:gridCol w:w="109"/>
        <w:gridCol w:w="109"/>
        <w:gridCol w:w="226"/>
        <w:gridCol w:w="661"/>
        <w:gridCol w:w="118"/>
        <w:gridCol w:w="109"/>
        <w:gridCol w:w="109"/>
        <w:gridCol w:w="109"/>
        <w:gridCol w:w="308"/>
        <w:gridCol w:w="308"/>
        <w:gridCol w:w="161"/>
        <w:gridCol w:w="109"/>
        <w:gridCol w:w="109"/>
        <w:gridCol w:w="109"/>
        <w:gridCol w:w="252"/>
        <w:gridCol w:w="612"/>
        <w:gridCol w:w="185"/>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Grant-Date </w:t>
              <w:br/>
              <w:t>Fair Value</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54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Performance Restricted Stock Units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Performance Restricted Stock Units ("PRSUs") that have been granted to select executives and senior officers, the ultimate payout of which may vary between zero and 200% of the target award, based on the Company’s performance over a one-year period based on specific metrics approved by the Compensation Committee of the Board of Directors of the Company.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2026, the Compensation Committee (the “Compensation Committee”) of the Company’s Board of Directors is using the following three performance metrics for PRSU awards.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rPr>
        <w:t xml:space="preserve">Free Cash Flow </w:t>
      </w:r>
      <w:r>
        <w:rPr>
          <w:rFonts w:ascii="Times New Roman;serif" w:hAnsi="Times New Roman;serif"/>
          <w:b w:val="false"/>
          <w:color w:val="000000"/>
          <w:sz w:val="20"/>
        </w:rPr>
        <w:t>defined as</w:t>
      </w:r>
      <w:r>
        <w:rPr>
          <w:color w:val="000000"/>
        </w:rPr>
        <w:t xml:space="preserve"> </w:t>
      </w:r>
      <w:r>
        <w:rPr>
          <w:rFonts w:ascii="Times New Roman;serif" w:hAnsi="Times New Roman;serif"/>
          <w:b w:val="false"/>
          <w:color w:val="000000"/>
          <w:sz w:val="20"/>
        </w:rPr>
        <w:t>net cash provided by operating activities less purchases of property, plant, equipment and intangible assets and is subject to adjustments approved by the Compensation Committee.</w:t>
      </w:r>
    </w:p>
    <w:p>
      <w:pPr>
        <w:pStyle w:val="TextBody"/>
        <w:bidi w:val="0"/>
        <w:spacing w:lineRule="auto" w:line="288" w:before="0" w:after="0"/>
        <w:ind w:left="0" w:right="0" w:hanging="360"/>
        <w:jc w:val="both"/>
        <w:rPr/>
      </w:pPr>
      <w:r>
        <w:rPr>
          <w:rFonts w:ascii="Times New Roman;serif" w:hAnsi="Times New Roman;serif"/>
          <w:b w:val="false"/>
          <w:i/>
          <w:color w:val="000000"/>
          <w:sz w:val="20"/>
        </w:rPr>
        <w:t xml:space="preserve">2.Adjusted EBITDA </w:t>
      </w:r>
      <w:r>
        <w:rPr>
          <w:rFonts w:ascii="Times New Roman;serif" w:hAnsi="Times New Roman;serif"/>
          <w:b w:val="false"/>
          <w:color w:val="000000"/>
          <w:sz w:val="20"/>
        </w:rPr>
        <w:t>defined as net income attributable to the Company plus: interest expense, provision for income taxes, depreciation and 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pStyle w:val="TextBody"/>
        <w:bidi w:val="0"/>
        <w:spacing w:lineRule="auto" w:line="288" w:before="0" w:after="0"/>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Revenue</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PRSUs awarded in 2026, the Compensation Committee utilized the same metrics as 2025 PRSUs, but with revised performance goals and weighting.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Earned PRSUs generally vest ratably in four equal annual installments over the four years following completion of the performance period, for a total requisite service period of up to five years, and have no dividend equivalent rights.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summary of the Company's PRSU activity is as follows:</w:t>
      </w:r>
    </w:p>
    <w:p>
      <w:pPr>
        <w:pStyle w:val="TextBody"/>
        <w:bidi w:val="0"/>
        <w:spacing w:before="0" w:after="0"/>
        <w:jc w:val="both"/>
        <w:rPr/>
      </w:pPr>
      <w:r>
        <w:rPr/>
      </w:r>
    </w:p>
    <w:tbl>
      <w:tblPr>
        <w:tblW w:w="7408" w:type="dxa"/>
        <w:jc w:val="left"/>
        <w:tblInd w:w="0" w:type="dxa"/>
        <w:tblLayout w:type="fixed"/>
        <w:tblCellMar>
          <w:top w:w="28" w:type="dxa"/>
          <w:left w:w="28" w:type="dxa"/>
          <w:bottom w:w="28" w:type="dxa"/>
          <w:right w:w="28" w:type="dxa"/>
        </w:tblCellMar>
      </w:tblPr>
      <w:tblGrid>
        <w:gridCol w:w="1103"/>
        <w:gridCol w:w="968"/>
        <w:gridCol w:w="973"/>
        <w:gridCol w:w="233"/>
        <w:gridCol w:w="233"/>
        <w:gridCol w:w="161"/>
        <w:gridCol w:w="109"/>
        <w:gridCol w:w="109"/>
        <w:gridCol w:w="109"/>
        <w:gridCol w:w="226"/>
        <w:gridCol w:w="661"/>
        <w:gridCol w:w="118"/>
        <w:gridCol w:w="109"/>
        <w:gridCol w:w="109"/>
        <w:gridCol w:w="109"/>
        <w:gridCol w:w="269"/>
        <w:gridCol w:w="271"/>
        <w:gridCol w:w="161"/>
        <w:gridCol w:w="109"/>
        <w:gridCol w:w="109"/>
        <w:gridCol w:w="109"/>
        <w:gridCol w:w="225"/>
        <w:gridCol w:w="659"/>
        <w:gridCol w:w="166"/>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Grant-Date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 xml:space="preserve">Grant-Date </w:t>
              <w:br/>
              <w:t>Fair Value</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condition adjustments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recognized aggregate share-based compensation expense related to the stock awards described above of approximately $1.0 million and $0.4 million, respectively. For the six months ended June 30, 2026 and 2025, the Company recognized aggregate share-based compensation expense related to the stock awards described above of approximately $1.5 million and $0.6 million, respectively. At June 30, 2026, there was $5.9 million of total unrecognized compensation costs related to approximately 606,000 non-vested PRSUs, which is expected to be recognized over a remaining weighted-average period of 2.8 years.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Earnings per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 (i) the exercise of options to acquire common stock to the extent that the options’ exercise prices are less than the average market price of common shares during the period and (ii) the pro forma vesting of restricted stock units.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computations of basic and diluted earnings per share:</w:t>
      </w:r>
    </w:p>
    <w:p>
      <w:pPr>
        <w:pStyle w:val="TextBody"/>
        <w:bidi w:val="0"/>
        <w:spacing w:lineRule="auto" w:line="288" w:before="0" w:after="0"/>
        <w:jc w:val="left"/>
        <w:rPr>
          <w:color w:val="000000"/>
        </w:rPr>
      </w:pPr>
      <w:r>
        <w:rPr>
          <w:color w:val="000000"/>
        </w:rPr>
        <w:t> </w:t>
      </w:r>
    </w:p>
    <w:tbl>
      <w:tblPr>
        <w:tblW w:w="9171" w:type="dxa"/>
        <w:jc w:val="left"/>
        <w:tblInd w:w="0" w:type="dxa"/>
        <w:tblLayout w:type="fixed"/>
        <w:tblCellMar>
          <w:top w:w="28" w:type="dxa"/>
          <w:left w:w="28" w:type="dxa"/>
          <w:bottom w:w="28" w:type="dxa"/>
          <w:right w:w="28" w:type="dxa"/>
        </w:tblCellMar>
      </w:tblPr>
      <w:tblGrid>
        <w:gridCol w:w="1613"/>
        <w:gridCol w:w="1415"/>
        <w:gridCol w:w="1427"/>
        <w:gridCol w:w="213"/>
        <w:gridCol w:w="622"/>
        <w:gridCol w:w="110"/>
        <w:gridCol w:w="110"/>
        <w:gridCol w:w="110"/>
        <w:gridCol w:w="110"/>
        <w:gridCol w:w="213"/>
        <w:gridCol w:w="622"/>
        <w:gridCol w:w="110"/>
        <w:gridCol w:w="109"/>
        <w:gridCol w:w="109"/>
        <w:gridCol w:w="109"/>
        <w:gridCol w:w="211"/>
        <w:gridCol w:w="616"/>
        <w:gridCol w:w="109"/>
        <w:gridCol w:w="109"/>
        <w:gridCol w:w="109"/>
        <w:gridCol w:w="109"/>
        <w:gridCol w:w="211"/>
        <w:gridCol w:w="541"/>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Mistras Group, Inc.</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Mistras Group, Inc.</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Dilutive effect of stock options outstanding </w:t>
            </w:r>
            <w:r>
              <w:rPr>
                <w:rFonts w:ascii="Times New Roman;serif" w:hAnsi="Times New Roman;serif"/>
                <w:b w:val="false"/>
                <w:color w:val="000000"/>
                <w:sz w:val="13"/>
              </w:rPr>
              <w:t>(1)</w:t>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Dilutive effect of restricted stock units outstanding </w:t>
            </w:r>
            <w:r>
              <w:rPr>
                <w:rFonts w:ascii="Times New Roman;serif" w:hAnsi="Times New Roman;serif"/>
                <w:b w:val="false"/>
                <w:color w:val="000000"/>
                <w:sz w:val="13"/>
              </w:rPr>
              <w:t>(1)</w:t>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2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76" w:before="0" w:after="0"/>
        <w:ind w:left="0" w:right="0" w:hanging="18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For the three months ended June 30, 2025, 375,000 shares, related to stock options and 877,000 shares, related to restricted stock units were anti-dilutive and therefore were excluded from the calculation of diluted earnings per share. For the six months ended June 30, 2026, 6,000 shares related to RSUs were anti-dilutive and therefore were excluded from the calculation of diluted earnings per share. For the six months ended June 30, 2025, 106,000 shares, related to stock options and 867,000 shares, related to restricted stock units were excluded from the calculation of diluted earnings per share due to the net loss for the period.</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Accounts Receivable,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consisted of the following (in thousands):</w:t>
      </w:r>
    </w:p>
    <w:p>
      <w:pPr>
        <w:pStyle w:val="TextBody"/>
        <w:bidi w:val="0"/>
        <w:spacing w:lineRule="auto" w:line="288" w:before="0" w:after="0"/>
        <w:jc w:val="left"/>
        <w:rPr>
          <w:color w:val="000000"/>
        </w:rPr>
      </w:pPr>
      <w:r>
        <w:rPr>
          <w:color w:val="000000"/>
        </w:rPr>
        <w:t> </w:t>
      </w:r>
    </w:p>
    <w:tbl>
      <w:tblPr>
        <w:tblW w:w="6091" w:type="dxa"/>
        <w:jc w:val="left"/>
        <w:tblInd w:w="0" w:type="dxa"/>
        <w:tblLayout w:type="fixed"/>
        <w:tblCellMar>
          <w:top w:w="28" w:type="dxa"/>
          <w:left w:w="28" w:type="dxa"/>
          <w:bottom w:w="28" w:type="dxa"/>
          <w:right w:w="28" w:type="dxa"/>
        </w:tblCellMar>
      </w:tblPr>
      <w:tblGrid>
        <w:gridCol w:w="1113"/>
        <w:gridCol w:w="979"/>
        <w:gridCol w:w="982"/>
        <w:gridCol w:w="211"/>
        <w:gridCol w:w="826"/>
        <w:gridCol w:w="109"/>
        <w:gridCol w:w="109"/>
        <w:gridCol w:w="109"/>
        <w:gridCol w:w="109"/>
        <w:gridCol w:w="273"/>
        <w:gridCol w:w="1072"/>
        <w:gridCol w:w="199"/>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 billed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 unbilled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154,673 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 unbilled are generally billed in the subsequent quarter to their revenue recognition. The Company considers Trade accounts receivable - unbilled as short-term in nature as they are normally converted to Trade accounts receivable - billed within 90 days, thus future changes in economic conditions will not have a significant effect on the credit loss estimate.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Inventories consist of the following (in thousands):</w:t>
      </w:r>
    </w:p>
    <w:tbl>
      <w:tblPr>
        <w:tblW w:w="6341" w:type="dxa"/>
        <w:jc w:val="left"/>
        <w:tblInd w:w="0" w:type="dxa"/>
        <w:tblLayout w:type="fixed"/>
        <w:tblCellMar>
          <w:top w:w="28" w:type="dxa"/>
          <w:left w:w="28" w:type="dxa"/>
          <w:bottom w:w="28" w:type="dxa"/>
          <w:right w:w="28" w:type="dxa"/>
        </w:tblCellMar>
      </w:tblPr>
      <w:tblGrid>
        <w:gridCol w:w="1212"/>
        <w:gridCol w:w="1065"/>
        <w:gridCol w:w="1068"/>
        <w:gridCol w:w="228"/>
        <w:gridCol w:w="779"/>
        <w:gridCol w:w="117"/>
        <w:gridCol w:w="109"/>
        <w:gridCol w:w="109"/>
        <w:gridCol w:w="109"/>
        <w:gridCol w:w="300"/>
        <w:gridCol w:w="1026"/>
        <w:gridCol w:w="219"/>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consumable supplies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14,002 </w:t>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Property, Plant and Equipment, net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 consisted of the following:</w:t>
      </w:r>
    </w:p>
    <w:p>
      <w:pPr>
        <w:pStyle w:val="TextBody"/>
        <w:bidi w:val="0"/>
        <w:spacing w:lineRule="auto" w:line="288" w:before="0" w:after="0"/>
        <w:jc w:val="left"/>
        <w:rPr>
          <w:color w:val="000000"/>
        </w:rPr>
      </w:pPr>
      <w:r>
        <w:rPr>
          <w:color w:val="000000"/>
        </w:rPr>
        <w:t> </w:t>
      </w:r>
    </w:p>
    <w:tbl>
      <w:tblPr>
        <w:tblW w:w="7921" w:type="dxa"/>
        <w:jc w:val="left"/>
        <w:tblInd w:w="0" w:type="dxa"/>
        <w:tblLayout w:type="fixed"/>
        <w:tblCellMar>
          <w:top w:w="28" w:type="dxa"/>
          <w:left w:w="28" w:type="dxa"/>
          <w:bottom w:w="28" w:type="dxa"/>
          <w:right w:w="28" w:type="dxa"/>
        </w:tblCellMar>
      </w:tblPr>
      <w:tblGrid>
        <w:gridCol w:w="1337"/>
        <w:gridCol w:w="1171"/>
        <w:gridCol w:w="1182"/>
        <w:gridCol w:w="295"/>
        <w:gridCol w:w="295"/>
        <w:gridCol w:w="296"/>
        <w:gridCol w:w="109"/>
        <w:gridCol w:w="109"/>
        <w:gridCol w:w="109"/>
        <w:gridCol w:w="211"/>
        <w:gridCol w:w="826"/>
        <w:gridCol w:w="109"/>
        <w:gridCol w:w="109"/>
        <w:gridCol w:w="109"/>
        <w:gridCol w:w="109"/>
        <w:gridCol w:w="300"/>
        <w:gridCol w:w="1026"/>
        <w:gridCol w:w="219"/>
      </w:tblGrid>
      <w:tr>
        <w:trPr/>
        <w:tc>
          <w:tcPr>
            <w:tcW w:w="1337"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Useful Life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and equipment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308,457 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350,197 </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(257,033)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93,164 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was approximately $6.2 million and $6.1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 for the six months ended June 30, 2026 and 2025 was $12.3 million and $12.1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Goodwill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by segment is shown below:</w:t>
      </w:r>
    </w:p>
    <w:tbl>
      <w:tblPr>
        <w:tblW w:w="8711" w:type="dxa"/>
        <w:jc w:val="left"/>
        <w:tblInd w:w="0" w:type="dxa"/>
        <w:tblLayout w:type="fixed"/>
        <w:tblCellMar>
          <w:top w:w="28" w:type="dxa"/>
          <w:left w:w="28" w:type="dxa"/>
          <w:bottom w:w="28" w:type="dxa"/>
          <w:right w:w="28" w:type="dxa"/>
        </w:tblCellMar>
      </w:tblPr>
      <w:tblGrid>
        <w:gridCol w:w="939"/>
        <w:gridCol w:w="825"/>
        <w:gridCol w:w="830"/>
        <w:gridCol w:w="221"/>
        <w:gridCol w:w="865"/>
        <w:gridCol w:w="114"/>
        <w:gridCol w:w="109"/>
        <w:gridCol w:w="109"/>
        <w:gridCol w:w="109"/>
        <w:gridCol w:w="309"/>
        <w:gridCol w:w="596"/>
        <w:gridCol w:w="161"/>
        <w:gridCol w:w="109"/>
        <w:gridCol w:w="109"/>
        <w:gridCol w:w="109"/>
        <w:gridCol w:w="487"/>
        <w:gridCol w:w="937"/>
        <w:gridCol w:w="255"/>
        <w:gridCol w:w="109"/>
        <w:gridCol w:w="109"/>
        <w:gridCol w:w="109"/>
        <w:gridCol w:w="211"/>
        <w:gridCol w:w="826"/>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and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184,829 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reviews goodwill for impairment on a reporting unit basis on October 1 of each year and whenever events or changes in circumstances indicate that the fair value of a reporting unit may be less than its carrying amount.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performed a quantitative annual impairment test as of October 1, 2025 and concluded that the fair value of each reporting unit exceeded its carrying amount. Additionally, through June 30, 2026, the Company did not identify any changes in circumstances that would indicate impairment of goodwill. Significant adverse changes in future periods could negatively affect the Company's key assumptions and may result in future goodwill impairment charges which could be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Intangible Assets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gross amount, accumulated amortization and net carrying amount of intangible assets were as follows:</w:t>
      </w:r>
    </w:p>
    <w:p>
      <w:pPr>
        <w:pStyle w:val="TextBody"/>
        <w:bidi w:val="0"/>
        <w:spacing w:lineRule="auto" w:line="288" w:before="0" w:after="0"/>
        <w:jc w:val="left"/>
        <w:rPr>
          <w:color w:val="000000"/>
        </w:rPr>
      </w:pPr>
      <w:r>
        <w:rPr>
          <w:color w:val="000000"/>
        </w:rPr>
        <w:t> </w:t>
      </w:r>
    </w:p>
    <w:tbl>
      <w:tblPr>
        <w:tblW w:w="11196" w:type="dxa"/>
        <w:jc w:val="left"/>
        <w:tblInd w:w="0" w:type="dxa"/>
        <w:tblLayout w:type="fixed"/>
        <w:tblCellMar>
          <w:top w:w="28" w:type="dxa"/>
          <w:left w:w="28" w:type="dxa"/>
          <w:bottom w:w="28" w:type="dxa"/>
          <w:right w:w="28" w:type="dxa"/>
        </w:tblCellMar>
      </w:tblPr>
      <w:tblGrid>
        <w:gridCol w:w="424"/>
        <w:gridCol w:w="373"/>
        <w:gridCol w:w="374"/>
        <w:gridCol w:w="295"/>
        <w:gridCol w:w="295"/>
        <w:gridCol w:w="296"/>
        <w:gridCol w:w="109"/>
        <w:gridCol w:w="109"/>
        <w:gridCol w:w="109"/>
        <w:gridCol w:w="211"/>
        <w:gridCol w:w="826"/>
        <w:gridCol w:w="109"/>
        <w:gridCol w:w="109"/>
        <w:gridCol w:w="109"/>
        <w:gridCol w:w="109"/>
        <w:gridCol w:w="211"/>
        <w:gridCol w:w="841"/>
        <w:gridCol w:w="109"/>
        <w:gridCol w:w="109"/>
        <w:gridCol w:w="109"/>
        <w:gridCol w:w="109"/>
        <w:gridCol w:w="109"/>
        <w:gridCol w:w="109"/>
        <w:gridCol w:w="211"/>
        <w:gridCol w:w="721"/>
        <w:gridCol w:w="109"/>
        <w:gridCol w:w="109"/>
        <w:gridCol w:w="109"/>
        <w:gridCol w:w="109"/>
        <w:gridCol w:w="211"/>
        <w:gridCol w:w="826"/>
        <w:gridCol w:w="109"/>
        <w:gridCol w:w="109"/>
        <w:gridCol w:w="109"/>
        <w:gridCol w:w="109"/>
        <w:gridCol w:w="211"/>
        <w:gridCol w:w="841"/>
        <w:gridCol w:w="109"/>
        <w:gridCol w:w="109"/>
        <w:gridCol w:w="109"/>
        <w:gridCol w:w="109"/>
        <w:gridCol w:w="109"/>
        <w:gridCol w:w="109"/>
        <w:gridCol w:w="211"/>
        <w:gridCol w:w="72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31" w:type="dxa"/>
            <w:gridSpan w:val="8"/>
            <w:tcBorders/>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Software/Technology</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Covenants not to compete</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(158,595)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three months ended June 30, 2026 and 2025 was approximately $2.0 million and $1.6 million,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expense for the six months ended June 30, 2026 and 2025 was $4.0 million and $3.4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Accrued Expenses and Other Current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7495" w:type="dxa"/>
        <w:jc w:val="left"/>
        <w:tblInd w:w="0" w:type="dxa"/>
        <w:tblLayout w:type="fixed"/>
        <w:tblCellMar>
          <w:top w:w="28" w:type="dxa"/>
          <w:left w:w="28" w:type="dxa"/>
          <w:bottom w:w="28" w:type="dxa"/>
          <w:right w:w="28" w:type="dxa"/>
        </w:tblCellMar>
      </w:tblPr>
      <w:tblGrid>
        <w:gridCol w:w="1631"/>
        <w:gridCol w:w="1429"/>
        <w:gridCol w:w="1439"/>
        <w:gridCol w:w="228"/>
        <w:gridCol w:w="779"/>
        <w:gridCol w:w="117"/>
        <w:gridCol w:w="109"/>
        <w:gridCol w:w="109"/>
        <w:gridCol w:w="109"/>
        <w:gridCol w:w="300"/>
        <w:gridCol w:w="1026"/>
        <w:gridCol w:w="219"/>
      </w:tblGrid>
      <w:tr>
        <w:trPr/>
        <w:tc>
          <w:tcPr>
            <w:tcW w:w="163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wages and related employee benefits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workers’ compensation and health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accrual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liability - Operating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84,456 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88,026 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Long-Term 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consisted of the following:</w:t>
      </w:r>
    </w:p>
    <w:tbl>
      <w:tblPr>
        <w:tblW w:w="10205" w:type="dxa"/>
        <w:jc w:val="left"/>
        <w:tblInd w:w="0" w:type="dxa"/>
        <w:tblLayout w:type="fixed"/>
        <w:tblCellMar>
          <w:top w:w="28" w:type="dxa"/>
          <w:left w:w="28" w:type="dxa"/>
          <w:bottom w:w="28" w:type="dxa"/>
          <w:right w:w="28" w:type="dxa"/>
        </w:tblCellMar>
      </w:tblPr>
      <w:tblGrid>
        <w:gridCol w:w="2679"/>
        <w:gridCol w:w="2295"/>
        <w:gridCol w:w="2293"/>
        <w:gridCol w:w="211"/>
        <w:gridCol w:w="826"/>
        <w:gridCol w:w="109"/>
        <w:gridCol w:w="109"/>
        <w:gridCol w:w="109"/>
        <w:gridCol w:w="109"/>
        <w:gridCol w:w="258"/>
        <w:gridCol w:w="1016"/>
        <w:gridCol w:w="191"/>
      </w:tblGrid>
      <w:tr>
        <w:trPr/>
        <w:tc>
          <w:tcPr>
            <w:tcW w:w="2679"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credit facility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secured term loan, net of unamortized debt issuance costs of $0.1 million and $0.2 million,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5" w:type="dxa"/>
            <w:gridSpan w:val="3"/>
            <w:tcBorders/>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177,992 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165,143 </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Credit Facility</w:t>
      </w:r>
    </w:p>
    <w:p>
      <w:pPr>
        <w:pStyle w:val="TextBody"/>
        <w:bidi w:val="0"/>
        <w:spacing w:lineRule="auto" w:line="288" w:before="0" w:after="0"/>
        <w:jc w:val="both"/>
        <w:rPr/>
      </w:pPr>
      <w:r>
        <w:rPr>
          <w:rFonts w:ascii="Times New Roman;serif" w:hAnsi="Times New Roman;serif"/>
          <w:b w:val="false"/>
          <w:color w:val="000000"/>
          <w:sz w:val="20"/>
        </w:rPr>
        <w:t xml:space="preserve">On August 1, 2022, the Company entered into a credit agreement (the “Credit Agreement”), which provides the Company with a $190 million 5-year committed revolving credit facility and a $125 million term loan with a balance </w:t>
      </w:r>
      <w:r>
        <w:rPr>
          <w:rFonts w:ascii="Times New Roman;serif" w:hAnsi="Times New Roman;serif"/>
          <w:b w:val="false"/>
          <w:color w:val="000000"/>
          <w:sz w:val="20"/>
          <w:shd w:fill="FFFFFF" w:val="clear"/>
        </w:rPr>
        <w:t xml:space="preserve">of </w:t>
      </w:r>
      <w:r>
        <w:rPr>
          <w:rFonts w:ascii="Times New Roman;serif" w:hAnsi="Times New Roman;serif"/>
          <w:b w:val="false"/>
          <w:color w:val="000000"/>
          <w:sz w:val="20"/>
        </w:rPr>
        <w:t>$90.5 million as of June 30, 2026. The Credit Agreement permits the Company to borrow up to $100 million in non-U.S. dollar currencies and to use up to $20 million of the credit limit for the issuance of letters of credit. As of June 30, 2026, both the revolving line of credit and the term loan under the Credit Agreement had a maturity date of July 30, 2027, which was subsequently extended to July 28, 2028.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has the following key terms, conditions and financial covenants: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Borrowings bear interest at Secured Overnight Financing Rate ("SOFR") plus a credit spread adjustment and applicable SOFR margin ranging from 1.25% to 2.75%, based upon our Total Consolidated Debt Leverage Ratio (defined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Consolidated Debt Leverage Ratio means the ratio of (a) Total Consolidated Debt to (b) EBITDA (as defined in the Credit Agreement) for the trailing four consecutive fiscal quarters.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Consolidated Debt means all indebtedness (including subordinated debt) of the Company on a consolidated basis.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the assets of the Company and certain of its U.S subsidiaries and is guaranteed by those U.S. subsidiaries.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 is required to maintain a Total Consolidated Debt Leverage Ratio of no more than 4.0 to 1.0 at the end of each quarter through June 30, 2023 and stepping down to a maximum permitted ratio of no more than 3.75 to 1.0 for the remainder of the term.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Company is required to maintain a Fixed Charge Coverage Ratio of 1.25 to 1.0 for the duration of the Credit Agreement, as defined in the Credit Agreement.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Quarterly payments on the term loan of $1.56 million through June 30, 2024, then increasing to $2.34 million through June 30, 2025, and to $3.12 million for each quarterly payment thereafter through maturity.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borrowings of $170.5 million and a total of $3.8 million of letters of credit outstanding under the Credit Agreement. The Company has capitalized costs associated with debt modifications of $0.4 million as of June 30, 2026, which are included in Other assets on the Unaudited Condensed Consolidated Balance Sheets and will be amortized into interest expense over the remaining term of the Credit Agreement through its maturity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was in compliance with the terms and covenants of the Credit Agreement. The Company continuously monitors compliance with the covenants contained in the Credit Agreement.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Note 15 - </w:t>
      </w:r>
      <w:r>
        <w:rPr>
          <w:rFonts w:ascii="Times New Roman;serif" w:hAnsi="Times New Roman;serif"/>
          <w:b/>
          <w:i/>
          <w:color w:val="000000"/>
          <w:sz w:val="20"/>
        </w:rPr>
        <w:t>Subsequent Events</w:t>
      </w:r>
      <w:r>
        <w:rPr>
          <w:color w:val="000000"/>
        </w:rPr>
        <w:t xml:space="preserve"> </w:t>
      </w:r>
      <w:r>
        <w:rPr>
          <w:rFonts w:ascii="Times New Roman;serif" w:hAnsi="Times New Roman;serif"/>
          <w:b w:val="false"/>
          <w:color w:val="000000"/>
          <w:sz w:val="20"/>
        </w:rPr>
        <w:t>for details regarding the Amendment to the Credit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debt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other debt includes bank financing provided at the local subsidiary level used to support working capital requirements and fund capital expenditures. At June 30, 2026, there was an aggregate of approximately $1.6 million outstanding, payable at various times through 2030.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The Company performs fair value measurements in accordance with the guidance provided by ASC 820, </w:t>
      </w:r>
      <w:r>
        <w:rPr>
          <w:rFonts w:ascii="Times New Roman;serif" w:hAnsi="Times New Roman;serif"/>
          <w:b w:val="false"/>
          <w:i/>
          <w:color w:val="000000"/>
          <w:sz w:val="20"/>
        </w:rPr>
        <w:t>Fair Value Measurements and Disclosures</w:t>
      </w:r>
      <w:r>
        <w:rPr>
          <w:rFonts w:ascii="Times New Roman;serif" w:hAnsi="Times New Roman;serif"/>
          <w:b w:val="false"/>
          <w:color w:val="000000"/>
          <w:sz w:val="20"/>
        </w:rPr>
        <w:t xml:space="preserve">.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Financial instruments not measured at fair value on a recurring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Proceedings and Government Investigations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periodically involved in lawsuits, investigations and claims. While uncertainties exist with respect to the ultimate resolution of lawsuits, investigations and claims asserted against it, except as stated below, the Company, based on currently available information, does not believe that any currently pending or threatened legal proceeding to which the Company is a party, or is likely to become a party,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Litigation and Commercial Claims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and a subsidiary of the Company, Mistras Arizona Inspection Services LLC (“Mistras Arizona”), are subject to a lawsuit ("the DEQ Proceeding") filed by the State of Arizona and the Arizona Department of Environmental Quality (collectively “DEQ”). The DEQ Proceeding,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is seeking unspecified penalties and costs in connection with the DEQ Proceeding.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Superior Court held a hearing in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and Mistras Arizona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that the improvements were completed, which the DEQ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then inspected. Following the DEQ site visit, Mistras Arizona commenced its chrome plating operations on April 28, 2025. Mistras Arizona has been and intends to continue complying with the Superior Court's ruling. In the meantime, the DEQ Proceeding is ongoing.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(tabular dollars and shares in thousands, except per share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probable that additional investigation and/or remediation costs, as well as fines and penalties will be imposed related to the DEQ Proceeding. However, the Company is unable to estimate the range of loss that it may incur and whether these amounts will be material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Mistras Arizona’s operations in Phoenix are located at a leased site within the footprint of the Motorola 52nd Street Superfund Site (the “Motorola Site”). Mistras Arizona has received two General Notice Letters from the US Environmental Protection Agency (the "EPA"), dated May 21, 2024 and December 1, 2025,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 Mistras Arizona provided the EPA with the requested information in July 2025.</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Pension Related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Certain of the Company’s subsidiaries had significant reductions in their unionized workers in 2018.</w:t>
      </w:r>
      <w:r>
        <w:rPr>
          <w:color w:val="000000"/>
        </w:rPr>
        <w:t xml:space="preserve"> </w:t>
      </w:r>
      <w:r>
        <w:rPr>
          <w:rFonts w:ascii="Times New Roman;serif" w:hAnsi="Times New Roman;serif"/>
          <w:b w:val="false"/>
          <w:color w:val="000000"/>
          <w:sz w:val="20"/>
        </w:rPr>
        <w:t>The collective bargaining agreements for the employees of these subsidiaries required contributions for these employees to two national multi-employer pension funds.</w:t>
      </w:r>
      <w:r>
        <w:rPr>
          <w:color w:val="000000"/>
        </w:rPr>
        <w:t xml:space="preserve"> </w:t>
      </w:r>
      <w:r>
        <w:rPr>
          <w:rFonts w:ascii="Times New Roman;serif" w:hAnsi="Times New Roman;serif"/>
          <w:b w:val="false"/>
          <w:color w:val="000000"/>
          <w:sz w:val="20"/>
        </w:rPr>
        <w:t>The reduction in employees resulted in one of the Company's subsidiaries incurring a complete withdrawal to one of the pension funds under the Employee Retirement Income Security Act of 1974 ("ERISA"), which was fully satisfied in 2019.</w:t>
      </w:r>
      <w:r>
        <w:rPr>
          <w:color w:val="000000"/>
        </w:rPr>
        <w:t xml:space="preserve"> </w:t>
      </w:r>
      <w:r>
        <w:rPr>
          <w:rFonts w:ascii="Times New Roman;serif" w:hAnsi="Times New Roman;serif"/>
          <w:b w:val="false"/>
          <w:color w:val="000000"/>
          <w:sz w:val="20"/>
        </w:rPr>
        <w:t>The Company has determined that the subsidiary is likely to incur partial or complete withdrawal liability to the other pension fund. The balance of the estimated total amount of this potential liability as of June 30, 2026 is approximately $2.1 million, which was incurred in 2018 and 2019.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Segment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three operating segments, which are also the Company's reportable segments, are: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North America:</w:t>
      </w:r>
      <w:r>
        <w:rPr>
          <w:color w:val="000000"/>
        </w:rPr>
        <w:t xml:space="preserve"> </w:t>
      </w:r>
      <w:r>
        <w:rPr>
          <w:rFonts w:ascii="Times New Roman;serif" w:hAnsi="Times New Roman;serif"/>
          <w:b w:val="false"/>
          <w:color w:val="000000"/>
          <w:sz w:val="20"/>
        </w:rPr>
        <w:t>This segment provides asset protection solutions predominantly in North America, 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This segment 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270"/>
        <w:jc w:val="left"/>
        <w:rPr/>
      </w:pPr>
      <w:r>
        <w:rPr>
          <w:color w:val="000000"/>
        </w:rPr>
        <w:t>•</w:t>
      </w:r>
      <w:r>
        <w:rPr>
          <w:rFonts w:ascii="Times New Roman;serif" w:hAnsi="Times New Roman;serif"/>
          <w:b w:val="false"/>
          <w:i/>
          <w:color w:val="000000"/>
          <w:sz w:val="20"/>
        </w:rPr>
        <w:t>Products and Systems:</w:t>
      </w:r>
      <w:r>
        <w:rPr>
          <w:color w:val="000000"/>
        </w:rPr>
        <w:t xml:space="preserve"> </w:t>
      </w:r>
      <w:r>
        <w:rPr>
          <w:rFonts w:ascii="Times New Roman;serif" w:hAnsi="Times New Roman;serif"/>
          <w:b w:val="false"/>
          <w:color w:val="000000"/>
          <w:sz w:val="20"/>
        </w:rPr>
        <w:t>This segment designs, manufactures, sells, installs and services the Company’s asset protection products and systems, including equipment and instrumentation, predominantly in the United States.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chief operating decision maker ("CODM") reviews financial information at the operating segment level to allocate resources and to assess the operating results and financial performance for each operating segment. The Company's CODM is Natalia Shuman, our Chief Executive Officer, as she has final authority over performance assessment and resource allocation decisions. Our segments are based on the type and concentration of customers served, service requirements, methods of distribution and major product lines.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are comprised of revenue, selling, general &amp; administrative expenses, and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expenses." "Other expenses" include cost of revenue, reorganization and environmental costs, depreciation and amortization and research and engineering.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accounting policies of the reportable segments are the same as those described in Note 1 </w:t>
      </w:r>
      <w:r>
        <w:rPr>
          <w:rFonts w:ascii="Times New Roman;serif" w:hAnsi="Times New Roman;serif"/>
          <w:b w:val="false"/>
          <w:i/>
          <w:color w:val="000000"/>
          <w:sz w:val="20"/>
        </w:rPr>
        <w:t xml:space="preserve">- </w:t>
      </w:r>
      <w:r>
        <w:rPr>
          <w:rFonts w:ascii="Times New Roman;serif" w:hAnsi="Times New Roman;serif"/>
          <w:b/>
          <w:i/>
          <w:color w:val="000000"/>
          <w:sz w:val="20"/>
        </w:rPr>
        <w:t>Description of Business and Basis of Presentation</w:t>
      </w:r>
      <w:r>
        <w:rPr>
          <w:rFonts w:ascii="Times New Roman;serif" w:hAnsi="Times New Roman;serif"/>
          <w:b w:val="false"/>
          <w:color w:val="000000"/>
          <w:sz w:val="2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Selected consolidated financial information by segment for the periods shown was as follows. Income (loss) from operations by operating segment includes intercompany transactions, which are eliminated in Corporate and eliminations</w:t>
      </w:r>
      <w:r>
        <w:rPr>
          <w:rFonts w:ascii="Times New Roman;serif" w:hAnsi="Times New Roman;serif"/>
          <w:b w:val="false"/>
          <w:color w:val="008080"/>
          <w:sz w:val="24"/>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2026</w:t>
      </w:r>
    </w:p>
    <w:tbl>
      <w:tblPr>
        <w:tblW w:w="10205" w:type="dxa"/>
        <w:jc w:val="left"/>
        <w:tblInd w:w="0" w:type="dxa"/>
        <w:tblLayout w:type="fixed"/>
        <w:tblCellMar>
          <w:top w:w="28" w:type="dxa"/>
          <w:left w:w="28" w:type="dxa"/>
          <w:bottom w:w="28" w:type="dxa"/>
          <w:right w:w="28" w:type="dxa"/>
        </w:tblCellMar>
      </w:tblPr>
      <w:tblGrid>
        <w:gridCol w:w="632"/>
        <w:gridCol w:w="557"/>
        <w:gridCol w:w="560"/>
        <w:gridCol w:w="212"/>
        <w:gridCol w:w="830"/>
        <w:gridCol w:w="109"/>
        <w:gridCol w:w="109"/>
        <w:gridCol w:w="109"/>
        <w:gridCol w:w="109"/>
        <w:gridCol w:w="216"/>
        <w:gridCol w:w="738"/>
        <w:gridCol w:w="112"/>
        <w:gridCol w:w="109"/>
        <w:gridCol w:w="109"/>
        <w:gridCol w:w="109"/>
        <w:gridCol w:w="232"/>
        <w:gridCol w:w="677"/>
        <w:gridCol w:w="119"/>
        <w:gridCol w:w="109"/>
        <w:gridCol w:w="109"/>
        <w:gridCol w:w="109"/>
        <w:gridCol w:w="232"/>
        <w:gridCol w:w="909"/>
        <w:gridCol w:w="119"/>
        <w:gridCol w:w="109"/>
        <w:gridCol w:w="109"/>
        <w:gridCol w:w="109"/>
        <w:gridCol w:w="239"/>
        <w:gridCol w:w="754"/>
        <w:gridCol w:w="123"/>
        <w:gridCol w:w="109"/>
        <w:gridCol w:w="109"/>
        <w:gridCol w:w="109"/>
        <w:gridCol w:w="211"/>
        <w:gridCol w:w="826"/>
        <w:gridCol w:w="163"/>
      </w:tblGrid>
      <w:tr>
        <w:trPr/>
        <w:tc>
          <w:tcPr>
            <w:tcW w:w="63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and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198,557 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21,448 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three months ended June 30, 2025</w:t>
      </w:r>
    </w:p>
    <w:tbl>
      <w:tblPr>
        <w:tblW w:w="10205" w:type="dxa"/>
        <w:jc w:val="left"/>
        <w:tblInd w:w="0" w:type="dxa"/>
        <w:tblLayout w:type="fixed"/>
        <w:tblCellMar>
          <w:top w:w="28" w:type="dxa"/>
          <w:left w:w="28" w:type="dxa"/>
          <w:bottom w:w="28" w:type="dxa"/>
          <w:right w:w="28" w:type="dxa"/>
        </w:tblCellMar>
      </w:tblPr>
      <w:tblGrid>
        <w:gridCol w:w="621"/>
        <w:gridCol w:w="547"/>
        <w:gridCol w:w="551"/>
        <w:gridCol w:w="212"/>
        <w:gridCol w:w="830"/>
        <w:gridCol w:w="109"/>
        <w:gridCol w:w="109"/>
        <w:gridCol w:w="109"/>
        <w:gridCol w:w="109"/>
        <w:gridCol w:w="216"/>
        <w:gridCol w:w="738"/>
        <w:gridCol w:w="112"/>
        <w:gridCol w:w="109"/>
        <w:gridCol w:w="109"/>
        <w:gridCol w:w="109"/>
        <w:gridCol w:w="229"/>
        <w:gridCol w:w="670"/>
        <w:gridCol w:w="118"/>
        <w:gridCol w:w="109"/>
        <w:gridCol w:w="109"/>
        <w:gridCol w:w="109"/>
        <w:gridCol w:w="229"/>
        <w:gridCol w:w="900"/>
        <w:gridCol w:w="118"/>
        <w:gridCol w:w="109"/>
        <w:gridCol w:w="109"/>
        <w:gridCol w:w="109"/>
        <w:gridCol w:w="231"/>
        <w:gridCol w:w="821"/>
        <w:gridCol w:w="119"/>
        <w:gridCol w:w="109"/>
        <w:gridCol w:w="109"/>
        <w:gridCol w:w="109"/>
        <w:gridCol w:w="211"/>
        <w:gridCol w:w="826"/>
        <w:gridCol w:w="162"/>
      </w:tblGrid>
      <w:tr>
        <w:trPr/>
        <w:tc>
          <w:tcPr>
            <w:tcW w:w="62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and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189,809 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2026</w:t>
      </w:r>
    </w:p>
    <w:tbl>
      <w:tblPr>
        <w:tblW w:w="10205" w:type="dxa"/>
        <w:jc w:val="center"/>
        <w:tblInd w:w="0" w:type="dxa"/>
        <w:tblLayout w:type="fixed"/>
        <w:tblCellMar>
          <w:top w:w="28" w:type="dxa"/>
          <w:left w:w="28" w:type="dxa"/>
          <w:bottom w:w="28" w:type="dxa"/>
          <w:right w:w="28" w:type="dxa"/>
        </w:tblCellMar>
      </w:tblPr>
      <w:tblGrid>
        <w:gridCol w:w="621"/>
        <w:gridCol w:w="547"/>
        <w:gridCol w:w="551"/>
        <w:gridCol w:w="212"/>
        <w:gridCol w:w="830"/>
        <w:gridCol w:w="109"/>
        <w:gridCol w:w="109"/>
        <w:gridCol w:w="109"/>
        <w:gridCol w:w="109"/>
        <w:gridCol w:w="216"/>
        <w:gridCol w:w="738"/>
        <w:gridCol w:w="112"/>
        <w:gridCol w:w="109"/>
        <w:gridCol w:w="109"/>
        <w:gridCol w:w="109"/>
        <w:gridCol w:w="229"/>
        <w:gridCol w:w="670"/>
        <w:gridCol w:w="118"/>
        <w:gridCol w:w="109"/>
        <w:gridCol w:w="109"/>
        <w:gridCol w:w="109"/>
        <w:gridCol w:w="229"/>
        <w:gridCol w:w="900"/>
        <w:gridCol w:w="118"/>
        <w:gridCol w:w="109"/>
        <w:gridCol w:w="109"/>
        <w:gridCol w:w="109"/>
        <w:gridCol w:w="231"/>
        <w:gridCol w:w="821"/>
        <w:gridCol w:w="119"/>
        <w:gridCol w:w="109"/>
        <w:gridCol w:w="109"/>
        <w:gridCol w:w="109"/>
        <w:gridCol w:w="211"/>
        <w:gridCol w:w="826"/>
        <w:gridCol w:w="162"/>
      </w:tblGrid>
      <w:tr>
        <w:trPr/>
        <w:tc>
          <w:tcPr>
            <w:tcW w:w="62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and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372,821 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276,759 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33,332 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six months ended June 30, 2025</w:t>
      </w:r>
    </w:p>
    <w:tbl>
      <w:tblPr>
        <w:tblW w:w="10205" w:type="dxa"/>
        <w:jc w:val="center"/>
        <w:tblInd w:w="0" w:type="dxa"/>
        <w:tblLayout w:type="fixed"/>
        <w:tblCellMar>
          <w:top w:w="28" w:type="dxa"/>
          <w:left w:w="28" w:type="dxa"/>
          <w:bottom w:w="28" w:type="dxa"/>
          <w:right w:w="28" w:type="dxa"/>
        </w:tblCellMar>
      </w:tblPr>
      <w:tblGrid>
        <w:gridCol w:w="621"/>
        <w:gridCol w:w="547"/>
        <w:gridCol w:w="551"/>
        <w:gridCol w:w="212"/>
        <w:gridCol w:w="830"/>
        <w:gridCol w:w="109"/>
        <w:gridCol w:w="109"/>
        <w:gridCol w:w="109"/>
        <w:gridCol w:w="109"/>
        <w:gridCol w:w="216"/>
        <w:gridCol w:w="738"/>
        <w:gridCol w:w="112"/>
        <w:gridCol w:w="109"/>
        <w:gridCol w:w="109"/>
        <w:gridCol w:w="109"/>
        <w:gridCol w:w="229"/>
        <w:gridCol w:w="670"/>
        <w:gridCol w:w="118"/>
        <w:gridCol w:w="109"/>
        <w:gridCol w:w="109"/>
        <w:gridCol w:w="109"/>
        <w:gridCol w:w="229"/>
        <w:gridCol w:w="900"/>
        <w:gridCol w:w="118"/>
        <w:gridCol w:w="109"/>
        <w:gridCol w:w="109"/>
        <w:gridCol w:w="109"/>
        <w:gridCol w:w="231"/>
        <w:gridCol w:w="821"/>
        <w:gridCol w:w="119"/>
        <w:gridCol w:w="109"/>
        <w:gridCol w:w="109"/>
        <w:gridCol w:w="109"/>
        <w:gridCol w:w="211"/>
        <w:gridCol w:w="826"/>
        <w:gridCol w:w="162"/>
      </w:tblGrid>
      <w:tr>
        <w:trPr/>
        <w:tc>
          <w:tcPr>
            <w:tcW w:w="62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 America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International</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Products and Systems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Reportable Segments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 and eliminations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355,016 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29,021 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tables above only reconcile to income (loss) from operations as our measure of segment profitability and the remainder of the reconciliation to net income can be seen on the Unaudited Condensed Consolidated Statement of Income. Products and Systems segment revenue was comprised of approximately $0.6 million and $0.5 million of sales to the International segment, which were eliminated upon consolidation, for the three months ended June 30, 2026 and 2025, respectively. Products and Systems segment revenue was comprised of approximately $1.1 million and $1.5 million of sales to the International segment, which were eliminated upon consolidation, for the six months ended June 30, 2026 and 2025, respectively. Intersegment revenue related to sales between other segments was immaterial for each of the three and six month periods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Selected consolidated financial information by segment for the periods shown was as follows (with intercompany transactions eliminated in Corporate and eliminations):</w:t>
      </w:r>
    </w:p>
    <w:p>
      <w:pPr>
        <w:pStyle w:val="TextBody"/>
        <w:bidi w:val="0"/>
        <w:spacing w:before="0" w:after="0"/>
        <w:jc w:val="left"/>
        <w:rPr/>
      </w:pPr>
      <w:r>
        <w:rPr/>
      </w:r>
    </w:p>
    <w:tbl>
      <w:tblPr>
        <w:tblW w:w="5336" w:type="dxa"/>
        <w:jc w:val="left"/>
        <w:tblInd w:w="0" w:type="dxa"/>
        <w:tblLayout w:type="fixed"/>
        <w:tblCellMar>
          <w:top w:w="28" w:type="dxa"/>
          <w:left w:w="28" w:type="dxa"/>
          <w:bottom w:w="28" w:type="dxa"/>
          <w:right w:w="28" w:type="dxa"/>
        </w:tblCellMar>
      </w:tblPr>
      <w:tblGrid>
        <w:gridCol w:w="847"/>
        <w:gridCol w:w="744"/>
        <w:gridCol w:w="749"/>
        <w:gridCol w:w="228"/>
        <w:gridCol w:w="779"/>
        <w:gridCol w:w="117"/>
        <w:gridCol w:w="109"/>
        <w:gridCol w:w="109"/>
        <w:gridCol w:w="109"/>
        <w:gridCol w:w="300"/>
        <w:gridCol w:w="1026"/>
        <w:gridCol w:w="219"/>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 net</w:t>
            </w:r>
          </w:p>
        </w:tc>
        <w:tc>
          <w:tcPr>
            <w:tcW w:w="112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38,407 </w:t>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tbl>
      <w:tblPr>
        <w:tblW w:w="5357" w:type="dxa"/>
        <w:jc w:val="left"/>
        <w:tblInd w:w="0" w:type="dxa"/>
        <w:tblLayout w:type="fixed"/>
        <w:tblCellMar>
          <w:top w:w="28" w:type="dxa"/>
          <w:left w:w="28" w:type="dxa"/>
          <w:bottom w:w="28" w:type="dxa"/>
          <w:right w:w="28" w:type="dxa"/>
        </w:tblCellMar>
      </w:tblPr>
      <w:tblGrid>
        <w:gridCol w:w="845"/>
        <w:gridCol w:w="745"/>
        <w:gridCol w:w="750"/>
        <w:gridCol w:w="211"/>
        <w:gridCol w:w="826"/>
        <w:gridCol w:w="109"/>
        <w:gridCol w:w="109"/>
        <w:gridCol w:w="109"/>
        <w:gridCol w:w="109"/>
        <w:gridCol w:w="273"/>
        <w:gridCol w:w="1072"/>
        <w:gridCol w:w="199"/>
      </w:tblGrid>
      <w:tr>
        <w:trPr/>
        <w:tc>
          <w:tcPr>
            <w:tcW w:w="8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426,146 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578,781 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5357" w:type="dxa"/>
        <w:jc w:val="left"/>
        <w:tblInd w:w="0" w:type="dxa"/>
        <w:tblLayout w:type="fixed"/>
        <w:tblCellMar>
          <w:top w:w="28" w:type="dxa"/>
          <w:left w:w="28" w:type="dxa"/>
          <w:bottom w:w="28" w:type="dxa"/>
          <w:right w:w="28" w:type="dxa"/>
        </w:tblCellMar>
      </w:tblPr>
      <w:tblGrid>
        <w:gridCol w:w="849"/>
        <w:gridCol w:w="743"/>
        <w:gridCol w:w="748"/>
        <w:gridCol w:w="211"/>
        <w:gridCol w:w="826"/>
        <w:gridCol w:w="109"/>
        <w:gridCol w:w="109"/>
        <w:gridCol w:w="109"/>
        <w:gridCol w:w="109"/>
        <w:gridCol w:w="273"/>
        <w:gridCol w:w="1072"/>
        <w:gridCol w:w="199"/>
      </w:tblGrid>
      <w:tr>
        <w:trPr/>
        <w:tc>
          <w:tcPr>
            <w:tcW w:w="84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Long-lived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278,419 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27,900 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316,400 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Refer to Note 2 - </w:t>
      </w:r>
      <w:r>
        <w:rPr>
          <w:rFonts w:ascii="Times New Roman;serif" w:hAnsi="Times New Roman;serif"/>
          <w:b/>
          <w:i/>
          <w:color w:val="000000"/>
          <w:sz w:val="20"/>
        </w:rPr>
        <w:t>Revenue</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for revenue by geographic area for the three and six months ended June 30, 2026 and 2025.</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entered into an amendment (the "Amendment") to its Credit Agreement dated August 1, 2022, with the lenders party thereto and JPMorgan Chase Bank, N.A., as administrative agent. The Amendment extended the maturity date of the Company’s $190.0 million revolving credit facility and approximately $90.6 million term loan under the Credit Agreement from July 30, 2027 to July 28, 2028.</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In connection with the Amendment, the Company incurred an extension fee equal to a total of 0.15% of the aggregate committed amount of the revolving credit facility and term loan held by participating lenders. There were no other changes to the material terms of the Credit Agreement, including the applicable interest rate provisions and financial covenants, which remained substantially unchanged. Refer to Note 11 - </w:t>
      </w:r>
      <w:r>
        <w:rPr>
          <w:rFonts w:ascii="Times New Roman;serif" w:hAnsi="Times New Roman;serif"/>
          <w:b/>
          <w:i/>
          <w:color w:val="000000"/>
          <w:sz w:val="20"/>
        </w:rPr>
        <w:t xml:space="preserve">Long-Term Debt </w:t>
      </w:r>
      <w:r>
        <w:rPr>
          <w:rFonts w:ascii="Times New Roman;serif" w:hAnsi="Times New Roman;serif"/>
          <w:b w:val="false"/>
          <w:color w:val="000000"/>
          <w:sz w:val="20"/>
        </w:rPr>
        <w:t xml:space="preserve">for more details regarding the terms of the Credit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Amendment does not purport to be complete and is qualified in its entirety by reference to the Amendment, which is filed as Exhibit 10.1 to this Quarterly Report on Form 10-Q and is incorporated by reference herein.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(“MD&amp;A”) provides a discussion of our results of operations and financial position for the three and six months ended June 30, 2026 and 2025. The MD&amp;A should be read together with our Unaudited Condensed Consolidated Financial Statements and related notes included in Item 1 in this Quarterly Report on Form 10-Q (the "Quarterly Report") and our audited consolidated financial statements and related notes included in our 2025 Annual Report. Unless otherwise specified or the context otherwise requires, “Mistras,” “the Company,” “we,” “us” and “our” refer to Mistras Group, Inc. and its consolidated subsidiaries. The MD&amp;A includes the following sections: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Overview</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Note about Non-GAAP Measures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Consolidated Results of Operations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Liquidity and Capital Resources</w:t>
      </w:r>
    </w:p>
    <w:p>
      <w:pPr>
        <w:pStyle w:val="TextBody"/>
        <w:bidi w:val="0"/>
        <w:spacing w:lineRule="auto" w:line="288" w:before="0" w:after="0"/>
        <w:jc w:val="left"/>
        <w:rPr/>
      </w:pPr>
      <w:r>
        <w:rPr>
          <w:color w:val="000000"/>
        </w:rPr>
        <w:t>•</w:t>
      </w:r>
      <w:r>
        <w:rPr>
          <w:rFonts w:ascii="Times New Roman;serif" w:hAnsi="Times New Roman;serif"/>
          <w:b w:val="false"/>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including any impacts from the imposition of tariffs or other trade restrictions, changes to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U.S. trade policy and impacts and uncertainty arising from geopolitical instability and conflicts (including those related to the wars in the Middle East and Ukraine) include, without limitation, those discussed in the “Business—Forward-Looking Statements,” and “Risk Factors” sections of our 2025 Annual Report as well as those discussed in this Quarterly Report and in our other filings with the SEC. In addition, there are various developments discussed below which could create risks and uncertainty about our business, results of operations or liquidity.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global leader in technology-enabled industrial asset integrity solutions, serving critical industries including oil &amp; gas, aerospace &amp; defense, power &amp; utilities, manufacturing, and civil infrastructure.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enhances value for its clients by integrating asset protection throughout supply chains and centralizing integrity data through a suite of Industrial Internet of Things ("IoT")-connected digital software and monitoring solutions, including OneSuite™, which serves as an ecosystem platform, pulling together all of the Company’s software and data services capabilities.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core capabilities also include NDT field inspections enhanced by advanced robotics, laboratory quality control and assurance testing, sensing technologies and NDT equipment, asset and mechanical integrity engineering services, and light mechanical maintenance and access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operations consist of three reportable segments: North America, International, and Products and Systems.</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i/>
          <w:color w:val="000000"/>
          <w:sz w:val="20"/>
        </w:rPr>
        <w:t>North America</w:t>
      </w:r>
      <w:r>
        <w:rPr>
          <w:color w:val="000000"/>
        </w:rPr>
        <w:t xml:space="preserve"> </w:t>
      </w:r>
      <w:r>
        <w:rPr>
          <w:rFonts w:ascii="Times New Roman;serif" w:hAnsi="Times New Roman;serif"/>
          <w:b w:val="false"/>
          <w:color w:val="000000"/>
          <w:sz w:val="20"/>
        </w:rPr>
        <w:t>provides asset protection solutions predominantly in North America, with the largest concentration in the United 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International</w:t>
      </w:r>
      <w:r>
        <w:rPr>
          <w:color w:val="000000"/>
        </w:rPr>
        <w:t xml:space="preserve"> </w:t>
      </w:r>
      <w:r>
        <w:rPr>
          <w:rFonts w:ascii="Times New Roman;serif" w:hAnsi="Times New Roman;serif"/>
          <w:b w:val="false"/>
          <w:color w:val="000000"/>
          <w:sz w:val="20"/>
        </w:rPr>
        <w:t>offers services, products and systems similar to those of the other segments to select markets within Europe, the Middle East, Africa, Asia and South America, but not to customers in China and South Korea, which are served by the Products and Systems segment.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Products and Systems</w:t>
      </w:r>
      <w:r>
        <w:rPr>
          <w:color w:val="000000"/>
        </w:rPr>
        <w:t xml:space="preserve"> </w:t>
      </w:r>
      <w:r>
        <w:rPr>
          <w:rFonts w:ascii="Times New Roman;serif" w:hAnsi="Times New Roman;serif"/>
          <w:b w:val="false"/>
          <w:color w:val="000000"/>
          <w:sz w:val="20"/>
        </w:rPr>
        <w:t>designs, manufactures, sells, installs and services the Company’s asset protection products and systems, including equipment and instrumentation, predominantly in the United States.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oil and gas, aerospace and defense, industrials, power generation and transmission (including alternative and renewable energy), infrastructure, research and engineering, petrochemical, and other process industries.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long-term growth can be realized in our target markets. Our level of business and financial results are impacted by world-wide macro- and micro-economic conditions generally, as well as those within our target markets. Among other things, we expect the timing of our oil and gas customers' inspection spending to be impacted by fluctuations in oil prices and broader market conditions, including potential geopolitical disruptions and uncertainty arising from conflicts in the Middle East.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 </w:t>
      </w:r>
    </w:p>
    <w:p>
      <w:pPr>
        <w:pStyle w:val="TextBody"/>
        <w:bidi w:val="0"/>
        <w:spacing w:before="0" w:after="0"/>
        <w:jc w:val="left"/>
        <w:rPr/>
      </w:pPr>
      <w:r>
        <w:rPr/>
      </w:r>
    </w:p>
    <w:p>
      <w:pPr>
        <w:pStyle w:val="TextBody"/>
        <w:bidi w:val="0"/>
        <w:spacing w:lineRule="auto" w:line="247" w:before="0" w:after="0"/>
        <w:jc w:val="left"/>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cash position and liquidity remains strong. As of June 30, 2026, our cash and cash equivalents balance was approximately $22.0 million, and we had available borrowing capacity of up to $106.3 million under the revolving credit facility under our Credit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Company entered into an amendment (the "Amendment") to its Credit Agreement dated August 1, 2022, with the lenders party thereto and JPMorgan Chase Bank, N.A., as administrative agent. The Amendment extended the maturity date of the Company’s $190.0 million revolving credit facility and approximately $90.6 million term loan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Credit Agreement from July 30, 2027 to July 28, 2028. In connection with the Amendment, the Company incurred an extension fee equal to a total of 0.15% of the aggregate committed amount of the revolving credit facility and term loan held by participating lenders. There were no other changes to the material terms of the Credit Agreement, including the applicable interest rate provisions and financial covenants, which remained substantially unchanged. Refer to Note 11 - </w:t>
      </w:r>
      <w:r>
        <w:rPr>
          <w:rFonts w:ascii="Times New Roman;serif" w:hAnsi="Times New Roman;serif"/>
          <w:b/>
          <w:i/>
          <w:color w:val="000000"/>
          <w:sz w:val="20"/>
        </w:rPr>
        <w:t xml:space="preserve">Long-Term Debt </w:t>
      </w:r>
      <w:r>
        <w:rPr>
          <w:rFonts w:ascii="Times New Roman;serif" w:hAnsi="Times New Roman;serif"/>
          <w:b w:val="false"/>
          <w:color w:val="000000"/>
          <w:sz w:val="20"/>
        </w:rPr>
        <w:t xml:space="preserve">for more details regarding the terms of the Credit Agreement.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global trade landscape continues to be highly volatile. During 2025, the U.S. government implemented a series of trade tariffs on goods imported into the U.S. from various countries, many of which prompted reciprocal tariffs and other trade measures affecting U.S. exports. The ongoing tariff environment remains complex and continues to evolve as legal proceedings and trade negotiations progress. In February 2026, the U.S. Supreme Court ruled that the International Emergency Economic Powers Act ("IEEPA"), which the U.S. government relied upon to impose certain tariffs, does not authorize the imposition of tariffs. Following that decision, the U.S. Court of International Trade directed the U.S. Customs and Border Protection ("CBP") to begin processing refunds of previously collected IEEPA tariffs, and during the second quarter of 2026, CBP commenced accepting and processing refund claims. In response to the U.S. Supreme Court's ruling, the U.S. administration implemented replacement tariffs under alternative statutory authorities, including Section 122 of the Trade Act of 1974, while also pursuing additional tariff actions under other existing trade authorities. Certain of these replacement tariffs have also been challenged in court, and the related litigation remains ongoing. On July 24, 2026, the U.S. administration announced the implementation of additional tariffs ranging from 10% to 12.5% on imports from numerous trading partners under Section 301 of the Trade Act of 1974. Accordingly, the ultimate scope, duration and financial impact of U.S. trade measures remain uncertain. Ongoing changes to trade policies and related uncertainty may affect global economic conditions, supply chains and costs, and may reduce trade between the U.S. and impacted countries. Tariffs and trade barriers have not had a material effect on our business or results of operations during 2026 to date. However, new tariffs or other trade measures could result in increased costs for us or our suppliers and could impact the import of materials by our customers, including materials subject to our inspection and testing services, which could adversely affect demand for our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Geopolitical tensions in the Middle East, including the conflict involving the U.S. and Iran, have contributed to increased volatility in global energy markets and broader macroeconomic uncertainty. The conflict has increased uncertainty surrounding global energy supplies, international shipping routes and supply chains, contributing to fluctuations in oil and natural gas prices and increased costs for certain materials and transportation. Fluctuations in crude oil and natural gas prices may influence capital spending and maintenance activity by customers in the oil and gas sector, which could affect demand for certain of our services, particularly field inspection and asset integrity solutions. Additionally, continued instability in the Middle East could contribute to supply chain disruptions, changes in foreign currency exchange rates, and delays in customer projects. While we have not experienced material impacts to date, the situation remains dynamic, and we continue to monitor developments and assess potential impacts on our operations,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 About Non-GAAP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The Company prepares its consolidated financial statements in accordance with GAAP.</w:t>
      </w:r>
      <w:r>
        <w:rPr>
          <w:color w:val="000000"/>
        </w:rPr>
        <w:t xml:space="preserve"> </w:t>
      </w:r>
      <w:r>
        <w:rPr>
          <w:rFonts w:ascii="Times New Roman;serif" w:hAnsi="Times New Roman;serif"/>
          <w:b w:val="false"/>
          <w:color w:val="000000"/>
          <w:sz w:val="20"/>
        </w:rPr>
        <w:t xml:space="preserve">In this MD&amp;A under the heading "Income from Operations", the non-GAAP financial performance measure "Income from operations before special items” is used for each of our three operating segments, “Corporate and Eliminations” and the "Total Company", with tables reconciling the measure to a financial measure under GAAP. This presentation excludes from "Income from Operations" (a) reorganization and other costs, which includes items such as severance, labor relations matters and asset and lease termination costs and (b) environmental expense, which relates to costs associated with the environmental matter at the Phoenix lab operated by Mistras Arizona, as described in Note 13 to the Unaudited Condensed Consolidated Financial Statements in this Quarterly Report. These adjustments have been excluded from the GAAP measure because these expenses and credits are not related to our or any individual segment's core business operations. Our management uses this non-GAAP measure as a measure of operating performance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from operations before special items excludes the identified adjustments, which provides additional tools to compare our core business operating performance on a consistent basis and measure underlying trends and results in our business. Income from operations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measure and should not be considered an alternative to net income or any other measures derived in accordance with GAAP. Because Income from operations before special items may not be calculated in the same manner by all companies, this measure may not be comparable to other similarly titled measures used by other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Condensed consolidated results of operations for the three and six months ended June 30, 2026 and 2025 were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340"/>
        <w:gridCol w:w="1137"/>
        <w:gridCol w:w="1142"/>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55"/>
      </w:tblGrid>
      <w:tr>
        <w:trPr/>
        <w:tc>
          <w:tcPr>
            <w:tcW w:w="134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profit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Income from operations as a %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(benefit)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Mistras Group,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was $193.1 million for the three months ended June 30, 2026, an increase of $7.7 million, or 4.2%, compared with the three months ended June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segment for the three and six months ended June 30, 2026 and 2025 were as follows:</w:t>
      </w:r>
    </w:p>
    <w:tbl>
      <w:tblPr>
        <w:tblW w:w="7949" w:type="dxa"/>
        <w:jc w:val="center"/>
        <w:tblInd w:w="0" w:type="dxa"/>
        <w:tblLayout w:type="fixed"/>
        <w:tblCellMar>
          <w:top w:w="28" w:type="dxa"/>
          <w:left w:w="28" w:type="dxa"/>
          <w:bottom w:w="28" w:type="dxa"/>
          <w:right w:w="28" w:type="dxa"/>
        </w:tblCellMar>
      </w:tblPr>
      <w:tblGrid>
        <w:gridCol w:w="846"/>
        <w:gridCol w:w="746"/>
        <w:gridCol w:w="74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1" w:type="dxa"/>
            <w:gridSpan w:val="12"/>
            <w:tcBorders/>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Three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three months ended June 30, 2026, total revenue increased 4.2% versus the prior year comparable period due predominantly to a low-single-digit organic increase driven by increases in the aerospace and defense, power generation and transmission, infrastructure, research, and engineering, and petrochemical end markets. North America segment revenue increased 5.8%, driven predominantly by the aerospace and defense, power generation and transmission, infrastructure, research, and engineering, and process industries end markets as a result of strong market demand. International segment revenue decreased 2.7%, due predominantly to a mid-single-digit organic decrease driven by lower market demand. The decrease was partially offset by a low-single-digit favorable impact of foreign exchange rates. Products and Systems segment revenue increased by 43.0%, due to increased sales volume and shipments as compared to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Oil and gas customer revenue comprised approximately 49% and 55% of total revenue for the three months ended June 30, 2026 and 2025, respectively. Aerospace and defense customer revenue comprised approximately 14% and 13% of total revenue for the three months ended June 30, 2026 and 2025, respectively. The Company’s top ten customers comprised approximately 35% of total revenue for both the three months ended June 30, 2026 and 2025, with no customer accounting for 10% or more of total revenue in either three-month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Six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total revenue increased 4.4% versus the prior year comparable period due predominantly to a low single-digit organic increase and a low-single-digit favorable impact of foreign exchange rates. North America segment revenue increased 5.4% versus the prior year comparable period, driven by the aerospace and defense, power generation and transmission, infrastructure, research, and engineering end markets. International segment revenue increased 2.8% versus the prior year comparable period, due to a mid-single-digit favorable impact of foreign exchange rates, partially offset by a low-single-digit organic decrease. Products and Systems segment revenue increased by 12.7%, due to increased sales volume and shipments as compared to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Oil and gas customer revenue comprised approximately 50% and 57% of total revenue for the six months ended June 30, 2026 and 2025, respectively. Aerospace and defense customer revenue comprised approximately 15% and 13% of total revenue for the six months ended June 30, 2026 and 2025, respectively. The Company’s top ten customers comprised approximately 35% and 37% of total revenue for the six months ended June 30, 2026 and 2025, respectively, with no customer accounting for 10% or more of total revenue in either six-month period. </w:t>
      </w:r>
    </w:p>
    <w:p>
      <w:pPr>
        <w:pStyle w:val="TextBody"/>
        <w:bidi w:val="0"/>
        <w:spacing w:before="0" w:after="0"/>
        <w:jc w:val="left"/>
        <w:rPr/>
      </w:pPr>
      <w:r>
        <w:rPr/>
      </w:r>
    </w:p>
    <w:tbl>
      <w:tblPr>
        <w:tblW w:w="7844" w:type="dxa"/>
        <w:jc w:val="left"/>
        <w:tblInd w:w="0" w:type="dxa"/>
        <w:tblLayout w:type="fixed"/>
        <w:tblCellMar>
          <w:top w:w="28" w:type="dxa"/>
          <w:left w:w="28" w:type="dxa"/>
          <w:bottom w:w="28" w:type="dxa"/>
          <w:right w:w="28" w:type="dxa"/>
        </w:tblCellMar>
      </w:tblPr>
      <w:tblGrid>
        <w:gridCol w:w="807"/>
        <w:gridCol w:w="712"/>
        <w:gridCol w:w="71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07"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Revenue by type</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Integrated Field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In-Laboratory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 presenting the allocation of revenue by type in the table above, management makes certain assumptions in its allocation of revenue from laboratories that provide more than one type of service. The allocation methodology and assumptions made are consistent for the years presented.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Integrated Field Solutions revenue is comprised of revenue derived from on-site asset inspection, maintenance, and related technical services performed by our technicians at customer locations, as well as data-driven solutions, including software, analytics, and implementation services that provide insights and recommendations to enhance asset integrity and performance. Integrated Field Solutions revenue increased by $5.8 million for the three months ended June 30, 2026 as compared to the three months ended June 30, 2025 and increased by $6.5 million for the six months ended June 30, 2026 as compared to the six months ended June 30, 2025, primarily due to increases in sales volume in our power generation and transmission and infrastructure, research and engineering end markets as a result of strong market demand, partially offset by decreases in sales volume in our oil and gas end market within our North America and International segments.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In-Laboratory Services revenue is comprised of quality assurance inspections of components and materials at our in-house laboratory facilities. In-Laboratory Services revenue increased by $1.9 million for the three months ended June 30, 2026 as compared to the three months ended June 30, 2025, and increased by $8.6 million for the six months ended June 30, 2026 as compared to the six months ended June 30, 2025, primarily due to increased sales volumes in our aerospace and defense end market in our North America segment.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Gross Profit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Gross profit increased by $2.5 million, or 4.6%, in the three months ended June 30, 2026 versus the prior year comparable period primarily due to </w:t>
      </w:r>
      <w:r>
        <w:rPr>
          <w:rFonts w:ascii="Times New Roman;serif" w:hAnsi="Times New Roman;serif"/>
          <w:b w:val="false"/>
          <w:color w:val="1D2228"/>
          <w:sz w:val="20"/>
        </w:rPr>
        <w:t>an improved and diversified business mix and operating efficiencies</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 by segment for the three and six months ended June 30, 2026 and 2025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8282" w:type="dxa"/>
        <w:jc w:val="left"/>
        <w:tblInd w:w="0" w:type="dxa"/>
        <w:tblLayout w:type="fixed"/>
        <w:tblCellMar>
          <w:top w:w="28" w:type="dxa"/>
          <w:left w:w="28" w:type="dxa"/>
          <w:bottom w:w="28" w:type="dxa"/>
          <w:right w:w="28" w:type="dxa"/>
        </w:tblCellMar>
      </w:tblPr>
      <w:tblGrid>
        <w:gridCol w:w="848"/>
        <w:gridCol w:w="744"/>
        <w:gridCol w:w="747"/>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6"/>
      </w:tblGrid>
      <w:tr>
        <w:trPr/>
        <w:tc>
          <w:tcPr>
            <w:tcW w:w="84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10" w:type="dxa"/>
            <w:gridSpan w:val="12"/>
            <w:tcBorders/>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70,549 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 and Systems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segment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eliminations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101,177 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94,837 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total revenue</w:t>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29.2 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27.9 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27.3 </w:t>
            </w:r>
          </w:p>
        </w:tc>
        <w:tc>
          <w:tcPr>
            <w:tcW w:w="3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Three Months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margin was 29.2% and 29.1% for the three-month periods ended June 30, 2026 and 2025, respectively. Gross profit margin for the North America segment increased by 0.2% for the three months ended June 30, 2026 as compared to the prior year comparable period primarily due to an improved and diversified business mix and operating efficiencies. International segment realized a 0.4% decline in gross profit margin to 31.0% for the three months ended June 30, 2026 as compared to the prior year comparable period primarily due to a less favorable sales mix in the current year period. Products and Systems segment gross margin had a decrease of 2.0% to 46.8% for the three months ended June 30, 2026 primarily due to a less favorable sales mix as compared to the prior period.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Six Months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margin was 27.9% and 27.3% for the six-month periods ended June 30, 2026 and 2025, respectively. Gross profit margin for the North America segment increased 0.7% increase to 26.2% for the six months ended June 30, 2026 as compared to the prior year comparable period primarily due to an improved and diversified business mix and operating efficiencies. International segment profit margin remained flat period over period. Products and Systems segment gross margin had a decline of 6.6% to 44.2% for the six months ended June 30, 2026 primarily due to a less favorable sales mix as compared to the prior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 for the three and six months ended June 30, 2026 and 2025 was as follows:</w:t>
      </w:r>
    </w:p>
    <w:p>
      <w:pPr>
        <w:pStyle w:val="TextBody"/>
        <w:bidi w:val="0"/>
        <w:spacing w:before="0" w:after="0"/>
        <w:jc w:val="left"/>
        <w:rPr/>
      </w:pPr>
      <w:r>
        <w:rPr/>
      </w:r>
    </w:p>
    <w:tbl>
      <w:tblPr>
        <w:tblW w:w="9252" w:type="dxa"/>
        <w:jc w:val="left"/>
        <w:tblInd w:w="0" w:type="dxa"/>
        <w:tblLayout w:type="fixed"/>
        <w:tblCellMar>
          <w:top w:w="28" w:type="dxa"/>
          <w:left w:w="28" w:type="dxa"/>
          <w:bottom w:w="28" w:type="dxa"/>
          <w:right w:w="28" w:type="dxa"/>
        </w:tblCellMar>
      </w:tblPr>
      <w:tblGrid>
        <w:gridCol w:w="1353"/>
        <w:gridCol w:w="1188"/>
        <w:gridCol w:w="119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6"/>
            <w:tcBorders/>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engineering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Three Months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Operating expenses decreased $2.0 million, or 4.4%, for the three months ended June 30, 2026 compared to the three months ended June 30, 2025. Selling, general and administrative expenses decreased $1.1 million during the three months ended June 30, 2026 compared to the three months ended June 30, 2025, due to ongoing cost management activities. Reorganization and other costs decreased by $1.4 million to $1.5 million as compared to the prior year comparable period due to lower restructuring activity, including workforce reductions and laboratory rationalization initiatives in the three months ended June 30, 2025</w:t>
      </w:r>
      <w:r>
        <w:rPr>
          <w:rFonts w:ascii="Times New Roman;serif" w:hAnsi="Times New Roman;serif"/>
          <w:b w:val="false"/>
          <w:color w:val="000000"/>
          <w:sz w:val="18"/>
        </w:rPr>
        <w:t>, w</w:t>
      </w:r>
      <w:r>
        <w:rPr>
          <w:rFonts w:ascii="Times New Roman;serif" w:hAnsi="Times New Roman;serif"/>
          <w:b w:val="false"/>
          <w:color w:val="000000"/>
          <w:sz w:val="20"/>
        </w:rPr>
        <w:t>hich did not recur at similar levels during the current year period. Environmental expense decreased by $0.1 million as compared to the prior year comparable period due to lower expenses related to the ongoing remediation efforts related to the Mistras Arizona claim discussed in Note 13 - Commitments and Contingencies. Research and engineering expenses remained flat period over period. Depreciation and amortization increased by $0.6 million during the three months ended June 30, 2026 compared to the three months ended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Six Months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Operating expenses decreased $3.9 million, or 4.4%, for the six months ended June 30, 2026 compared to the six months ended June 30, 2025. Selling, general and administrative expenses increased $0.3 million during the six months ended June 30, 2026 compared to the six months ended June 30, 2025, due to strategic investments in our operations to support commercial execution and promote growth in our strategic markets, while maintaining discipline in overhead cost. Reorganization and other costs decreased by $4.0 million to $2.0 million as compared to the prior year comparable period due to lower restructuring activity, including workforce reductions and laboratory rationalization initiatives in the six months ended June 30, 2025</w:t>
      </w:r>
      <w:r>
        <w:rPr>
          <w:rFonts w:ascii="Times New Roman;serif" w:hAnsi="Times New Roman;serif"/>
          <w:b w:val="false"/>
          <w:color w:val="000000"/>
          <w:sz w:val="18"/>
        </w:rPr>
        <w:t>, w</w:t>
      </w:r>
      <w:r>
        <w:rPr>
          <w:rFonts w:ascii="Times New Roman;serif" w:hAnsi="Times New Roman;serif"/>
          <w:b w:val="false"/>
          <w:color w:val="000000"/>
          <w:sz w:val="20"/>
        </w:rPr>
        <w:t xml:space="preserve">hich did not recur at similar levels during the current year period. Environmental expense decreased by $0.7 million as compared to the prior year comparable period due to lower expenses related to the ongoing remediation efforts related to the Mistras Arizona claim discussed in Note 13 - Commitments and Contingencies. Research and engineering expenses decreased by $0.1 million during the six months ended June 30, 2026 compared to the six months ended June 30, 2025. Depreciation and amortization increased by $0.7 million during the six months ended June 30, 2026 compared to the six months ended June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(Loss) from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shows a reconciliation of the income from operations to income from operations before special items for each of our three segments, Corporate and Elimination and for the Company in total:</w:t>
      </w:r>
    </w:p>
    <w:tbl>
      <w:tblPr>
        <w:tblW w:w="10155" w:type="dxa"/>
        <w:jc w:val="left"/>
        <w:tblInd w:w="0" w:type="dxa"/>
        <w:tblLayout w:type="fixed"/>
        <w:tblCellMar>
          <w:top w:w="28" w:type="dxa"/>
          <w:left w:w="28" w:type="dxa"/>
          <w:bottom w:w="28" w:type="dxa"/>
          <w:right w:w="28" w:type="dxa"/>
        </w:tblCellMar>
      </w:tblPr>
      <w:tblGrid>
        <w:gridCol w:w="1717"/>
        <w:gridCol w:w="1505"/>
        <w:gridCol w:w="1518"/>
        <w:gridCol w:w="211"/>
        <w:gridCol w:w="721"/>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931" w:type="dxa"/>
            <w:gridSpan w:val="12"/>
            <w:tcBorders/>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Products and Systems: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Corporate and Eliminations: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(GAAP)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 before special items (non-GAAP)</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Company: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Reorganization and other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special items (non-GAAP)</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section </w:t>
      </w:r>
      <w:r>
        <w:rPr>
          <w:rFonts w:ascii="Times New Roman;serif" w:hAnsi="Times New Roman;serif"/>
          <w:b/>
          <w:i/>
          <w:color w:val="000000"/>
          <w:sz w:val="20"/>
        </w:rPr>
        <w:t>Note About Non-GAAP Measures</w:t>
      </w:r>
      <w:r>
        <w:rPr>
          <w:color w:val="000000"/>
        </w:rPr>
        <w:t xml:space="preserve"> </w:t>
      </w:r>
      <w:r>
        <w:rPr>
          <w:rFonts w:ascii="Times New Roman;serif" w:hAnsi="Times New Roman;serif"/>
          <w:b w:val="false"/>
          <w:color w:val="000000"/>
          <w:sz w:val="20"/>
        </w:rPr>
        <w:t>in this Quarterly Report for an explanation of the use of non-GAAP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Three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income from operations (GAAP) increased $4.5 million, or 53.6%, compared to the three months ended June 30, 2025, while income from operations before special items (non-GAAP) increased by $3.0 million, or 25.5%. As a percentage of revenue, income from operations before special items increased by 130 basis points to 7.7% in the three months ended June 30, 2026 compared to 6.4% in the three months ended June 30, 2025.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Six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income from operations (GAAP) increased $10.2 million, or 137.7%, compared to the six months ended June 30, 2025, while income from operations before special items (non-GAAP) increased by $5.4 million, or 37.5%. As a percentage of revenue, income from operations before special items increased by 130 basis points to 5.5% in the six months ended June 30, 2026 compared to 4.2% in the six months ended June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Expense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was approximately $4.1 million and $4.2 million for the three months ended June 30, 2026 and 2025, respectively. This decrease of $0.1 million in interest expense was a result of lower interest rates during the three months ended June 30, 2026 in comparison to the prior year comparable period. Interest expense was approximately $7.0 million and $7.6 million for the six months ended June 30, 2026 and 2025, respectively. This decrease of $0.5 million in interest expense was a result of lower interest rates and lower average borrowings outstanding during the six months ended June 30, 2026 in comparison to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was approximately 23.1% and 25.4% for the three months ended June 30, 2026 and 2025, respectively. Our effective income tax rate was approximately 21.1% and 71.4% for the six months ended June 30, 2026 and 2025, respectively.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three months ended June 30, 2026, was higher than the statutory rate primarily due to limitations on the deductibility of certain compensation expenses. The effective income tax rate for the three months ended June 30, 2025 was higher than the statutory rate primarily due to the impact of an unfavorable discrete item related to stock compensation.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for the six months ended June 30, 2026, was higher than the statutory rate primarily due to limitations on the deductibility of certain compensation expenses. The effective income tax rate for the six months ended June 30, 2025, was higher than the statutory rate primarily due to the reversal of valuation allowances.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H.R.1, commonly referred to as the One Big Beautiful Bill Act ("OBBBA"), was enacted, which includes a broad range of tax reform provisions. These tax reform provisions include the extension and modification of certain provisions of the Tax Cuts and Jobs Act and are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three and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flows are summarized in the table below:</w:t>
      </w:r>
    </w:p>
    <w:tbl>
      <w:tblPr>
        <w:tblW w:w="5813" w:type="dxa"/>
        <w:jc w:val="left"/>
        <w:tblInd w:w="0" w:type="dxa"/>
        <w:tblLayout w:type="fixed"/>
        <w:tblCellMar>
          <w:top w:w="28" w:type="dxa"/>
          <w:left w:w="28" w:type="dxa"/>
          <w:bottom w:w="28" w:type="dxa"/>
          <w:right w:w="28" w:type="dxa"/>
        </w:tblCellMar>
      </w:tblPr>
      <w:tblGrid>
        <w:gridCol w:w="1225"/>
        <w:gridCol w:w="1078"/>
        <w:gridCol w:w="1086"/>
        <w:gridCol w:w="211"/>
        <w:gridCol w:w="721"/>
        <w:gridCol w:w="109"/>
        <w:gridCol w:w="109"/>
        <w:gridCol w:w="109"/>
        <w:gridCol w:w="109"/>
        <w:gridCol w:w="211"/>
        <w:gridCol w:w="691"/>
        <w:gridCol w:w="154"/>
      </w:tblGrid>
      <w:tr>
        <w:trPr/>
        <w:tc>
          <w:tcPr>
            <w:tcW w:w="122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383" w:type="dxa"/>
            <w:gridSpan w:val="6"/>
            <w:tcBorders/>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w:t>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Mistras Group,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(tabular dollars are in thousands)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from 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cash provided by operating activities was $17.7 million, representing a year-over-year increase of $21.3 million, or 590%. This increase was primarily attributable to an increase in net income and movements in working capital, primarily due to higher collections of accounts receivable as compared to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from 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cash used in investing activities was $11.9 million, representing a $0.4 million increase compared to the prior year comparable period. The increase is primarily attributable to increased expenditures for property, plant, and equipment and intangible assets, partially offset by an increase in proceeds from sale of equipment.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from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$11.2 million for the six months ended June 30, 2026, compared to net cash provided by financing activities of $14.9 million for the six months ended June 30, 2025. During the six months ended June 30, 2026, net payments of debt were approximately $9.5 million compared to net borrowings of debt of $16.4 million in the prior year comparable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effect of exchange rate changes on our cash and cash equivalents was a decrease of $0.6 million in the six months ended June 30, 2026, compared to an increase of $1.8 million for the six months ended June 30,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Cash Balance and Credit Facility Borrowings</w:t>
      </w:r>
      <w:r>
        <w:rPr>
          <w:color w:val="000000"/>
        </w:rPr>
        <w:t xml:space="preserve"> </w:t>
      </w:r>
    </w:p>
    <w:p>
      <w:pPr>
        <w:pStyle w:val="TextBody"/>
        <w:bidi w:val="0"/>
        <w:spacing w:lineRule="auto" w:line="276"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totaling $22.0 million and $106.3 million of unused commitments under our Credit Agreement with borrowings of $170.5 million and $3.8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the terms of the Credit Agreement and will continuously monitor our compliance with the covenants contained in the Credit Agreement. The Company believes that it is probable that the Company will be able to comply with the financial covenants in the Credit Agreement and that sufficient credit remains available under the Credit Agreement to meet the Company's liquidity needs. However, such matters cannot be predicted with certainty.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terms of our Credit Agreement are described in Note </w:t>
      </w:r>
      <w:r>
        <w:rPr>
          <w:rFonts w:ascii="Times New Roman;serif" w:hAnsi="Times New Roman;serif"/>
          <w:b/>
          <w:color w:val="000000"/>
          <w:sz w:val="20"/>
        </w:rPr>
        <w:t xml:space="preserve">11 </w:t>
      </w:r>
      <w:r>
        <w:rPr>
          <w:rFonts w:ascii="Times New Roman;serif" w:hAnsi="Times New Roman;serif"/>
          <w:b w:val="false"/>
          <w:color w:val="000000"/>
          <w:sz w:val="20"/>
        </w:rPr>
        <w:t xml:space="preserve">- </w:t>
      </w:r>
      <w:r>
        <w:rPr>
          <w:rFonts w:ascii="Times New Roman;serif" w:hAnsi="Times New Roman;serif"/>
          <w:b/>
          <w:i/>
          <w:color w:val="000000"/>
          <w:sz w:val="20"/>
        </w:rPr>
        <w:t xml:space="preserve">Long-Term Debt </w:t>
      </w:r>
      <w:r>
        <w:rPr>
          <w:rFonts w:ascii="Times New Roman;serif" w:hAnsi="Times New Roman;serif"/>
          <w:b w:val="false"/>
          <w:color w:val="000000"/>
          <w:sz w:val="20"/>
        </w:rPr>
        <w:t>of the Notes to the Unaudited Condensed Consolidated Financial Statements, under the heading "</w:t>
      </w:r>
      <w:r>
        <w:rPr>
          <w:rFonts w:ascii="Times New Roman;serif" w:hAnsi="Times New Roman;serif"/>
          <w:b w:val="false"/>
          <w:i/>
          <w:color w:val="000000"/>
          <w:sz w:val="20"/>
        </w:rPr>
        <w:t>Senior Credit Facility</w:t>
      </w:r>
      <w:r>
        <w:rPr>
          <w:rFonts w:ascii="Times New Roman;serif" w:hAnsi="Times New Roman;serif"/>
          <w:b w:val="false"/>
          <w:color w:val="000000"/>
          <w:sz w:val="20"/>
        </w:rPr>
        <w:t xml:space="preserve">". The terms related to the subsequent amendment to the Credit Agreement are described in Note </w:t>
      </w:r>
      <w:r>
        <w:rPr>
          <w:rFonts w:ascii="Times New Roman;serif" w:hAnsi="Times New Roman;serif"/>
          <w:b/>
          <w:color w:val="000000"/>
          <w:sz w:val="20"/>
        </w:rPr>
        <w:t>15</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i/>
          <w:color w:val="000000"/>
          <w:sz w:val="20"/>
        </w:rPr>
        <w:t>Subsequent Events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Except for the subsequent amendment to the Credit Agreement described in Note </w:t>
      </w:r>
      <w:r>
        <w:rPr>
          <w:rFonts w:ascii="Times New Roman;serif" w:hAnsi="Times New Roman;serif"/>
          <w:b/>
          <w:color w:val="000000"/>
          <w:sz w:val="20"/>
        </w:rPr>
        <w:t>15</w:t>
      </w:r>
      <w:r>
        <w:rPr>
          <w:color w:val="000000"/>
        </w:rPr>
        <w:t xml:space="preserve"> </w:t>
      </w:r>
      <w:r>
        <w:rPr>
          <w:rFonts w:ascii="Times New Roman;serif" w:hAnsi="Times New Roman;serif"/>
          <w:b w:val="false"/>
          <w:color w:val="000000"/>
          <w:sz w:val="20"/>
        </w:rPr>
        <w:t xml:space="preserve">- </w:t>
      </w:r>
      <w:r>
        <w:rPr>
          <w:rFonts w:ascii="Times New Roman;serif" w:hAnsi="Times New Roman;serif"/>
          <w:b/>
          <w:i/>
          <w:color w:val="000000"/>
          <w:sz w:val="20"/>
        </w:rPr>
        <w:t>Subsequent Events</w:t>
      </w:r>
      <w:r>
        <w:rPr>
          <w:rFonts w:ascii="Times New Roman;serif" w:hAnsi="Times New Roman;serif"/>
          <w:b w:val="false"/>
          <w:color w:val="000000"/>
          <w:sz w:val="20"/>
        </w:rPr>
        <w:t>, there have been no significant changes in our contractual obligations and outstanding indebtedness from those disclosed in our 2025 Annual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did not have, and do not currently have, any off-balance sheet arrangements, as defined in the rules and regulations of the SEC.</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critical accounting policies and estimates from the information provided in Item 7, “Management’s Discussion and Analysis of Financial Condition and Results of Operations,” included in the 2025 Annual Report.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quantitative and qualitative disclosures about market risk as discussed in Part II, Item 7A “Quantitative and Qualitative Disclosures About Market Risk,” included in the 2025 Annual Report.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Rule 13a-15(b) under the Exchange Act, our management carried out an evaluation, under the supervision and with the participation of our President and Chief Executive Officer and our Senior Executive Vice President, Chief Financial Officer, of the effectiveness of the design and operation of our disclosure controls (as defined in Rule 13a-15(e) of the Exchange Act) and procedures. Based upon that evaluation, our President and Chief Executive Officer and our Senior Executive Vice President, Chief Financial Officer concluded that, as of June 30, 2026, our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during the quarter ended June 30,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See Note 13 - </w:t>
      </w:r>
      <w:r>
        <w:rPr>
          <w:rFonts w:ascii="Times New Roman;serif" w:hAnsi="Times New Roman;serif"/>
          <w:b/>
          <w:i/>
          <w:color w:val="000000"/>
          <w:sz w:val="20"/>
        </w:rPr>
        <w:t>Commitments and Contingencies</w:t>
      </w:r>
      <w:r>
        <w:rPr>
          <w:color w:val="000000"/>
        </w:rPr>
        <w:t xml:space="preserve"> </w:t>
      </w:r>
      <w:r>
        <w:rPr>
          <w:rFonts w:ascii="Times New Roman;serif" w:hAnsi="Times New Roman;serif"/>
          <w:b w:val="false"/>
          <w:color w:val="000000"/>
          <w:sz w:val="20"/>
        </w:rPr>
        <w:t xml:space="preserve">to the Notes to Unaudited Condensed Consolidated Financial Statements included in this Quarterly Report for a description of our legal proceedings. There have been no material legal proceedings and no material developments with regard to any matters disclosed under Part I, Item 3 "Legal Proceedings" in our 2025 Annual Report, except as disclosed herein under Note 13 - </w:t>
      </w:r>
      <w:r>
        <w:rPr>
          <w:rFonts w:ascii="Times New Roman;serif" w:hAnsi="Times New Roman;serif"/>
          <w:b/>
          <w:i/>
          <w:color w:val="000000"/>
          <w:sz w:val="20"/>
        </w:rPr>
        <w:t xml:space="preserve">Commitments and Contingencies </w:t>
      </w:r>
      <w:r>
        <w:rPr>
          <w:rFonts w:ascii="Times New Roman;serif" w:hAnsi="Times New Roman;serif"/>
          <w:b w:val="false"/>
          <w:color w:val="000000"/>
          <w:sz w:val="20"/>
        </w:rPr>
        <w:t>to the Notes to the Unaudited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you should carefully consider the risk factors discussed under the “Risk Factors” section included in our 2025 Annual Report. There have been no material changes to the risk factors previously disclosed in the 2025 Annual Report.</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 Sales of Unregistered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 Use of Proceeds from Public Offering of Common Stock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color w:val="000000"/>
          <w:sz w:val="20"/>
        </w:rPr>
        <w:t>(c) </w:t>
      </w:r>
      <w:r>
        <w:rPr>
          <w:rFonts w:ascii="Times New Roman;serif" w:hAnsi="Times New Roman;serif"/>
          <w:b/>
          <w:i/>
          <w:color w:val="000000"/>
          <w:sz w:val="20"/>
        </w:rPr>
        <w:t>Repurchases of Our Equity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shares of our common stock we acquired during the quarter as a result of the surrender of shares by employees to satisfy tax withholding obligations in connection with the vesting or settlement of restricted stock units. </w:t>
      </w:r>
    </w:p>
    <w:p>
      <w:pPr>
        <w:pStyle w:val="TextBody"/>
        <w:bidi w:val="0"/>
        <w:spacing w:lineRule="auto" w:line="288" w:before="0" w:after="0"/>
        <w:jc w:val="left"/>
        <w:rPr>
          <w:color w:val="000000"/>
        </w:rPr>
      </w:pPr>
      <w:r>
        <w:rPr>
          <w:color w:val="000000"/>
        </w:rPr>
        <w:t> </w:t>
      </w:r>
    </w:p>
    <w:tbl>
      <w:tblPr>
        <w:tblW w:w="6356" w:type="dxa"/>
        <w:jc w:val="left"/>
        <w:tblInd w:w="0" w:type="dxa"/>
        <w:tblLayout w:type="fixed"/>
        <w:tblCellMar>
          <w:top w:w="28" w:type="dxa"/>
          <w:left w:w="28" w:type="dxa"/>
          <w:bottom w:w="28" w:type="dxa"/>
          <w:right w:w="28" w:type="dxa"/>
        </w:tblCellMar>
      </w:tblPr>
      <w:tblGrid>
        <w:gridCol w:w="473"/>
        <w:gridCol w:w="415"/>
        <w:gridCol w:w="416"/>
        <w:gridCol w:w="109"/>
        <w:gridCol w:w="109"/>
        <w:gridCol w:w="109"/>
        <w:gridCol w:w="705"/>
        <w:gridCol w:w="705"/>
        <w:gridCol w:w="706"/>
        <w:gridCol w:w="109"/>
        <w:gridCol w:w="109"/>
        <w:gridCol w:w="109"/>
        <w:gridCol w:w="405"/>
        <w:gridCol w:w="1185"/>
        <w:gridCol w:w="211"/>
        <w:gridCol w:w="109"/>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Month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(or</w:t>
              <w:br/>
              <w:t>Units)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w:t>
              <w:br/>
              <w:t>Share (or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officers, as defined in Section 16 of the Securities Exchange Act of 1934, adopted or terminated a "Rule 10b5-1 trading arrangement" or a "non-Rule 10b5-1 trading arrangement," as each term is defined in Item 408(a) of Regulation S-K of the Securities Exchange Act of 1934.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5, 2026, the Company entered into an amendment to its Credit Agreement, dated August 1, 2022, with the lenders party thereto and JPMorgan Chase Bank, N.A., as administrative agent. The amendment extended the maturity date of the Company's $190.0 million revolving credit facility and approximately $90.6 million outstanding term loan from July 30, 2027 to July 28, 2028. In connection with the amendment, the Company incurred an extension fee equal to 0.15%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0"/>
        <w:jc w:val="left"/>
        <w:rPr/>
      </w:pPr>
      <w:r>
        <w:rPr>
          <w:rFonts w:ascii="Times New Roman;serif" w:hAnsi="Times New Roman;serif"/>
          <w:b w:val="false"/>
          <w:color w:val="000000"/>
          <w:sz w:val="20"/>
        </w:rPr>
        <w:t xml:space="preserve">aggregate committed amount of the revolving credit facility and term loan held by participating lenders. There were no other changes to the material terms of the Credit Agreement, including the applicable interest rate provisions and financial covenants, which remained substantially unchanged. Additional information regarding the amendment is included in </w:t>
      </w:r>
      <w:r>
        <w:rPr>
          <w:rFonts w:ascii="Times New Roman;serif" w:hAnsi="Times New Roman;serif"/>
          <w:b/>
          <w:color w:val="000000"/>
          <w:sz w:val="20"/>
        </w:rPr>
        <w:t>Note 15</w:t>
      </w:r>
      <w:r>
        <w:rPr>
          <w:color w:val="000000"/>
        </w:rPr>
        <w:t xml:space="preserve"> –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to the unaudited condensed consolidated financial statements included in this Quarterly Report on Form 10-Q.</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0"/>
        </w:rPr>
        <w:t>The foregoing description of the amendment does not purport to be complete and is qualified in its entirety by reference to the amendment, which is filed as</w:t>
      </w:r>
      <w:r>
        <w:rPr>
          <w:color w:val="000000"/>
        </w:rPr>
        <w:t xml:space="preserve"> </w:t>
      </w:r>
      <w:r>
        <w:rPr>
          <w:rFonts w:ascii="Times New Roman;serif" w:hAnsi="Times New Roman;serif"/>
          <w:b w:val="false"/>
          <w:color w:val="000000"/>
          <w:sz w:val="20"/>
        </w:rPr>
        <w:t>Exhibit 10.1 to this Quarterly Report on Form 10-Q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09"/>
        <w:gridCol w:w="2600"/>
        <w:gridCol w:w="372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2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mendmenttocreditagreement.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amendmenttocreditagreement.htm">
              <w:r>
                <w:rPr>
                  <w:rStyle w:val="InternetLink"/>
                  <w:rFonts w:ascii="Times New Roman;serif" w:hAnsi="Times New Roman;serif"/>
                  <w:b w:val="false"/>
                  <w:color w:val="0000FF"/>
                  <w:sz w:val="20"/>
                  <w:u w:val="single"/>
                </w:rPr>
                <w:t>Amended Credit Agreement, dated August 5, 2026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1-q22026.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1-q22026.htm">
              <w:r>
                <w:rPr>
                  <w:rStyle w:val="InternetLink"/>
                  <w:rFonts w:ascii="Times New Roman;serif" w:hAnsi="Times New Roman;serif"/>
                  <w:b w:val="false"/>
                  <w:color w:val="0000FF"/>
                  <w:sz w:val="20"/>
                  <w:u w:val="single"/>
                </w:rPr>
                <w:t>Certification of Chief Executive Officer pursuant to Rule 13a-14(a) under the Securities Exchange Act of 1934.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2-q22026.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12-q22026.htm">
              <w:r>
                <w:rPr>
                  <w:rStyle w:val="InternetLink"/>
                  <w:rFonts w:ascii="Times New Roman;serif" w:hAnsi="Times New Roman;serif"/>
                  <w:b w:val="false"/>
                  <w:color w:val="0000FF"/>
                  <w:sz w:val="20"/>
                  <w:u w:val="single"/>
                </w:rPr>
                <w:t>Certification of Chief Financial Officer pursuant to Rule 13a-14(a) under the Securities Exchange Act of 1934.</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1-q22026.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qexhibit321-q22026.htm">
              <w:r>
                <w:rPr>
                  <w:rStyle w:val="InternetLink"/>
                  <w:rFonts w:ascii="Times New Roman;serif" w:hAnsi="Times New Roman;serif"/>
                  <w:b w:val="false"/>
                  <w:color w:val="0000FF"/>
                  <w:sz w:val="20"/>
                  <w:u w:val="single"/>
                </w:rPr>
                <w:t>Certification pursuant to Section 906 of the Sarbanes-Oxley Act of 2002.</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Labels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7e7ee8d4fe6449e8099231f929eb506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7395" w:type="dxa"/>
        <w:jc w:val="center"/>
        <w:tblInd w:w="0" w:type="dxa"/>
        <w:tblLayout w:type="fixed"/>
        <w:tblCellMar>
          <w:top w:w="28" w:type="dxa"/>
          <w:left w:w="28" w:type="dxa"/>
          <w:bottom w:w="28" w:type="dxa"/>
          <w:right w:w="28" w:type="dxa"/>
        </w:tblCellMar>
      </w:tblPr>
      <w:tblGrid>
        <w:gridCol w:w="124"/>
        <w:gridCol w:w="109"/>
        <w:gridCol w:w="109"/>
        <w:gridCol w:w="346"/>
        <w:gridCol w:w="346"/>
        <w:gridCol w:w="346"/>
        <w:gridCol w:w="1745"/>
        <w:gridCol w:w="1745"/>
        <w:gridCol w:w="252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MISTRAS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Executive Vice President and Chief Financial Officer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 and duly authorized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ind w:left="0" w:right="0" w:firstLine="720"/>
        <w:jc w:val="right"/>
        <w:rPr>
          <w:rFonts w:ascii="Times New Roman;serif" w:hAnsi="Times New Roman;serif"/>
          <w:b/>
          <w:color w:val="000000"/>
          <w:sz w:val="24"/>
        </w:rPr>
      </w:pPr>
      <w:r>
        <w:rPr>
          <w:rFonts w:ascii="Times New Roman;serif" w:hAnsi="Times New Roman;serif"/>
          <w:b/>
          <w:color w:val="000000"/>
          <w:sz w:val="24"/>
        </w:rPr>
        <w:t>Annex I</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4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5"/>
        <w:gridCol w:w="2871"/>
        <w:gridCol w:w="4069"/>
      </w:tblGrid>
      <w:tr>
        <w:trPr/>
        <w:tc>
          <w:tcPr>
            <w:tcW w:w="3265"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before="0" w:after="240"/>
              <w:jc w:val="center"/>
              <w:rPr/>
            </w:pPr>
            <w:r>
              <w:rPr/>
              <w:drawing>
                <wp:inline distT="0" distB="0" distL="0" distR="0">
                  <wp:extent cx="1466850" cy="323850"/>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1466850" cy="323850"/>
                          </a:xfrm>
                          <a:prstGeom prst="rect">
                            <a:avLst/>
                          </a:prstGeom>
                        </pic:spPr>
                      </pic:pic>
                    </a:graphicData>
                  </a:graphic>
                </wp:inline>
              </w:drawing>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CREDIT AGREEMENT</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dated as of</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August 1, 2022</w:t>
              <w:br/>
              <w:br/>
              <w:t>as amended by Amendment No. 1 to Credit Agreement, dated as of February 27, 2024, and Amendment No. 2 to Credit Agreement, dated as of August [_], 2026</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MISTRAS GROUP, INC.,</w:t>
              <w:br/>
              <w:t>as Borrower</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The Lenders Party Hereto</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JPMORGAN CHASE BANK, N.A.,</w:t>
              <w:br/>
              <w:t>as Administrative Agent</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BANK OF AMERICA, N.A.,</w:t>
              <w:br/>
              <w:t>as Syndication Agent</w:t>
              <w:br/>
              <w:br/>
              <w:t>and</w:t>
              <w:br/>
              <w:br/>
              <w:t>KEYBANK NATIONAL ASSOCIATION,</w:t>
              <w:br/>
              <w:t>TD BANK, N.A.</w:t>
              <w:br/>
              <w:t>and</w:t>
              <w:br/>
              <w:t>PNC BANK, NATIONAL ASSOCIATION,</w:t>
              <w:br/>
              <w:t>as Co-Documentation Agents</w:t>
            </w:r>
          </w:p>
          <w:p>
            <w:pPr>
              <w:pStyle w:val="TableContents"/>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JPMORGAN CHASE BANK, N.A.,</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BofA SECURITIES, INC.,</w:t>
              <w:br/>
              <w:t>as Joint Bookrunners and Joint Lead Arrangers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88" w:before="0" w:after="240"/>
        <w:ind w:left="0" w:right="0" w:firstLine="720"/>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Page</w:t>
      </w:r>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Defined Terms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Classification of Loans and Borrowings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Terms Generally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47</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Accounting Terms; GAAP; Pro Forma Calculations; Limited Condition Transactions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48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Interest Rates; Benchmark Notification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Letter of Credit Amounts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Divisions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Status of Obligations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1.09.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Exchange Rates; Currency Equivalents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51</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II The Credits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Commitments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Loans and Borrowings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Requests for Borrowings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color w:val="0000FF"/>
            <w:sz w:val="24"/>
            <w:u w:val="single"/>
          </w:rPr>
          <w:t>[Reserved.]</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strike w:val="false"/>
            <w:dstrike w:val="false"/>
            <w:color w:val="000000"/>
            <w:sz w:val="24"/>
            <w:u w:val="none"/>
            <w:effect w:val="none"/>
          </w:rPr>
          <w:t>53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Swingline Loans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Letters of Credit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Funding of Borrowings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Interest Elections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Termination and Reduction of Commitments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Repayment and Amortization of Loans; Evidence of Debt</w:t>
        </w:r>
      </w:hyperlink>
      <w:r>
        <w:rPr>
          <w:color w:val="000000"/>
        </w:rPr>
        <w:t xml:space="preserve"> </w:t>
      </w:r>
      <w:r>
        <w:rPr>
          <w:rFonts w:ascii="Times New Roman;serif" w:hAnsi="Times New Roman;serif"/>
          <w:b w:val="false"/>
          <w:color w:val="000000"/>
          <w:sz w:val="24"/>
        </w:rPr>
        <w:t>65</w:t>
      </w:r>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Prepayment of Loans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Fees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Interest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69</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Alternate Rate of Interest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70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Increased Costs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Break Funding Payments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Withholding of Taxes; Gross-Up</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Payments Generally; Pro Rata Treatment; Sharing of Setoffs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2.19.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Mitigation Obligations; Replacement of Lenders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2.20.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Defaulting Lenders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2.21.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color w:val="0000FF"/>
            <w:sz w:val="24"/>
            <w:u w:val="single"/>
          </w:rPr>
          <w:t>[Reserved]</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strike w:val="false"/>
            <w:dstrike w:val="false"/>
            <w:color w:val="000000"/>
            <w:sz w:val="24"/>
            <w:u w:val="none"/>
            <w:effect w:val="none"/>
          </w:rPr>
          <w:t>85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2.22.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Expansion Option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2.23.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Judgment Currency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III Representations and Warranties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ind w:left="0" w:right="0" w:hanging="2160"/>
        <w:jc w:val="left"/>
        <w:rPr/>
      </w:pPr>
      <w:hyperlink w:anchor="icc91b347d8a94d3b9e24f8514064b231_7">
        <w:r>
          <w:rPr>
            <w:rStyle w:val="InternetLink"/>
            <w:rFonts w:ascii="Times New Roman;serif" w:hAnsi="Times New Roman;serif"/>
            <w:b w:val="false"/>
            <w:color w:val="0000FF"/>
            <w:sz w:val="24"/>
            <w:u w:val="single"/>
          </w:rPr>
          <w:t>SECTION 3.01.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Existence, Qualification and Power</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Authorization; No Contravention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Governmental Authorization; Other Consents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Binding Effect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Financial Statements; No Material Adverse Effect; No Internal Control Event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Litigation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No Default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Ownership of Property; Liens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Environmental Compliance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Insurance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Taxes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ERISA Compliance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Subsidiaries; Equity Interests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Margin Regulations; Investment Company Act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Disclosure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Compliance With Laws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Taxpayer Identification Number</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Intellectual Property; Licenses,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3.19.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Rights in Collateral; Priority of Liens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Sanctions Concerns and Anti-Corruption Laws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Solvency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Casualty,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Responsible Officers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Collateral Representations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3.25.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Affected Financial Institution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IV Conditions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4.01.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Effective Date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4.02.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Each Credit Event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V Affirmative Covenants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Financial Statements and Other Information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Certificates; Other Information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Notices of Material Events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Payment of Obligations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Preservation of Existence,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Maintenance of Properties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Maintenance of Insurance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Compliance with Laws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Books and Records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Inspection Rights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Use of Proceeds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ind w:left="0" w:right="0" w:hanging="2160"/>
        <w:jc w:val="left"/>
        <w:rPr/>
      </w:pPr>
      <w:hyperlink w:anchor="icc91b347d8a94d3b9e24f8514064b231_7">
        <w:r>
          <w:rPr>
            <w:rStyle w:val="InternetLink"/>
            <w:rFonts w:ascii="Times New Roman;serif" w:hAnsi="Times New Roman;serif"/>
            <w:b w:val="false"/>
            <w:color w:val="0000FF"/>
            <w:sz w:val="24"/>
            <w:u w:val="single"/>
          </w:rPr>
          <w:t>SECTION 5.12.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Financial Covenants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Additional Guarantors; Pledges of Stock; Security Interests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Collateral Records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Security Interests; Landlord Subordination.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color w:val="0000FF"/>
            <w:sz w:val="24"/>
            <w:u w:val="single"/>
          </w:rPr>
          <w:t>[Reserved]</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strike w:val="false"/>
            <w:dstrike w:val="false"/>
            <w:color w:val="000000"/>
            <w:sz w:val="24"/>
            <w:u w:val="none"/>
            <w:effect w:val="none"/>
          </w:rPr>
          <w:t>105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Further Assurances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5.18.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Anti-Corruption Laws; Sanctions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5.01.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Post-Closing Requirements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VI Negative Covenants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Liens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Investments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107</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Indebtedness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108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Fundamental Changes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Dispositions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Restricted Payments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Change in Nature of Business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Transactions With Affiliates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Burdensome Agreements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6.10.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color w:val="0000FF"/>
            <w:sz w:val="24"/>
            <w:u w:val="single"/>
          </w:rPr>
          <w:t>[Reserved]</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strike w:val="false"/>
            <w:dstrike w:val="false"/>
            <w:color w:val="000000"/>
            <w:sz w:val="24"/>
            <w:u w:val="none"/>
            <w:effect w:val="none"/>
          </w:rPr>
          <w:t>112</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6.11.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Prepayment of Subordinated Indebtedness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VII Events of Default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7.01.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Events of Default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7.02.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Remedies Upon an Event of Default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115</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7.03.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Application of Payments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VIII The Administrative Agent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Authorization and Action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Administrative Agent’s Reliance, Limitation of Liability,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Posting of Communications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The Administrative Agent Individually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Successor Administrative Agent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Acknowledgments of Lenders and Issuing Banks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Collateral Matters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Credit Bidding</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127</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8.09.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Certain ERISA Matters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128</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8.10.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Borrower Communications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IX Miscellaneous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ind w:left="0" w:right="0" w:hanging="2160"/>
        <w:jc w:val="left"/>
        <w:rPr/>
      </w:pPr>
      <w:hyperlink w:anchor="icc91b347d8a94d3b9e24f8514064b231_7">
        <w:r>
          <w:rPr>
            <w:rStyle w:val="InternetLink"/>
            <w:rFonts w:ascii="Times New Roman;serif" w:hAnsi="Times New Roman;serif"/>
            <w:b w:val="false"/>
            <w:color w:val="0000FF"/>
            <w:sz w:val="24"/>
            <w:u w:val="single"/>
          </w:rPr>
          <w:t>SECTION 9.01.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Notices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Waivers; Amendments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132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Expenses; Limitation of Liability; Indemnity,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134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Successors and Assigns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136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Survival</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Counterparts; Integration; Effectiveness; Electronic Execution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140</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Severability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Right of Setoff</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141</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9.09.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Governing Law; Jurisdiction; Consent to Service of Process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142</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WAIVER OF JURY TRIAL</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9.11.</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Headings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9.12.</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Confidentiality</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143</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9.13.</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Material Non-Public Information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144</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9.14.</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Interest Rate Limitation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9.15.</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No Fiduciary Duty, etc</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145</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9.16.</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USA PATRIOT Act</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9.17.</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Acknowledgment and Consent to Bail-In of Affected Financial Institutions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9.18.</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Acknowledgment Regarding Any Supported QFCs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146</w:t>
        </w:r>
      </w:hyperlink>
    </w:p>
    <w:p>
      <w:pPr>
        <w:pStyle w:val="TextBody"/>
        <w:bidi w:val="0"/>
        <w:spacing w:lineRule="auto" w:line="288" w:before="0" w:after="0"/>
        <w:ind w:left="0" w:right="0" w:hanging="2160"/>
        <w:jc w:val="left"/>
        <w:rPr/>
      </w:pPr>
      <w:hyperlink w:anchor="icc91b347d8a94d3b9e24f8514064b231_7">
        <w:r>
          <w:rPr>
            <w:rStyle w:val="InternetLink"/>
            <w:rFonts w:ascii="Times New Roman;serif" w:hAnsi="Times New Roman;serif"/>
            <w:b w:val="false"/>
            <w:color w:val="0000FF"/>
            <w:sz w:val="24"/>
            <w:u w:val="single"/>
          </w:rPr>
          <w:t>SECTION 9.19.</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Releases of Subsidiary Guarantors</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147</w:t>
        </w:r>
      </w:hyperlink>
    </w:p>
    <w:p>
      <w:pPr>
        <w:pStyle w:val="TextBody"/>
        <w:bidi w:val="0"/>
        <w:spacing w:lineRule="auto" w:line="288" w:before="0" w:after="240"/>
        <w:ind w:left="0" w:right="0" w:hanging="2160"/>
        <w:jc w:val="left"/>
        <w:rPr/>
      </w:pPr>
      <w:hyperlink w:anchor="icc91b347d8a94d3b9e24f8514064b231_7">
        <w:r>
          <w:rPr>
            <w:rStyle w:val="InternetLink"/>
            <w:rFonts w:ascii="Times New Roman;serif" w:hAnsi="Times New Roman;serif"/>
            <w:b w:val="false"/>
            <w:color w:val="0000FF"/>
            <w:sz w:val="24"/>
            <w:u w:val="single"/>
          </w:rPr>
          <w:t>SECTION 9.20.</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color w:val="0000FF"/>
            <w:sz w:val="24"/>
            <w:u w:val="single"/>
          </w:rPr>
          <w:t>Appointment for Perfection</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148</w:t>
        </w:r>
      </w:hyperlink>
    </w:p>
    <w:p>
      <w:pPr>
        <w:pStyle w:val="TextBody"/>
        <w:bidi w:val="0"/>
        <w:spacing w:lineRule="auto" w:line="288" w:before="0" w:after="240"/>
        <w:ind w:left="0" w:right="0" w:hanging="1440"/>
        <w:jc w:val="left"/>
        <w:rPr/>
      </w:pPr>
      <w:hyperlink w:anchor="icc91b347d8a94d3b9e24f8514064b231_7">
        <w:r>
          <w:rPr>
            <w:rStyle w:val="InternetLink"/>
            <w:rFonts w:ascii="Times New Roman;serif" w:hAnsi="Times New Roman;serif"/>
            <w:b w:val="false"/>
            <w:color w:val="0000FF"/>
            <w:sz w:val="24"/>
            <w:u w:val="single"/>
          </w:rPr>
          <w:t>ARTICLE X Borrower Guarantee</w:t>
        </w:r>
      </w:hyperlink>
      <w:hyperlink w:anchor="icc91b347d8a94d3b9e24f8514064b231_7">
        <w:r>
          <w:rPr>
            <w:rStyle w:val="InternetLink"/>
            <w:strike w:val="false"/>
            <w:dstrike w:val="false"/>
            <w:color w:val="000000"/>
            <w:u w:val="none"/>
            <w:effect w:val="none"/>
          </w:rPr>
          <w:t>    </w:t>
        </w:r>
      </w:hyperlink>
      <w:hyperlink w:anchor="icc91b347d8a94d3b9e24f8514064b231_7">
        <w:r>
          <w:rPr>
            <w:rStyle w:val="InternetLink"/>
            <w:rFonts w:ascii="Times New Roman;serif" w:hAnsi="Times New Roman;serif"/>
            <w:b w:val="false"/>
            <w:strike w:val="false"/>
            <w:dstrike w:val="false"/>
            <w:color w:val="000000"/>
            <w:sz w:val="24"/>
            <w:u w:val="none"/>
            <w:effect w:val="none"/>
          </w:rPr>
          <w:t>148</w:t>
        </w:r>
      </w:hyperlink>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2.01A     Commitments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2.01B     Letter of Credit Commitments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2.06        Existing Letters of Credit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3.06        Litigation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3.09        Environmental Compliance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3.12(c)    ERISA Events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3.12(d)    Pension Plans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3.13        Subsidiaries; Equity Interests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3.23        Responsible Officers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3.24(b)    Intellectual Property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3.24(c)    Documents, Instruments and Tangible Chattel Paper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3.24(d)(i)    Deposit Accounts and Securities Accounts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3.24(d)(ii)    Electronic Chattel Paper and Letter of Credit Rights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3.24(e)    Commercial Tort Claims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3.24(f)    Pledged Equity Interests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3.24(g)    Properties</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Schedule 5.19        Post-Closing Requirements</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Schedule 6.01        Existing Liens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6.02         Existing Investments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6.03        Existing Indebtedness</w:t>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A – Form of Assignment and Assumption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B – Form of Borrowing Request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C – Form of Interest Election Request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D – Form of Increasing Lender Supplement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E – Form of Augmenting Lender Supplement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F – List of Closing Documents</w:t>
      </w:r>
    </w:p>
    <w:p>
      <w:pPr>
        <w:pStyle w:val="TextBody"/>
        <w:bidi w:val="0"/>
        <w:spacing w:lineRule="auto" w:line="288" w:before="0" w:after="0"/>
        <w:jc w:val="both"/>
        <w:rPr/>
      </w:pPr>
      <w:r>
        <w:rPr>
          <w:rFonts w:ascii="Times New Roman;serif" w:hAnsi="Times New Roman;serif"/>
          <w:b w:val="false"/>
          <w:color w:val="000000"/>
          <w:sz w:val="24"/>
        </w:rPr>
        <w:t xml:space="preserve">Exhibit G-1 – U.S. Tax Certificate (For Non-U.S. Lenders that are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Partnerships for U.S. Federal Income Tax Purposes)</w:t>
      </w:r>
    </w:p>
    <w:p>
      <w:pPr>
        <w:pStyle w:val="TextBody"/>
        <w:bidi w:val="0"/>
        <w:spacing w:lineRule="auto" w:line="288" w:before="0" w:after="0"/>
        <w:jc w:val="both"/>
        <w:rPr/>
      </w:pPr>
      <w:r>
        <w:rPr>
          <w:rFonts w:ascii="Times New Roman;serif" w:hAnsi="Times New Roman;serif"/>
          <w:b w:val="false"/>
          <w:color w:val="000000"/>
          <w:sz w:val="24"/>
        </w:rPr>
        <w:t xml:space="preserve">Exhibit G-2 – U.S. Tax Certificate (For Non-U.S. Participants that are </w:t>
      </w:r>
      <w:r>
        <w:rPr>
          <w:rFonts w:ascii="Times New Roman;serif" w:hAnsi="Times New Roman;serif"/>
          <w:b w:val="false"/>
          <w:color w:val="000000"/>
          <w:sz w:val="24"/>
          <w:u w:val="single"/>
        </w:rPr>
        <w:t>not</w:t>
      </w:r>
      <w:r>
        <w:rPr>
          <w:color w:val="000000"/>
        </w:rPr>
        <w:t xml:space="preserve"> </w:t>
      </w:r>
      <w:r>
        <w:rPr>
          <w:rFonts w:ascii="Times New Roman;serif" w:hAnsi="Times New Roman;serif"/>
          <w:b w:val="false"/>
          <w:color w:val="000000"/>
          <w:sz w:val="24"/>
        </w:rPr>
        <w:t>Partnerships for U.S. Federal Income Tax Purposes)</w:t>
      </w:r>
    </w:p>
    <w:p>
      <w:pPr>
        <w:pStyle w:val="TextBody"/>
        <w:bidi w:val="0"/>
        <w:spacing w:lineRule="auto" w:line="288" w:before="0" w:after="0"/>
        <w:jc w:val="both"/>
        <w:rPr/>
      </w:pPr>
      <w:r>
        <w:rPr>
          <w:rFonts w:ascii="Times New Roman;serif" w:hAnsi="Times New Roman;serif"/>
          <w:b w:val="false"/>
          <w:color w:val="000000"/>
          <w:sz w:val="24"/>
        </w:rPr>
        <w:t xml:space="preserve">Exhibit G-3 – U.S. Tax Certificate (For Non-U.S. Participants that </w:t>
      </w:r>
      <w:r>
        <w:rPr>
          <w:rFonts w:ascii="Times New Roman;serif" w:hAnsi="Times New Roman;serif"/>
          <w:b w:val="false"/>
          <w:color w:val="000000"/>
          <w:sz w:val="24"/>
          <w:u w:val="single"/>
        </w:rPr>
        <w:t>are</w:t>
      </w:r>
      <w:r>
        <w:rPr>
          <w:color w:val="000000"/>
        </w:rPr>
        <w:t xml:space="preserve"> </w:t>
      </w:r>
      <w:r>
        <w:rPr>
          <w:rFonts w:ascii="Times New Roman;serif" w:hAnsi="Times New Roman;serif"/>
          <w:b w:val="false"/>
          <w:color w:val="000000"/>
          <w:sz w:val="24"/>
        </w:rPr>
        <w:t>Partnerships for U.S. Federal Income Tax Purposes)</w:t>
      </w:r>
    </w:p>
    <w:p>
      <w:pPr>
        <w:pStyle w:val="TextBody"/>
        <w:bidi w:val="0"/>
        <w:spacing w:lineRule="auto" w:line="288" w:before="0" w:after="0"/>
        <w:jc w:val="both"/>
        <w:rPr/>
      </w:pPr>
      <w:r>
        <w:rPr>
          <w:rFonts w:ascii="Times New Roman;serif" w:hAnsi="Times New Roman;serif"/>
          <w:b w:val="false"/>
          <w:color w:val="000000"/>
          <w:sz w:val="24"/>
        </w:rPr>
        <w:t xml:space="preserve">Exhibit G-4 – U.S. Tax Certificate (For Non-U.S. Lenders that </w:t>
      </w:r>
      <w:r>
        <w:rPr>
          <w:rFonts w:ascii="Times New Roman;serif" w:hAnsi="Times New Roman;serif"/>
          <w:b w:val="false"/>
          <w:color w:val="000000"/>
          <w:sz w:val="24"/>
          <w:u w:val="single"/>
        </w:rPr>
        <w:t>are</w:t>
      </w:r>
      <w:r>
        <w:rPr>
          <w:color w:val="000000"/>
        </w:rPr>
        <w:t xml:space="preserve"> </w:t>
      </w:r>
      <w:r>
        <w:rPr>
          <w:rFonts w:ascii="Times New Roman;serif" w:hAnsi="Times New Roman;serif"/>
          <w:b w:val="false"/>
          <w:color w:val="000000"/>
          <w:sz w:val="24"/>
        </w:rPr>
        <w:t xml:space="preserve">Partnerships for U.S. Federal Income Tax Purposes)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H – Form of Compliance Certificate</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CREDIT AGREEMENT (this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dated as of August 1, 2022, among MISTRAS GROUP, INC., as Borrower, the LENDERS from time to time party hereto, JPMORGAN CHASE BANK, N.A., as Administrative Agent, and BANK OF AMERICA, N.A., as Syndication Agent.</w: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agree as follows:</w:t>
      </w:r>
    </w:p>
    <w:p>
      <w:pPr>
        <w:pStyle w:val="TextBody"/>
        <w:bidi w:val="0"/>
        <w:spacing w:lineRule="auto" w:line="240" w:before="0" w:after="240"/>
        <w:jc w:val="center"/>
        <w:rPr/>
      </w:pPr>
      <w:r>
        <w:rPr>
          <w:rFonts w:ascii="Times New Roman;serif" w:hAnsi="Times New Roman;serif"/>
          <w:b w:val="false"/>
          <w:color w:val="000000"/>
          <w:sz w:val="24"/>
        </w:rPr>
        <w:t>Article I</w:t>
      </w:r>
      <w:r>
        <w:rPr>
          <w:rFonts w:ascii="Times New Roman;serif" w:hAnsi="Times New Roman;serif"/>
          <w:b w:val="false"/>
          <w:color w:val="000000"/>
          <w:sz w:val="24"/>
          <w:u w:val="single"/>
        </w:rPr>
        <w:br/>
        <w:br/>
        <w:t>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Defined Terms</w:t>
      </w:r>
      <w:r>
        <w:rPr>
          <w:color w:val="000000"/>
        </w:rPr>
        <w:t xml:space="preserve"> </w:t>
      </w:r>
      <w:r>
        <w:rPr>
          <w:rFonts w:ascii="Times New Roman;serif" w:hAnsi="Times New Roman;serif"/>
          <w:b w:val="false"/>
          <w:color w:val="000000"/>
          <w:sz w:val="24"/>
        </w:rPr>
        <w:t>. As used in this Agreement, the following terms have the meanings specified below: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ABR</w:t>
      </w:r>
      <w:r>
        <w:rPr>
          <w:color w:val="000000"/>
        </w:rPr>
        <w:t>”</w:t>
      </w:r>
      <w:r>
        <w:rPr>
          <w:rFonts w:ascii="Times New Roman;serif" w:hAnsi="Times New Roman;serif"/>
          <w:b w:val="false"/>
          <w:color w:val="000000"/>
          <w:sz w:val="24"/>
        </w:rPr>
        <w:t>, when used in reference to any Loan or Borrowing, refers to whether such Loan, or the Loans comprising such Borrowing, bear interest at a rate determined by reference to the Alternate Base Rate. All ABR Loans shall be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Acquisition</w:t>
      </w:r>
      <w:r>
        <w:rPr>
          <w:color w:val="000000"/>
        </w:rPr>
        <w:t xml:space="preserve">” </w:t>
      </w:r>
      <w:r>
        <w:rPr>
          <w:rFonts w:ascii="Times New Roman;serif" w:hAnsi="Times New Roman;serif"/>
          <w:b w:val="false"/>
          <w:color w:val="000000"/>
          <w:sz w:val="24"/>
        </w:rPr>
        <w:t xml:space="preserve">means any transaction, or any series of related transactions, consummated on or after the Effective Date, by which any Loan Party or Subsidiary (i) acquires any business or division of a Person or all or substantially all of the assets of any Person, whether through purchase of assets, merger or otherwise or (ii)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Acquisition Holiday Election</w:t>
      </w:r>
      <w:r>
        <w:rPr>
          <w:color w:val="000000"/>
        </w:rPr>
        <w:t xml:space="preserve">” </w:t>
      </w:r>
      <w:r>
        <w:rPr>
          <w:rFonts w:ascii="Times New Roman;serif" w:hAnsi="Times New Roman;serif"/>
          <w:b w:val="false"/>
          <w:color w:val="000000"/>
          <w:sz w:val="24"/>
        </w:rPr>
        <w:t>has the meaning assigned to such term in Section 5.12(a).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Acquisition Holiday Election Quarter</w:t>
      </w:r>
      <w:r>
        <w:rPr>
          <w:color w:val="000000"/>
        </w:rPr>
        <w:t xml:space="preserve">” </w:t>
      </w:r>
      <w:r>
        <w:rPr>
          <w:rFonts w:ascii="Times New Roman;serif" w:hAnsi="Times New Roman;serif"/>
          <w:b w:val="false"/>
          <w:color w:val="000000"/>
          <w:sz w:val="24"/>
        </w:rPr>
        <w:t>has the meaning assigned to such term in Section 5.12(a).</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Add Back Amounts</w:t>
      </w:r>
      <w:r>
        <w:rPr>
          <w:color w:val="000000"/>
        </w:rPr>
        <w:t xml:space="preserve">” </w:t>
      </w:r>
      <w:r>
        <w:rPr>
          <w:rFonts w:ascii="Times New Roman;serif" w:hAnsi="Times New Roman;serif"/>
          <w:b w:val="false"/>
          <w:color w:val="000000"/>
          <w:sz w:val="24"/>
        </w:rPr>
        <w:t>means, for the purposes of calculating EBITDA, to the extent that the Borrower or one of its Subsidiaries makes a Permitted Acquisition, an amount to be included in such calculation of EBITDA, determined as follows: (a) for the first quarterly test date following such Acquisition, 100% of the TTM EBITDA with respect to such acquired Person or assets; (b) for the second quarterly test date following such Acquisition, 75% of the TTM EBITDA with respect to such acquired Person or assets; (c) for the third quarterly test date following such Acquisition, 50% of the TTM EBITDA with respect to such acquired Person or assets; and (d) for the fourth quarterly test date following such Acquisition, -0-% of the TTM EBITDA with respect to such acquired Person or assets.</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Additional Secured Obligations</w:t>
      </w:r>
      <w:r>
        <w:rPr>
          <w:color w:val="000000"/>
        </w:rPr>
        <w:t xml:space="preserve">” </w:t>
      </w:r>
      <w:r>
        <w:rPr>
          <w:rFonts w:ascii="Times New Roman;serif" w:hAnsi="Times New Roman;serif"/>
          <w:b w:val="false"/>
          <w:color w:val="000000"/>
          <w:sz w:val="24"/>
        </w:rPr>
        <w:t xml:space="preserve">means (a) all obligations arising under Secured Cash Management Agreements and Secured Hedge Agreements and (b) to the extent provided for in this Agreement and the other Loan Documents, all costs and expenses incurred in connection with enforcement and collection of the foregoing, including the fees, charges and disbursements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76" w:before="0" w:after="240"/>
        <w:jc w:val="both"/>
        <w:rPr/>
      </w:pPr>
      <w:r>
        <w:rPr>
          <w:rFonts w:ascii="Times New Roman;serif" w:hAnsi="Times New Roman;serif"/>
          <w:b w:val="false"/>
          <w:color w:val="000000"/>
          <w:sz w:val="24"/>
        </w:rPr>
        <w:t xml:space="preserve">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Additional Secured Obligations of a Guarantor shall exclude any Excluded Swap Obligations with respect to such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Adjusted Daily Simple RFR</w:t>
      </w:r>
      <w:r>
        <w:rPr>
          <w:color w:val="000000"/>
        </w:rPr>
        <w:t xml:space="preserve">” </w:t>
      </w:r>
      <w:r>
        <w:rPr>
          <w:rFonts w:ascii="Times New Roman;serif" w:hAnsi="Times New Roman;serif"/>
          <w:b w:val="false"/>
          <w:color w:val="000000"/>
          <w:sz w:val="24"/>
        </w:rPr>
        <w:t xml:space="preserve">means with respect to any RFR Borrowing denominated in in Dollars, an interest rate per annum equal to (a) the Daily Simple RFR for Dollars,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0.10%;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Adjusted Daily Simple RFR as so determined would be less than the Floor, such rate shall be deemed to be equal to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Adjusted EURIBOR Rate</w:t>
      </w:r>
      <w:r>
        <w:rPr>
          <w:color w:val="000000"/>
        </w:rPr>
        <w:t xml:space="preserve">” </w:t>
      </w:r>
      <w:r>
        <w:rPr>
          <w:rFonts w:ascii="Times New Roman;serif" w:hAnsi="Times New Roman;serif"/>
          <w:b w:val="false"/>
          <w:color w:val="000000"/>
          <w:sz w:val="24"/>
        </w:rPr>
        <w:t xml:space="preserve">means, with respect to any Term Benchmark Borrowing denominated in Euros for any Interest Period, an interest rate per annum equal to (a) the EURIBOR Rate for such Interest Period multiplied by (b) the Statutory Reserve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Adjusted EURIBOR Rate as so determined would be less than the Floor, such rate shall be deemed to be equal to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Adjusted Term SOFR Rate</w:t>
      </w:r>
      <w:r>
        <w:rPr>
          <w:color w:val="000000"/>
        </w:rPr>
        <w:t xml:space="preserve">” </w:t>
      </w:r>
      <w:r>
        <w:rPr>
          <w:rFonts w:ascii="Times New Roman;serif" w:hAnsi="Times New Roman;serif"/>
          <w:b w:val="false"/>
          <w:color w:val="000000"/>
          <w:sz w:val="24"/>
        </w:rPr>
        <w:t xml:space="preserve">means, with respect to any Term Benchmark Borrowing denominated in Dollars for any Interest Period, an interest rate per annum equal to (a) the Term SOFR Rate for such Interest Period,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(b) 0.10%;</w:t>
      </w:r>
      <w:r>
        <w:rPr>
          <w:color w:val="000000"/>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Adjusted Term SOFR Rate as so determined would be less than the Floor, such rate shall be deemed to be equal to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Adjusted TIBOR Rate</w:t>
      </w:r>
      <w:r>
        <w:rPr>
          <w:color w:val="000000"/>
        </w:rPr>
        <w:t xml:space="preserve">” </w:t>
      </w:r>
      <w:r>
        <w:rPr>
          <w:rFonts w:ascii="Times New Roman;serif" w:hAnsi="Times New Roman;serif"/>
          <w:b w:val="false"/>
          <w:color w:val="000000"/>
          <w:sz w:val="24"/>
        </w:rPr>
        <w:t xml:space="preserve">means, with respect to any Term Benchmark Borrowing denominated in Yen for any Interest Period, an interest rate per annum equal to (a) the TIBOR Rate for such Interest Period multiplied by (b) the Statutory Reserve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Adjusted TIBOR Rate as so determined would be less than the Floor, such rate shall be deemed to be equal to the Floor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Administrative Agent</w:t>
      </w:r>
      <w:r>
        <w:rPr>
          <w:color w:val="000000"/>
        </w:rPr>
        <w:t xml:space="preserve">” </w:t>
      </w:r>
      <w:r>
        <w:rPr>
          <w:rFonts w:ascii="Times New Roman;serif" w:hAnsi="Times New Roman;serif"/>
          <w:b w:val="false"/>
          <w:color w:val="000000"/>
          <w:sz w:val="24"/>
        </w:rPr>
        <w:t>means JPMorgan Chase Bank, N.A. (or any of its designated branch offices or affiliates), in its capacity as administrative agent for the Lenders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Affected Financial Institution</w:t>
      </w:r>
      <w:r>
        <w:rPr>
          <w:color w:val="000000"/>
        </w:rPr>
        <w:t xml:space="preserve">” </w:t>
      </w:r>
      <w:r>
        <w:rPr>
          <w:rFonts w:ascii="Times New Roman;serif" w:hAnsi="Times New Roman;serif"/>
          <w:b w:val="false"/>
          <w:color w:val="000000"/>
          <w:sz w:val="24"/>
        </w:rPr>
        <w:t xml:space="preserve">means (a) any EEA Financial Institution or (b) any UK Financial Institution. </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Affiliate</w:t>
      </w:r>
      <w:r>
        <w:rPr>
          <w:color w:val="000000"/>
        </w:rPr>
        <w:t xml:space="preserve">” </w:t>
      </w:r>
      <w:r>
        <w:rPr>
          <w:rFonts w:ascii="Times New Roman;serif" w:hAnsi="Times New Roman;serif"/>
          <w:b w:val="false"/>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Agent Related Person</w:t>
      </w:r>
      <w:r>
        <w:rPr>
          <w:color w:val="000000"/>
        </w:rPr>
        <w:t xml:space="preserve">” </w:t>
      </w:r>
      <w:r>
        <w:rPr>
          <w:rFonts w:ascii="Times New Roman;serif" w:hAnsi="Times New Roman;serif"/>
          <w:b w:val="false"/>
          <w:color w:val="000000"/>
          <w:sz w:val="24"/>
        </w:rPr>
        <w:t>has the meaning assigned to it in Section 9.03(d).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Agreed Currencies</w:t>
      </w:r>
      <w:r>
        <w:rPr>
          <w:color w:val="000000"/>
        </w:rPr>
        <w:t xml:space="preserve">” </w:t>
      </w:r>
      <w:r>
        <w:rPr>
          <w:rFonts w:ascii="Times New Roman;serif" w:hAnsi="Times New Roman;serif"/>
          <w:b w:val="false"/>
          <w:color w:val="000000"/>
          <w:sz w:val="24"/>
        </w:rPr>
        <w:t>means (i) Dollars and (ii) each Foreign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Agreement</w:t>
      </w:r>
      <w:r>
        <w:rPr>
          <w:color w:val="000000"/>
        </w:rPr>
        <w:t xml:space="preserve">” </w:t>
      </w:r>
      <w:r>
        <w:rPr>
          <w:rFonts w:ascii="Times New Roman;serif" w:hAnsi="Times New Roman;serif"/>
          <w:b w:val="false"/>
          <w:color w:val="000000"/>
          <w:sz w:val="24"/>
        </w:rPr>
        <w:t xml:space="preserve">has the meaning specified in introductory paragraph hereof.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Alternate Base Rate</w:t>
      </w:r>
      <w:r>
        <w:rPr>
          <w:color w:val="000000"/>
        </w:rPr>
        <w:t xml:space="preserve">” </w:t>
      </w:r>
      <w:r>
        <w:rPr>
          <w:rFonts w:ascii="Times New Roman;serif" w:hAnsi="Times New Roman;serif"/>
          <w:b w:val="false"/>
          <w:color w:val="000000"/>
          <w:sz w:val="24"/>
        </w:rPr>
        <w:t>means, for any day, a rate per annum equal to the greatest of (a) the Prime Rate in effect on such day, (b) the NYFRB Rate in effect on such day plus ½ of 1% and (c) the Adjusted Term SOFR Rate for a one month Interest Period as published two U.S. Government Securities Business Days prior to such day (or if such day is not a U.S. Government Securities Business Day, the immediately preceding U.S. Government Securities Business Day) plus 1%; provided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Section 2.14 (for the avoidance of doubt, only until the Benchmark Replacement has been determined pursuant to Section 2.14(b)), then the Alternate Base Rate shall be the greater of clauses (a) and (b) above and shall be determined without reference to clause (c) above. For the avoidance of doubt, if the Alternate Base Rate as determined pursuant to the foregoing would be less than 1%, such rate shall be deemed to be 1% for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w:t>
      </w:r>
      <w:r>
        <w:rPr>
          <w:rFonts w:ascii="Times New Roman;serif" w:hAnsi="Times New Roman;serif"/>
          <w:b/>
          <w:i/>
          <w:color w:val="000000"/>
          <w:sz w:val="24"/>
        </w:rPr>
        <w:t>Amendment No. 1 Effective Date</w:t>
      </w:r>
      <w:r>
        <w:rPr>
          <w:color w:val="000000"/>
        </w:rPr>
        <w:t xml:space="preserve">” </w:t>
      </w:r>
      <w:r>
        <w:rPr>
          <w:rFonts w:ascii="Times New Roman;serif" w:hAnsi="Times New Roman;serif"/>
          <w:b w:val="false"/>
          <w:color w:val="000000"/>
          <w:sz w:val="24"/>
        </w:rPr>
        <w:t>means February 27, 2024.</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Ancillary Document</w:t>
      </w:r>
      <w:r>
        <w:rPr>
          <w:color w:val="000000"/>
        </w:rPr>
        <w:t xml:space="preserve">” </w:t>
      </w:r>
      <w:r>
        <w:rPr>
          <w:rFonts w:ascii="Times New Roman;serif" w:hAnsi="Times New Roman;serif"/>
          <w:b w:val="false"/>
          <w:color w:val="000000"/>
          <w:sz w:val="24"/>
        </w:rPr>
        <w:t>has the meaning assigned to it in Section 9.06(b).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Anti-Corruption Laws</w:t>
      </w:r>
      <w:r>
        <w:rPr>
          <w:color w:val="000000"/>
        </w:rPr>
        <w:t xml:space="preserve">” </w:t>
      </w:r>
      <w:r>
        <w:rPr>
          <w:rFonts w:ascii="Times New Roman;serif" w:hAnsi="Times New Roman;serif"/>
          <w:b w:val="false"/>
          <w:color w:val="000000"/>
          <w:sz w:val="24"/>
        </w:rPr>
        <w:t>means all laws, rules, and regulations of any jurisdiction applicable to the Borrower or any of its Subsidiaries from time to time concerning or relating to bribery or corruption.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Applicable Parties</w:t>
      </w:r>
      <w:r>
        <w:rPr>
          <w:color w:val="000000"/>
        </w:rPr>
        <w:t xml:space="preserve">” </w:t>
      </w:r>
      <w:r>
        <w:rPr>
          <w:rFonts w:ascii="Times New Roman;serif" w:hAnsi="Times New Roman;serif"/>
          <w:b w:val="false"/>
          <w:color w:val="000000"/>
          <w:sz w:val="24"/>
        </w:rPr>
        <w:t>has the meaning assigned to it in Section 8.03(c).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Applicable Percentage</w:t>
      </w:r>
      <w:r>
        <w:rPr>
          <w:color w:val="000000"/>
        </w:rPr>
        <w:t xml:space="preserve">” </w:t>
      </w:r>
      <w:r>
        <w:rPr>
          <w:rFonts w:ascii="Times New Roman;serif" w:hAnsi="Times New Roman;serif"/>
          <w:b w:val="false"/>
          <w:color w:val="000000"/>
          <w:sz w:val="24"/>
        </w:rPr>
        <w:t xml:space="preserve">means, with respect to any Lender, (a) with respect to Revolving Loans, LC Exposure or Swingline Loans, the percentage equal to a fraction the numerator of which is such Lender’s Revolving Commitment and the denominator of which is the aggregate Revolving Commitments of all Revolving Lenders (if the Revolving Commitments have terminated or expired, the Applicable Percentages shall be determined based upon the Revolving Commitments most recently in effect, giving effect to any assignments);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Section 2.20 when a Defaulting Lender shall exist, any such Defaulting Lender’s Revolving Commitment shall be disregarded in the calculation and (b) with respect to the Term Loans, a percentage equal to a fraction the numerator of which is such Lender’s outstanding principal amount of the Term Loans and the denominator of which is the aggregate outstanding principal amount of the Term Loans of all Term Lenders.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Applicable Rate</w:t>
      </w:r>
      <w:r>
        <w:rPr>
          <w:color w:val="000000"/>
        </w:rPr>
        <w:t xml:space="preserve">” </w:t>
      </w:r>
      <w:r>
        <w:rPr>
          <w:rFonts w:ascii="Times New Roman;serif" w:hAnsi="Times New Roman;serif"/>
          <w:b w:val="false"/>
          <w:color w:val="000000"/>
          <w:sz w:val="24"/>
        </w:rPr>
        <w:t xml:space="preserve">means, for any day, with respect to any Term Benchmark Loan, any ABR Loan, any RFR Loan or with respect to the facility fees payable hereunder, as the case may be, the applicable rate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set forth below under the caption “Term Benchmark/RFR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Spread”, ““ABR Spread,” or “Commitment Fee Rate</w:t>
      </w:r>
      <w:r>
        <w:rPr>
          <w:color w:val="000000"/>
        </w:rPr>
        <w:t>”</w:t>
      </w:r>
      <w:r>
        <w:rPr>
          <w:rFonts w:ascii="Times New Roman;serif" w:hAnsi="Times New Roman;serif"/>
          <w:b w:val="false"/>
          <w:color w:val="000000"/>
          <w:sz w:val="24"/>
        </w:rPr>
        <w:t>, as the case may be, based upon the Total Consolidated Debt Leverage Ratio applicable on such date:</w:t>
      </w:r>
    </w:p>
    <w:tbl>
      <w:tblPr>
        <w:tblW w:w="10205" w:type="dxa"/>
        <w:jc w:val="left"/>
        <w:tblInd w:w="0" w:type="dxa"/>
        <w:tblLayout w:type="fixed"/>
        <w:tblCellMar>
          <w:top w:w="28" w:type="dxa"/>
          <w:left w:w="28" w:type="dxa"/>
          <w:bottom w:w="28" w:type="dxa"/>
          <w:right w:w="28" w:type="dxa"/>
        </w:tblCellMar>
      </w:tblPr>
      <w:tblGrid>
        <w:gridCol w:w="421"/>
        <w:gridCol w:w="369"/>
        <w:gridCol w:w="371"/>
        <w:gridCol w:w="1073"/>
        <w:gridCol w:w="1073"/>
        <w:gridCol w:w="1076"/>
        <w:gridCol w:w="855"/>
        <w:gridCol w:w="855"/>
        <w:gridCol w:w="857"/>
        <w:gridCol w:w="405"/>
        <w:gridCol w:w="405"/>
        <w:gridCol w:w="407"/>
        <w:gridCol w:w="593"/>
        <w:gridCol w:w="593"/>
        <w:gridCol w:w="852"/>
      </w:tblGrid>
      <w:tr>
        <w:trPr/>
        <w:tc>
          <w:tcPr>
            <w:tcW w:w="4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op w:val="double" w:sz="5" w:space="0" w:color="000000"/>
              <w:left w:val="double" w:sz="5"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Total Consolidated Debt Leverage Ratio</w:t>
            </w:r>
          </w:p>
        </w:tc>
        <w:tc>
          <w:tcPr>
            <w:tcW w:w="2567"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Term Benchmark/RFR Spread </w:t>
            </w:r>
          </w:p>
        </w:tc>
        <w:tc>
          <w:tcPr>
            <w:tcW w:w="1217" w:type="dxa"/>
            <w:gridSpan w:val="3"/>
            <w:tcBorders>
              <w:top w:val="double" w:sz="5"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 xml:space="preserve">ABR Spread </w:t>
            </w:r>
          </w:p>
        </w:tc>
        <w:tc>
          <w:tcPr>
            <w:tcW w:w="2038" w:type="dxa"/>
            <w:gridSpan w:val="3"/>
            <w:tcBorders>
              <w:top w:val="double" w:sz="5" w:space="0" w:color="000000"/>
              <w:left w:val="single" w:sz="4" w:space="0" w:color="000000"/>
              <w:right w:val="double" w:sz="5"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Commitment Fee Rate</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1</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Times New Roman;serif" w:hAnsi="Times New Roman;serif"/>
                <w:b w:val="false"/>
                <w:color w:val="000000"/>
                <w:sz w:val="24"/>
              </w:rPr>
              <w:t>1.25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0.25%</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0.15%</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2</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&gt; 1.25 to 1.00 but ≤ 1.75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1.50%</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0.50%</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0.175%</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3</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&gt; 1.75 to 1.00 but ≤ 2.25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1.625%</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0.625%</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0.20%</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4</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pPr>
            <w:r>
              <w:rPr>
                <w:rFonts w:ascii="Times New Roman;serif" w:hAnsi="Times New Roman;serif"/>
                <w:b w:val="false"/>
                <w:color w:val="000000"/>
                <w:sz w:val="24"/>
              </w:rPr>
              <w:t xml:space="preserve">&gt; 2.25 to 1.00 but </w:t>
            </w:r>
            <w:r>
              <w:rPr>
                <w:rFonts w:ascii="Times New Roman;serif" w:hAnsi="Times New Roman;serif"/>
                <w:b w:val="false"/>
                <w:color w:val="000000"/>
                <w:sz w:val="24"/>
                <w:u w:val="single"/>
              </w:rPr>
              <w:t>&lt;</w:t>
            </w:r>
            <w:r>
              <w:rPr>
                <w:color w:val="000000"/>
              </w:rPr>
              <w:t xml:space="preserve"> </w:t>
            </w:r>
            <w:r>
              <w:rPr>
                <w:rFonts w:ascii="Times New Roman;serif" w:hAnsi="Times New Roman;serif"/>
                <w:b w:val="false"/>
                <w:color w:val="000000"/>
                <w:sz w:val="24"/>
              </w:rPr>
              <w:t>2.75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1.75%</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0.75%</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0.25%</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5</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pPr>
            <w:r>
              <w:rPr>
                <w:rFonts w:ascii="Times New Roman;serif" w:hAnsi="Times New Roman;serif"/>
                <w:b w:val="false"/>
                <w:color w:val="000000"/>
                <w:sz w:val="24"/>
              </w:rPr>
              <w:t xml:space="preserve">&gt; 2.75 to 1.00 but </w:t>
            </w:r>
            <w:r>
              <w:rPr>
                <w:rFonts w:ascii="Times New Roman;serif" w:hAnsi="Times New Roman;serif"/>
                <w:b w:val="false"/>
                <w:color w:val="000000"/>
                <w:sz w:val="24"/>
                <w:u w:val="single"/>
              </w:rPr>
              <w:t>&lt;</w:t>
            </w:r>
            <w:r>
              <w:rPr>
                <w:color w:val="000000"/>
              </w:rPr>
              <w:t xml:space="preserve"> </w:t>
            </w:r>
            <w:r>
              <w:rPr>
                <w:rFonts w:ascii="Times New Roman;serif" w:hAnsi="Times New Roman;serif"/>
                <w:b w:val="false"/>
                <w:color w:val="000000"/>
                <w:sz w:val="24"/>
              </w:rPr>
              <w:t>3.25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2.00%</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1.00%</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0.275%</w:t>
            </w:r>
          </w:p>
        </w:tc>
      </w:tr>
      <w:tr>
        <w:trPr/>
        <w:tc>
          <w:tcPr>
            <w:tcW w:w="1161" w:type="dxa"/>
            <w:gridSpan w:val="3"/>
            <w:tcBorders>
              <w:top w:val="single" w:sz="4" w:space="0" w:color="000000"/>
              <w:left w:val="double" w:sz="5" w:space="0" w:color="000000"/>
            </w:tcBorders>
            <w:tcMar>
              <w:top w:w="30" w:type="dxa"/>
              <w:bottom w:w="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6</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120"/>
              <w:jc w:val="center"/>
              <w:rPr/>
            </w:pPr>
            <w:r>
              <w:rPr>
                <w:rFonts w:ascii="Times New Roman;serif" w:hAnsi="Times New Roman;serif"/>
                <w:b w:val="false"/>
                <w:color w:val="000000"/>
                <w:sz w:val="24"/>
              </w:rPr>
              <w:t xml:space="preserve">&gt; 3.25 to 1.00 but </w:t>
            </w:r>
            <w:r>
              <w:rPr>
                <w:rFonts w:ascii="Times New Roman;serif" w:hAnsi="Times New Roman;serif"/>
                <w:b w:val="false"/>
                <w:color w:val="000000"/>
                <w:sz w:val="24"/>
                <w:u w:val="single"/>
              </w:rPr>
              <w:t>&lt;</w:t>
            </w:r>
            <w:r>
              <w:rPr>
                <w:color w:val="000000"/>
              </w:rPr>
              <w:t xml:space="preserve"> </w:t>
            </w:r>
            <w:r>
              <w:rPr>
                <w:rFonts w:ascii="Times New Roman;serif" w:hAnsi="Times New Roman;serif"/>
                <w:b w:val="false"/>
                <w:color w:val="000000"/>
                <w:sz w:val="24"/>
              </w:rPr>
              <w:t>3.75 to 1.00</w:t>
            </w:r>
          </w:p>
        </w:tc>
        <w:tc>
          <w:tcPr>
            <w:tcW w:w="2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2.25%</w:t>
            </w:r>
          </w:p>
        </w:tc>
        <w:tc>
          <w:tcPr>
            <w:tcW w:w="1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1.25%</w:t>
            </w:r>
          </w:p>
        </w:tc>
        <w:tc>
          <w:tcPr>
            <w:tcW w:w="2038" w:type="dxa"/>
            <w:gridSpan w:val="3"/>
            <w:tcBorders>
              <w:top w:val="single" w:sz="4" w:space="0" w:color="000000"/>
              <w:left w:val="single" w:sz="4" w:space="0" w:color="000000"/>
              <w:right w:val="double" w:sz="5"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0.30%</w:t>
            </w:r>
          </w:p>
        </w:tc>
      </w:tr>
      <w:tr>
        <w:trPr/>
        <w:tc>
          <w:tcPr>
            <w:tcW w:w="1161" w:type="dxa"/>
            <w:gridSpan w:val="3"/>
            <w:tcBorders>
              <w:top w:val="single" w:sz="4" w:space="0" w:color="000000"/>
              <w:left w:val="double" w:sz="5" w:space="0" w:color="000000"/>
              <w:bottom w:val="double" w:sz="5" w:space="0" w:color="000000"/>
            </w:tcBorders>
            <w:tcMar>
              <w:top w:w="30" w:type="dxa"/>
              <w:bottom w:w="30" w:type="dxa"/>
              <w:right w:w="0" w:type="dxa"/>
            </w:tcMar>
            <w:vAlign w:val="center"/>
          </w:tcPr>
          <w:p>
            <w:pPr>
              <w:pStyle w:val="TableContents"/>
              <w:bidi w:val="0"/>
              <w:spacing w:lineRule="auto" w:line="288" w:before="0" w:after="120"/>
              <w:jc w:val="left"/>
              <w:rPr/>
            </w:pPr>
            <w:r>
              <w:rPr>
                <w:rFonts w:ascii="Times New Roman;serif" w:hAnsi="Times New Roman;serif"/>
                <w:b w:val="false"/>
                <w:color w:val="000000"/>
                <w:sz w:val="24"/>
                <w:u w:val="single"/>
              </w:rPr>
              <w:t>Category 7</w:t>
            </w:r>
            <w:r>
              <w:rPr>
                <w:rFonts w:ascii="Times New Roman;serif" w:hAnsi="Times New Roman;serif"/>
                <w:b w:val="false"/>
                <w:color w:val="000000"/>
                <w:sz w:val="24"/>
              </w:rPr>
              <w:t>:</w:t>
            </w:r>
          </w:p>
        </w:tc>
        <w:tc>
          <w:tcPr>
            <w:tcW w:w="3222" w:type="dxa"/>
            <w:gridSpan w:val="3"/>
            <w:tcBorders>
              <w:top w:val="single" w:sz="4" w:space="0" w:color="000000"/>
              <w:left w:val="single" w:sz="4" w:space="0" w:color="000000"/>
              <w:bottom w:val="double" w:sz="5"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&gt; 3.75 to 1.00</w:t>
            </w:r>
          </w:p>
        </w:tc>
        <w:tc>
          <w:tcPr>
            <w:tcW w:w="2567" w:type="dxa"/>
            <w:gridSpan w:val="3"/>
            <w:tcBorders>
              <w:top w:val="single" w:sz="4" w:space="0" w:color="000000"/>
              <w:left w:val="single" w:sz="4" w:space="0" w:color="000000"/>
              <w:bottom w:val="double" w:sz="5"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2.75%</w:t>
            </w:r>
          </w:p>
        </w:tc>
        <w:tc>
          <w:tcPr>
            <w:tcW w:w="1217" w:type="dxa"/>
            <w:gridSpan w:val="3"/>
            <w:tcBorders>
              <w:top w:val="single" w:sz="4" w:space="0" w:color="000000"/>
              <w:left w:val="single" w:sz="4" w:space="0" w:color="000000"/>
              <w:bottom w:val="double" w:sz="5"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1.75%</w:t>
            </w:r>
          </w:p>
        </w:tc>
        <w:tc>
          <w:tcPr>
            <w:tcW w:w="2038" w:type="dxa"/>
            <w:gridSpan w:val="3"/>
            <w:tcBorders>
              <w:top w:val="single" w:sz="4" w:space="0" w:color="000000"/>
              <w:left w:val="single" w:sz="4" w:space="0" w:color="000000"/>
              <w:bottom w:val="double" w:sz="5" w:space="0" w:color="000000"/>
              <w:right w:val="double" w:sz="5"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0.35%</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the foregoing,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(i)if at any time the Borrower fails to deliver the Financials on or before the date the Financials are due pursuant to Section 5.01, Category 7 shall be deemed applicable for the period commencing three (3) Business Days after the required date of delivery and ending on the date which is three (3) Business Days after the Financials are actually delivered, after which the Category shall be determined in accordance with the table above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(ii)adjustments, if any, to the Category then in effect shall be effective three (3) Business Days after the Administrative Agent has received the applicable Financials (it being understood and agreed that each change in Category shall apply during the period commencing on the effective date of such change and ending on the date immediately preceding the effective date of the next such change);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notwithstanding the foregoing (but subject to the preceding clause (i)), Category 6 (which is the Category in effect on the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No. 1 Effective Date) shall continue to be applicable from the date that is three (3) Business Days after the Administrative Agent has received the applicable Financials for the Borrower’s fiscal year ended December 31, 2023 until three (3) Business Days after the Administrative Agent’s receipt of the applicable Financials for the Borrower’s fiscal quarter ending March 31, 2024;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(iii)notwithstanding the foregoing, Category 6 shall be deemed to be applicable until the Administrative Agent’s receipt of the applicable Financials for the Borrower’s first full fiscal quarter ending after the Effective Date (unless such Financials demonstrate that Category 7 should have been applicable during such period, in which case such other Category shall be deemed to be applicable during such period) and adjustments to the Category then in effect shall thereafter be effected in accordance with the preceding paragraphs.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Applicable Time</w:t>
      </w:r>
      <w:r>
        <w:rPr>
          <w:color w:val="000000"/>
        </w:rPr>
        <w:t xml:space="preserve">” </w:t>
      </w:r>
      <w:r>
        <w:rPr>
          <w:rFonts w:ascii="Times New Roman;serif" w:hAnsi="Times New Roman;serif"/>
          <w:b w:val="false"/>
          <w:color w:val="000000"/>
          <w:sz w:val="24"/>
        </w:rPr>
        <w:t>means, with respect to any Borrowings and payments in any Foreign Currency, the local time in the place of settlement for such Foreign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Approved Borrower Portal</w:t>
      </w:r>
      <w:r>
        <w:rPr>
          <w:color w:val="000000"/>
        </w:rPr>
        <w:t xml:space="preserve">” </w:t>
      </w:r>
      <w:r>
        <w:rPr>
          <w:rFonts w:ascii="Times New Roman;serif" w:hAnsi="Times New Roman;serif"/>
          <w:b w:val="false"/>
          <w:color w:val="000000"/>
          <w:sz w:val="24"/>
        </w:rPr>
        <w:t>has the meaning assigned to such term in Section 8.10(a).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Approved Electronic Platform</w:t>
      </w:r>
      <w:r>
        <w:rPr>
          <w:color w:val="000000"/>
        </w:rPr>
        <w:t xml:space="preserve">” </w:t>
      </w:r>
      <w:r>
        <w:rPr>
          <w:rFonts w:ascii="Times New Roman;serif" w:hAnsi="Times New Roman;serif"/>
          <w:b w:val="false"/>
          <w:color w:val="000000"/>
          <w:sz w:val="24"/>
        </w:rPr>
        <w:t>has the meaning assigned to it in Section 8.03(a).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Approved Fund</w:t>
      </w:r>
      <w:r>
        <w:rPr>
          <w:color w:val="000000"/>
        </w:rPr>
        <w:t xml:space="preserve">” </w:t>
      </w:r>
      <w:r>
        <w:rPr>
          <w:rFonts w:ascii="Times New Roman;serif" w:hAnsi="Times New Roman;serif"/>
          <w:b w:val="false"/>
          <w:color w:val="000000"/>
          <w:sz w:val="24"/>
        </w:rPr>
        <w:t>has the meaning assigned to it in Section 9.04(b).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Arrangers</w:t>
      </w:r>
      <w:r>
        <w:rPr>
          <w:color w:val="000000"/>
        </w:rPr>
        <w:t xml:space="preserve">” </w:t>
      </w:r>
      <w:r>
        <w:rPr>
          <w:rFonts w:ascii="Times New Roman;serif" w:hAnsi="Times New Roman;serif"/>
          <w:b w:val="false"/>
          <w:color w:val="000000"/>
          <w:sz w:val="24"/>
        </w:rPr>
        <w:t>means JPMorgan Chase Bank, N.A. and BofA Securities, Inc. in their respective capacities as joint bookrunners and joint lead arrangers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Assignment and Assumption</w:t>
      </w:r>
      <w:r>
        <w:rPr>
          <w:color w:val="000000"/>
        </w:rPr>
        <w:t xml:space="preserve">” </w:t>
      </w:r>
      <w:r>
        <w:rPr>
          <w:rFonts w:ascii="Times New Roman;serif" w:hAnsi="Times New Roman;serif"/>
          <w:b w:val="false"/>
          <w:color w:val="000000"/>
          <w:sz w:val="24"/>
        </w:rPr>
        <w:t>means an assignment and assumption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Attributable Indebtedness</w:t>
      </w:r>
      <w:r>
        <w:rPr>
          <w:color w:val="000000"/>
        </w:rPr>
        <w:t xml:space="preserve">” </w:t>
      </w:r>
      <w:r>
        <w:rPr>
          <w:rFonts w:ascii="Times New Roman;serif" w:hAnsi="Times New Roman;serif"/>
          <w:b w:val="false"/>
          <w:color w:val="000000"/>
          <w:sz w:val="24"/>
        </w:rPr>
        <w:t>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 lease.</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Attributable Receivables Indebtedness</w:t>
      </w:r>
      <w:r>
        <w:rPr>
          <w:color w:val="000000"/>
        </w:rPr>
        <w:t xml:space="preserve">” </w:t>
      </w:r>
      <w:r>
        <w:rPr>
          <w:rFonts w:ascii="Times New Roman;serif" w:hAnsi="Times New Roman;serif"/>
          <w:b w:val="false"/>
          <w:color w:val="000000"/>
          <w:sz w:val="24"/>
        </w:rPr>
        <w:t xml:space="preserve">means, at any time, the principal amount of Indebtedness which (i) if a Permitted Receivables Facility is structured as a lending agreement or other similar agreement, constitutes the principal amount of such Indebtedness or (ii) if a Permitted Receivables Facility is structured as a purchase agreement or other similar agreement, would be outstanding at such time under the Permitted Receivables Facility if the same were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structured as a lending agreement rather than a purchase agreement or such other similar agreement (whether such amount is described as “capital” or otherwise).</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Audited Financial Statements</w:t>
      </w:r>
      <w:r>
        <w:rPr>
          <w:color w:val="000000"/>
        </w:rPr>
        <w:t xml:space="preserve">” </w:t>
      </w:r>
      <w:r>
        <w:rPr>
          <w:rFonts w:ascii="Times New Roman;serif" w:hAnsi="Times New Roman;serif"/>
          <w:b w:val="false"/>
          <w:color w:val="000000"/>
          <w:sz w:val="24"/>
        </w:rPr>
        <w:t>means the audited Consolidated balance sheet of the Borrower and its Subsidiaries for the fiscal year ended December 31, 2021 and the related Consolidated statements of income or operations, shareholders’ equity and cash flows for such fiscal year of the Borrower and its Subsidiaries, including the notes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Augmenting Lender</w:t>
      </w:r>
      <w:r>
        <w:rPr>
          <w:color w:val="000000"/>
        </w:rPr>
        <w:t xml:space="preserve">” </w:t>
      </w:r>
      <w:r>
        <w:rPr>
          <w:rFonts w:ascii="Times New Roman;serif" w:hAnsi="Times New Roman;serif"/>
          <w:b w:val="false"/>
          <w:color w:val="000000"/>
          <w:sz w:val="24"/>
        </w:rPr>
        <w:t>has the meaning assigned to such term in Section 2.22.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Availability Period</w:t>
      </w:r>
      <w:r>
        <w:rPr>
          <w:color w:val="000000"/>
        </w:rPr>
        <w:t xml:space="preserve">” </w:t>
      </w:r>
      <w:r>
        <w:rPr>
          <w:rFonts w:ascii="Times New Roman;serif" w:hAnsi="Times New Roman;serif"/>
          <w:b w:val="false"/>
          <w:color w:val="000000"/>
          <w:sz w:val="24"/>
        </w:rPr>
        <w:t>means the period from and including the Effective Date to but excluding the earlier of the Maturity Date and the date of termination of the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Available Revolving Commitment</w:t>
      </w:r>
      <w:r>
        <w:rPr>
          <w:color w:val="000000"/>
        </w:rPr>
        <w:t xml:space="preserve">” </w:t>
      </w:r>
      <w:r>
        <w:rPr>
          <w:rFonts w:ascii="Times New Roman;serif" w:hAnsi="Times New Roman;serif"/>
          <w:b w:val="false"/>
          <w:color w:val="000000"/>
          <w:sz w:val="24"/>
        </w:rPr>
        <w:t>means, at any time with respect to any Lender, the Revolving Commitment of such Lender then in effect minus the Revolving Credit Exposure of such Lender at such time; it being understood and agreed that any Lender’s Swingline Exposure shall not be deemed to be a component of the Revolving Credit Exposure for purposes of calculating the commitment fee under Section 2.12(a).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clause (e) of Section 2.14.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BANA LC Commitment Start Date</w:t>
      </w:r>
      <w:r>
        <w:rPr>
          <w:color w:val="000000"/>
        </w:rPr>
        <w:t xml:space="preserve">” </w:t>
      </w:r>
      <w:r>
        <w:rPr>
          <w:rFonts w:ascii="Times New Roman;serif" w:hAnsi="Times New Roman;serif"/>
          <w:b w:val="false"/>
          <w:color w:val="000000"/>
          <w:sz w:val="24"/>
        </w:rPr>
        <w:t xml:space="preserve">means the date after the Effective Date upon which JPMorgan Chase Bank, N.A., as Issuing Bank hereunder, shall have issued at least $10,000,000 (without reduction for any draw, termination or expiration thereof) in aggregate face amount of Letters of Credit hereunder (including in connection with the issuance of Letters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replacing the Existing Letters of Credit upon the stated maturity thereof as listed on Schedule 2.06 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Banking Services</w:t>
      </w:r>
      <w:r>
        <w:rPr>
          <w:color w:val="000000"/>
        </w:rPr>
        <w:t xml:space="preserve">” </w:t>
      </w:r>
      <w:r>
        <w:rPr>
          <w:rFonts w:ascii="Times New Roman;serif" w:hAnsi="Times New Roman;serif"/>
          <w:b w:val="false"/>
          <w:color w:val="000000"/>
          <w:sz w:val="24"/>
        </w:rPr>
        <w:t>means each and any of the following bank services provided to the Borrower or any Subsidiary by any Lender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Banking Services Agreement</w:t>
      </w:r>
      <w:r>
        <w:rPr>
          <w:color w:val="000000"/>
        </w:rPr>
        <w:t xml:space="preserve">” </w:t>
      </w:r>
      <w:r>
        <w:rPr>
          <w:rFonts w:ascii="Times New Roman;serif" w:hAnsi="Times New Roman;serif"/>
          <w:b w:val="false"/>
          <w:color w:val="000000"/>
          <w:sz w:val="24"/>
        </w:rPr>
        <w:t>means any agreement entered into by the Borrower or any Subsidiary in connection with Banking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Banking Services Obligations</w:t>
      </w:r>
      <w:r>
        <w:rPr>
          <w:color w:val="000000"/>
        </w:rPr>
        <w:t xml:space="preserve">” </w:t>
      </w:r>
      <w:r>
        <w:rPr>
          <w:rFonts w:ascii="Times New Roman;serif" w:hAnsi="Times New Roman;serif"/>
          <w:b w:val="false"/>
          <w:color w:val="000000"/>
          <w:sz w:val="24"/>
        </w:rPr>
        <w:t>means any and all obligations of the Borrower or any Subsidiary, whether absolute or contingent and howsoever and whensoever created, arising, evidenced or acquired (including all renewals, extensions and modifications thereof and substitutions therefor) in connection with Banking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Bankruptcy Code</w:t>
      </w:r>
      <w:r>
        <w:rPr>
          <w:color w:val="000000"/>
        </w:rPr>
        <w:t xml:space="preserve">” </w:t>
      </w:r>
      <w:r>
        <w:rPr>
          <w:rFonts w:ascii="Times New Roman;serif" w:hAnsi="Times New Roman;serif"/>
          <w:b w:val="false"/>
          <w:color w:val="000000"/>
          <w:sz w:val="24"/>
        </w:rPr>
        <w:t>means Title 11 of the United States Code entitled “Bankruptcy”, as now and hereafter in effect, or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Bankruptcy Event</w:t>
      </w:r>
      <w:r>
        <w:rPr>
          <w:color w:val="000000"/>
        </w:rPr>
        <w:t xml:space="preserve">” </w:t>
      </w:r>
      <w:r>
        <w:rPr>
          <w:rFonts w:ascii="Times New Roman;serif" w:hAnsi="Times New Roman;serif"/>
          <w:b w:val="false"/>
          <w:color w:val="000000"/>
          <w:sz w:val="24"/>
        </w:rPr>
        <w:t xml:space="preserve">means,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of, or acquiesced in, any such proceeding or appointment or has had any order for relief in such proceeding entered in respect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w:t>
      </w:r>
      <w:r>
        <w:rPr>
          <w:color w:val="000000"/>
        </w:rPr>
        <w:t xml:space="preserve">” </w:t>
      </w:r>
      <w:r>
        <w:rPr>
          <w:rFonts w:ascii="Times New Roman;serif" w:hAnsi="Times New Roman;serif"/>
          <w:b w:val="false"/>
          <w:color w:val="000000"/>
          <w:sz w:val="24"/>
        </w:rPr>
        <w:t xml:space="preserve">means, initially, with respect to any (i) RFR Loan in any Agreed Currency, the applicable Relevant Rate for such Agreed Currency or (ii) Term Benchmark Loan, the Relevant Rate for the applicable Agreed Currency;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 Benchmark Transition Event and the related Benchmark Replacement Date have occurred with respect to the applicable Relevant Rate or the then-current Benchmark for such Agreed Currency, then “Benchmark” means the applicable Benchmark Replacement to the extent that such Benchmark Replacement has replaced such prior benchmark rate pursuant to clause (b) of Section 2.14.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Replacement</w:t>
      </w:r>
      <w:r>
        <w:rPr>
          <w:color w:val="000000"/>
        </w:rPr>
        <w:t xml:space="preserve">” </w:t>
      </w:r>
      <w:r>
        <w:rPr>
          <w:rFonts w:ascii="Times New Roman;serif" w:hAnsi="Times New Roman;serif"/>
          <w:b w:val="false"/>
          <w:color w:val="000000"/>
          <w:sz w:val="24"/>
        </w:rPr>
        <w:t xml:space="preserve">means, for any Available Tenor, the first alternative set forth in the order below that can be determined by the Administrative Agent for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Benchmark Replacement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any Loan denominated in a Foreign Currency, “Benchmark Replacement” shall mean the alternative set forth in (2) below:</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(1)in the case of any Loan denominated in Dollars, the sum of: (a) Daily Simple SOFR and (b) the related Benchmark Replacement Adjustment,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Benchmark Replacement as determined pursuant to clause (1) or (2) 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Replacement Conforming Changes</w:t>
      </w:r>
      <w:r>
        <w:rPr>
          <w:color w:val="000000"/>
        </w:rPr>
        <w:t xml:space="preserve">” </w:t>
      </w:r>
      <w:r>
        <w:rPr>
          <w:rFonts w:ascii="Times New Roman;serif" w:hAnsi="Times New Roman;serif"/>
          <w:b w:val="false"/>
          <w:color w:val="000000"/>
          <w:sz w:val="24"/>
        </w:rPr>
        <w:t xml:space="preserve">means, with respect to any Benchmark Replacement and/or any Term Benchmark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Replacement Date</w:t>
      </w:r>
      <w:r>
        <w:rPr>
          <w:color w:val="000000"/>
        </w:rPr>
        <w:t xml:space="preserve">” </w:t>
      </w:r>
      <w:r>
        <w:rPr>
          <w:rFonts w:ascii="Times New Roman;serif" w:hAnsi="Times New Roman;serif"/>
          <w:b w:val="false"/>
          <w:color w:val="000000"/>
          <w:sz w:val="24"/>
        </w:rPr>
        <w:t xml:space="preserve">means, with respect to any Benchmark, the earliest to occur of the following events with respect to such then-current Benchmark: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provided, that such non-representativeness will be determined by reference to the most recent statement or publication referenced in such clause (3) and even if any Available Tenor of such Benchmark (or such component thereof) continues to be provided on such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Transition Event</w:t>
      </w:r>
      <w:r>
        <w:rPr>
          <w:color w:val="000000"/>
        </w:rPr>
        <w:t xml:space="preserve">” </w:t>
      </w:r>
      <w:r>
        <w:rPr>
          <w:rFonts w:ascii="Times New Roman;serif" w:hAnsi="Times New Roman;serif"/>
          <w:b w:val="false"/>
          <w:color w:val="000000"/>
          <w:sz w:val="24"/>
        </w:rPr>
        <w:t xml:space="preserve">means, with respect to any Benchmark, the occurrence of one or more of the following events with respect to such then-current Benchmark: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in each case, or a court or an entity with similar insolvency or resolution authority over the administrator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Benchmark Unavailability Period</w:t>
      </w:r>
      <w:r>
        <w:rPr>
          <w:color w:val="000000"/>
        </w:rPr>
        <w:t xml:space="preserve">” </w:t>
      </w:r>
      <w:r>
        <w:rPr>
          <w:rFonts w:ascii="Times New Roman;serif" w:hAnsi="Times New Roman;serif"/>
          <w:b w:val="false"/>
          <w:color w:val="000000"/>
          <w:sz w:val="24"/>
        </w:rPr>
        <w:t>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Loan Document in accordance with Section 2.14 and (y) ending at the time that a Benchmark Replacement has replaced such then-current Benchmark for all purposes hereunder and under any Loan Document in accordance with Section 2.14.</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Beneficial Ownership Certification</w:t>
      </w:r>
      <w:r>
        <w:rPr>
          <w:color w:val="000000"/>
        </w:rPr>
        <w:t xml:space="preserve">” </w:t>
      </w:r>
      <w:r>
        <w:rPr>
          <w:rFonts w:ascii="Times New Roman;serif" w:hAnsi="Times New Roman;serif"/>
          <w:b w:val="false"/>
          <w:color w:val="000000"/>
          <w:sz w:val="24"/>
        </w:rPr>
        <w:t>means a certification regarding beneficial ownership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Benefit Plan</w:t>
      </w:r>
      <w:r>
        <w:rPr>
          <w:color w:val="000000"/>
        </w:rPr>
        <w:t xml:space="preserve">” </w:t>
      </w:r>
      <w:r>
        <w:rPr>
          <w:rFonts w:ascii="Times New Roman;serif" w:hAnsi="Times New Roman;serif"/>
          <w:b w:val="false"/>
          <w:color w:val="000000"/>
          <w:sz w:val="24"/>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Borrower</w:t>
      </w:r>
      <w:r>
        <w:rPr>
          <w:color w:val="000000"/>
        </w:rPr>
        <w:t xml:space="preserve">” </w:t>
      </w:r>
      <w:r>
        <w:rPr>
          <w:rFonts w:ascii="Times New Roman;serif" w:hAnsi="Times New Roman;serif"/>
          <w:b w:val="false"/>
          <w:color w:val="000000"/>
          <w:sz w:val="24"/>
        </w:rPr>
        <w:t>means Mistras Group,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Borrower Communications</w:t>
      </w:r>
      <w:r>
        <w:rPr>
          <w:color w:val="000000"/>
        </w:rPr>
        <w:t xml:space="preserve">” </w:t>
      </w:r>
      <w:r>
        <w:rPr>
          <w:rFonts w:ascii="Times New Roman;serif" w:hAnsi="Times New Roman;serif"/>
          <w:b w:val="false"/>
          <w:color w:val="000000"/>
          <w:sz w:val="24"/>
        </w:rPr>
        <w:t>has the meaning assigned to such term in Section 8.10(c).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Borrowing</w:t>
      </w:r>
      <w:r>
        <w:rPr>
          <w:color w:val="000000"/>
        </w:rPr>
        <w:t xml:space="preserve">” </w:t>
      </w:r>
      <w:r>
        <w:rPr>
          <w:rFonts w:ascii="Times New Roman;serif" w:hAnsi="Times New Roman;serif"/>
          <w:b w:val="false"/>
          <w:color w:val="000000"/>
          <w:sz w:val="24"/>
        </w:rPr>
        <w:t>means (a) a Revolving Borrowing, (b) a Term Loan Borrowing or (c) a Swingline Loan.</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Borrowing Request</w:t>
      </w:r>
      <w:r>
        <w:rPr>
          <w:color w:val="000000"/>
        </w:rPr>
        <w:t xml:space="preserve">” </w:t>
      </w:r>
      <w:r>
        <w:rPr>
          <w:rFonts w:ascii="Times New Roman;serif" w:hAnsi="Times New Roman;serif"/>
          <w:b w:val="false"/>
          <w:color w:val="000000"/>
          <w:sz w:val="24"/>
        </w:rPr>
        <w:t>means a request by the Borrower for a Revolving Borrowing in accordance with Section 2.03, which shall be substantially in the form of Exhibit B or any other form approved by the Administrative Agent.</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Business Day</w:t>
      </w:r>
      <w:r>
        <w:rPr>
          <w:color w:val="000000"/>
        </w:rPr>
        <w:t xml:space="preserve">” </w:t>
      </w:r>
      <w:r>
        <w:rPr>
          <w:rFonts w:ascii="Times New Roman;serif" w:hAnsi="Times New Roman;serif"/>
          <w:b w:val="false"/>
          <w:color w:val="000000"/>
          <w:sz w:val="24"/>
        </w:rPr>
        <w:t>means, any day (other than a Saturday or a Sunday) on which banks are open for business in New York City; provided that, in addition to the foregoing, a Business Day shall be (a) in relation to Loans denominated in Yen and in relation to the calculation or computation of TIBOR or the Japanese Prime Rate, any day (other than a Saturday or a Sunday) on which banks are open for business in Japan, (b) in relation to Loans denominated in Euros and in relation to the calculation or computation of EURIBOR, any day which is a TARGET Day, (c) in relation to Loans or other obligations denominated in Canadian Dollars and in relation to the calculation or computation of the CDOR Rate, any day (other than a Saturday or a Sunday) on which banks are open for business in Toronto, Canada, (d) in relation to RFR Loans and any interest rate settings, fundings, disbursements, settlements or payments of any such RFR Loan, or any other dealings in the applicable Agreed Currency of such RFR Loan, any such day that is only a RFR Business Day, and (d)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Canadian Dollars</w:t>
      </w:r>
      <w:r>
        <w:rPr>
          <w:color w:val="000000"/>
        </w:rPr>
        <w:t xml:space="preserve">” </w:t>
      </w:r>
      <w:r>
        <w:rPr>
          <w:rFonts w:ascii="Times New Roman;serif" w:hAnsi="Times New Roman;serif"/>
          <w:b w:val="false"/>
          <w:color w:val="000000"/>
          <w:sz w:val="24"/>
        </w:rPr>
        <w:t>means the lawful currency of Canada.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Canadian Prime</w:t>
      </w:r>
      <w:r>
        <w:rPr>
          <w:color w:val="000000"/>
        </w:rPr>
        <w:t xml:space="preserve">” </w:t>
      </w:r>
      <w:r>
        <w:rPr>
          <w:rFonts w:ascii="Times New Roman;serif" w:hAnsi="Times New Roman;serif"/>
          <w:b w:val="false"/>
          <w:color w:val="000000"/>
          <w:sz w:val="24"/>
        </w:rPr>
        <w:t>when used in reference to any Loan or Borrowing, refers to whether such Loan, or the Loans comprising such Borrowing, are bearing interest at a rate determined by reference to the Canadian Prime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Canadian Prime Rate</w:t>
      </w:r>
      <w:r>
        <w:rPr>
          <w:color w:val="000000"/>
        </w:rPr>
        <w:t xml:space="preserve">” </w:t>
      </w:r>
      <w:r>
        <w:rPr>
          <w:rFonts w:ascii="Times New Roman;serif" w:hAnsi="Times New Roman;serif"/>
          <w:b w:val="false"/>
          <w:color w:val="000000"/>
          <w:sz w:val="24"/>
        </w:rPr>
        <w:t>means, on any day, a rate per annum determined by the Administrative Agent to be the higher of (i)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and (ii) the CDOR Rate for a one month Interest Period at approximately 10:15 a.m., Toronto, Ontario time, on such day (and, if such day is not a Business Day, then on the immediately preceding Business Day (as adjusted by Administrative Agent after 10:15 a.m., Toronto, Ontario time to reflect any error in the posted rate of interest or in the posted average annual rate of interest)), rounded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1% (with .005% being rounded up), plus 1% per annum; provided, that if any the above rates shall be less than 1% per annum, such rate shall be deemed to be 1% per annum for purposes of this Agreement. Any change in the Canadian Prime Rate due to a change in the PRIMCAN Index or the CDOR Rate shall be effective from and including the effective date of such change in the PRIMCAN Index or CDOR Rate, respectively. If the Canadian Prime Rate is being used as an alternate rate of interest pursuant to Section 2.14 (for the avoidance of doubt, only until the applicable Benchmark Replacement has been determined pursuant to Section 2.14(b)), then the Canadian Prime Rate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determined solely by reference to clause (i) above and shall be determined without reference to clause (ii) above.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Capital Lease Obligations</w:t>
      </w:r>
      <w:r>
        <w:rPr>
          <w:color w:val="000000"/>
        </w:rPr>
        <w:t xml:space="preserve">” </w:t>
      </w:r>
      <w:r>
        <w:rPr>
          <w:rFonts w:ascii="Times New Roman;serif" w:hAnsi="Times New Roman;serif"/>
          <w:b w:val="false"/>
          <w:color w:val="000000"/>
          <w:sz w:val="24"/>
        </w:rPr>
        <w:t>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CBR Loan</w:t>
      </w:r>
      <w:r>
        <w:rPr>
          <w:color w:val="000000"/>
        </w:rPr>
        <w:t xml:space="preserve">” </w:t>
      </w:r>
      <w:r>
        <w:rPr>
          <w:rFonts w:ascii="Times New Roman;serif" w:hAnsi="Times New Roman;serif"/>
          <w:b w:val="false"/>
          <w:color w:val="000000"/>
          <w:sz w:val="24"/>
        </w:rPr>
        <w:t>means a Loan that bears interest at a rate determined by reference to the Central Bank/Prime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CBR Spread</w:t>
      </w:r>
      <w:r>
        <w:rPr>
          <w:color w:val="000000"/>
        </w:rPr>
        <w:t xml:space="preserve">” </w:t>
      </w:r>
      <w:r>
        <w:rPr>
          <w:rFonts w:ascii="Times New Roman;serif" w:hAnsi="Times New Roman;serif"/>
          <w:b w:val="false"/>
          <w:color w:val="000000"/>
          <w:sz w:val="24"/>
        </w:rPr>
        <w:t xml:space="preserve">means the Applicable Rate, applicable to such Loan that is replaced by a CBR Loan.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CDOR Rate</w:t>
      </w:r>
      <w:r>
        <w:rPr>
          <w:color w:val="000000"/>
        </w:rPr>
        <w:t xml:space="preserve">” </w:t>
      </w:r>
      <w:r>
        <w:rPr>
          <w:rFonts w:ascii="Times New Roman;serif" w:hAnsi="Times New Roman;serif"/>
          <w:b w:val="false"/>
          <w:color w:val="000000"/>
          <w:sz w:val="24"/>
        </w:rPr>
        <w:t>means, with respect to any Term Benchmark Borrowing denominated in Canadian Dollars and for any Interest Period, the CDOR Screen Rate at approximately 10:15 a.m. Toronto local time on the first day of such Interest Period (and, if such day is not a Business Day, then on the immediately preceding Business Day (as adjusted by Administrative Agent after 10:15 a.m. Toronto, Ontario time to reflect any error in the posted rate of interest or in the posted average annual rate of interest)), rounded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1% (with .005% being rounded up).</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CDOR Screen Rate</w:t>
      </w:r>
      <w:r>
        <w:rPr>
          <w:color w:val="000000"/>
        </w:rPr>
        <w:t xml:space="preserve">” </w:t>
      </w:r>
      <w:r>
        <w:rPr>
          <w:rFonts w:ascii="Times New Roman;serif" w:hAnsi="Times New Roman;serif"/>
          <w:b w:val="false"/>
          <w:color w:val="000000"/>
          <w:sz w:val="24"/>
        </w:rPr>
        <w:t>means, for any day and time, with respect to any Term Benchmark Borrowing denominated in Canadian Dollars and for any Interest Period, the annual rate of interest equal to the average rate applicable to Canadian dollar Canadian bankers’ acceptances for the applicable Interest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provided that, if the CDOR Screen Rate shall be less than zero, the CDOR Screen Rate shall be deemed to be zero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Central Bank/Prime Rate</w:t>
      </w:r>
      <w:r>
        <w:rPr>
          <w:color w:val="000000"/>
        </w:rPr>
        <w:t xml:space="preserve">” </w:t>
      </w:r>
      <w:r>
        <w:rPr>
          <w:rFonts w:ascii="Times New Roman;serif" w:hAnsi="Times New Roman;serif"/>
          <w:b w:val="false"/>
          <w:color w:val="000000"/>
          <w:sz w:val="24"/>
        </w:rPr>
        <w:t xml:space="preserve">means, the greater of (I)(A) for any Loan denominated in (a)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Canadian Dollars, the Canadian Prime Rate, (c) Yen, the Japanese Prime Rate, and (d)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Foreign Currency determined after the Effective Date, a central bank rate as determined by the Administrative Agent in its reasonable discretion plus (B) the applicable Central Bank/Prime Rate Adjustment and (II)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Central Bank/Prime Rate Adjustment</w:t>
      </w:r>
      <w:r>
        <w:rPr>
          <w:color w:val="000000"/>
        </w:rPr>
        <w:t xml:space="preserve">” </w:t>
      </w:r>
      <w:r>
        <w:rPr>
          <w:rFonts w:ascii="Times New Roman;serif" w:hAnsi="Times New Roman;serif"/>
          <w:b w:val="false"/>
          <w:color w:val="000000"/>
          <w:sz w:val="24"/>
        </w:rPr>
        <w:t>means for any day, for any Loan denominated in (a) Euro, a rate equal to the difference (which may be a positive or negative value or zero) of (i) the average of the Adjusted EURIBOR Rate for the five most recent Business Days preceding such day for which the EURIBOR Screen Rate was available (excluding, from such averaging, the highest and the lowest Adjusted EURIBOR Rate applicable during such period of five Business Days) minus (ii) the Central Bank/Prime Rate in respect of Euro in effect on the last Business Day in such period, (b) Canadian Dollars or Japanese Yen, zero, and (c) any other Foreign Currency determined after the Effective Date, a Central Bank/Prime Rate Adjustment as determined by the Administrative Agent in its reasonable discretion. For purposes of this definition, (x) the term Central Bank/Prime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Change of Control</w:t>
      </w:r>
      <w:r>
        <w:rPr>
          <w:color w:val="000000"/>
        </w:rPr>
        <w:t xml:space="preserve">” </w:t>
      </w:r>
      <w:r>
        <w:rPr>
          <w:rFonts w:ascii="Times New Roman;serif" w:hAnsi="Times New Roman;serif"/>
          <w:b w:val="false"/>
          <w:color w:val="000000"/>
          <w:sz w:val="24"/>
        </w:rPr>
        <w:t>means, with respect to a specified Person, an event or series of events by which:</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any “person” or “group” (as such terms are used in Sections 13(d) and 14(d) of the Securities Exchange Act of 1934, but excluding (i) Dr. Sotirios J. Vahaviolos or any Person Controlled by him, or any trust established for the sole benefit of, and Controlled by, him, his spouse, children or other lineal descendants and (ii)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(hereinafter such right shall be referred to as an “</w:t>
      </w:r>
      <w:r>
        <w:rPr>
          <w:rFonts w:ascii="Times New Roman;serif" w:hAnsi="Times New Roman;serif"/>
          <w:b w:val="false"/>
          <w:color w:val="000000"/>
          <w:sz w:val="24"/>
          <w:u w:val="single"/>
        </w:rPr>
        <w:t>option right</w:t>
      </w:r>
      <w:r>
        <w:rPr>
          <w:color w:val="000000"/>
        </w:rPr>
        <w:t>”</w:t>
      </w:r>
      <w:r>
        <w:rPr>
          <w:rFonts w:ascii="Times New Roman;serif" w:hAnsi="Times New Roman;serif"/>
          <w:b w:val="false"/>
          <w:color w:val="000000"/>
          <w:sz w:val="24"/>
        </w:rPr>
        <w:t>)), directly or indirectly, of more than thirty-five percent (35%) of the equity securities of such Person entitled to vote for members of the board of directors or equivalent governing body of such Person on a fully-diluted basis (and taking into account all such securities that such person or group has the right to acquire pursuant to any option right);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during any period of twenty-four (24) consecutive months, a majority of the members of the board of directors or other equivalent governing body of such Person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serif" w:hAnsi="Times New Roman;serif"/>
          <w:b w:val="false"/>
          <w:color w:val="000000"/>
          <w:sz w:val="24"/>
          <w:u w:val="single"/>
        </w:rPr>
        <w:t>clauses (i) and (ii)</w:t>
      </w:r>
      <w:r>
        <w:rPr>
          <w:color w:val="000000"/>
        </w:rPr>
        <w:t xml:space="preserve"> </w:t>
      </w:r>
      <w:r>
        <w:rPr>
          <w:rFonts w:ascii="Times New Roman;serif" w:hAnsi="Times New Roman;serif"/>
          <w:b w:val="false"/>
          <w:color w:val="000000"/>
          <w:sz w:val="24"/>
        </w:rPr>
        <w:t>above constituting at the time of such election or nomination at least a majority of that board or equivalent governing body; or</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any individual(s) or entity(s)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such Person, or control over the equity securities of such Person entitled to vote for members of the board of directors or equivalent governing body of such Person on a fully-diluted basis (and taking into account all such securities that such individual(s) or entity(s) or group has the right to acquire pursuant to any option right) representing more than thirty-five percent (35%) of the combined voting power of such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Change in Law</w:t>
      </w:r>
      <w:r>
        <w:rPr>
          <w:color w:val="000000"/>
        </w:rPr>
        <w:t xml:space="preserve">” </w:t>
      </w:r>
      <w:r>
        <w:rPr>
          <w:rFonts w:ascii="Times New Roman;serif" w:hAnsi="Times New Roman;serif"/>
          <w:b w:val="false"/>
          <w:color w:val="000000"/>
          <w:sz w:val="24"/>
        </w:rPr>
        <w:t xml:space="preserve">means the occurrence, after the date of this Agreement (or, with respect to any Lender, such later date on which such Lender becomes a party to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Bank (or, for purposes of Section 2.15(b), by any lending office of such Lender or by such Lender’s or Issuing Bank’s holding company, if any) with any request, rule, guideline, requirement or directive (whether or not having the force of law) of any Governmental Authority made or issued after the date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Charges</w:t>
      </w:r>
      <w:r>
        <w:rPr>
          <w:color w:val="000000"/>
        </w:rPr>
        <w:t xml:space="preserve">” </w:t>
      </w:r>
      <w:r>
        <w:rPr>
          <w:rFonts w:ascii="Times New Roman;serif" w:hAnsi="Times New Roman;serif"/>
          <w:b w:val="false"/>
          <w:color w:val="000000"/>
          <w:sz w:val="24"/>
        </w:rPr>
        <w:t>has the meaning assigned to it in Section 9.14.</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Class</w:t>
      </w:r>
      <w:r>
        <w:rPr>
          <w:color w:val="000000"/>
        </w:rPr>
        <w:t xml:space="preserve">” </w:t>
      </w:r>
      <w:r>
        <w:rPr>
          <w:rFonts w:ascii="Times New Roman;serif" w:hAnsi="Times New Roman;serif"/>
          <w:b w:val="false"/>
          <w:color w:val="000000"/>
          <w:sz w:val="24"/>
        </w:rPr>
        <w:t>when used in reference to any Loan or Borrowing, refers to whether such Loan, or the Loans comprising such Borrowing, are Revolving Loans, Term Loans or Swingline Loans.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CME Term SOFR Administrator</w:t>
      </w:r>
      <w:r>
        <w:rPr>
          <w:color w:val="000000"/>
        </w:rPr>
        <w:t xml:space="preserve">” </w:t>
      </w:r>
      <w:r>
        <w:rPr>
          <w:rFonts w:ascii="Times New Roman;serif" w:hAnsi="Times New Roman;serif"/>
          <w:b w:val="false"/>
          <w:color w:val="000000"/>
          <w:sz w:val="24"/>
        </w:rPr>
        <w:t xml:space="preserve">means CME Group Benchmark Administration Limited as administrator of the forward-looking term Secured Overnight Financing Rate (SOFR) (or a successor administrator).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Code</w:t>
      </w:r>
      <w:r>
        <w:rPr>
          <w:color w:val="000000"/>
        </w:rPr>
        <w:t xml:space="preserve">” </w:t>
      </w:r>
      <w:r>
        <w:rPr>
          <w:rFonts w:ascii="Times New Roman;serif" w:hAnsi="Times New Roman;serif"/>
          <w:b w:val="false"/>
          <w:color w:val="000000"/>
          <w:sz w:val="24"/>
        </w:rPr>
        <w:t>means the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Collateral</w:t>
      </w:r>
      <w:r>
        <w:rPr>
          <w:color w:val="000000"/>
        </w:rPr>
        <w:t xml:space="preserve">” </w:t>
      </w:r>
      <w:r>
        <w:rPr>
          <w:rFonts w:ascii="Times New Roman;serif" w:hAnsi="Times New Roman;serif"/>
          <w:b w:val="false"/>
          <w:color w:val="000000"/>
          <w:sz w:val="24"/>
        </w:rPr>
        <w:t>means any and all property owned, leased or operated by a Person covered by the Collateral Documents and any and all other property of any Loan Party, now existing or hereafter acquired, that may at any time be or become subject to a security interest or Lien in favor of Administrative Agent, on behalf of itself and the Secured Parties, to secure the Secured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Collateral Documents</w:t>
      </w:r>
      <w:r>
        <w:rPr>
          <w:color w:val="000000"/>
        </w:rPr>
        <w:t xml:space="preserve">” </w:t>
      </w:r>
      <w:r>
        <w:rPr>
          <w:rFonts w:ascii="Times New Roman;serif" w:hAnsi="Times New Roman;serif"/>
          <w:b w:val="false"/>
          <w:color w:val="000000"/>
          <w:sz w:val="24"/>
        </w:rPr>
        <w:t xml:space="preserve">means, collectively, the Security Agreement, each Trademark and Patent Security Agreement, each Copyright Security Agreement and all other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Borrower or any of its Subsidiaries and delivered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Commitment</w:t>
      </w:r>
      <w:r>
        <w:rPr>
          <w:color w:val="000000"/>
        </w:rPr>
        <w:t xml:space="preserve">” </w:t>
      </w:r>
      <w:r>
        <w:rPr>
          <w:rFonts w:ascii="Times New Roman;serif" w:hAnsi="Times New Roman;serif"/>
          <w:b w:val="false"/>
          <w:color w:val="000000"/>
          <w:sz w:val="24"/>
        </w:rPr>
        <w:t xml:space="preserve">means, with respect to each Lender, the amount of such Lender’s Revolving Commitment and Term Loan Commitment as set forth on Schedule 2.01 opposite such Lender’s name, or in the Assignment and Assumption or other documentation or record (as such term is defined in Section 9-102(a)(70) of the New York Uniform Commercial Code) as provided in Section 9.04(b)(ii)(C), pursuant to which such Lender shall have assumed its Commitment, as applicable, and giving effect to (a) any reduction in such amount from time to time pursuant to Section 2.09 and (b) any reduction or increase in such amount from time to time pursuant to assignments by or to such Lender pursuant to Section 9.04;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at no time shall the Revolving Credit Exposure of any Lender exceed its Commitment.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Commodity Exchange Act</w:t>
      </w:r>
      <w:r>
        <w:rPr>
          <w:color w:val="000000"/>
        </w:rPr>
        <w:t xml:space="preserve">” </w:t>
      </w:r>
      <w:r>
        <w:rPr>
          <w:rFonts w:ascii="Times New Roman;serif" w:hAnsi="Times New Roman;serif"/>
          <w:b w:val="false"/>
          <w:color w:val="000000"/>
          <w:sz w:val="24"/>
        </w:rPr>
        <w:t xml:space="preserve">means the Commodity Exchange Act (7 U.S.C. § 1 et seq.), as amended from time to time, and any successor statute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Communications</w:t>
      </w:r>
      <w:r>
        <w:rPr>
          <w:color w:val="000000"/>
        </w:rPr>
        <w:t xml:space="preserve">” </w:t>
      </w:r>
      <w:r>
        <w:rPr>
          <w:rFonts w:ascii="Times New Roman;serif" w:hAnsi="Times New Roman;serif"/>
          <w:b w:val="false"/>
          <w:color w:val="000000"/>
          <w:sz w:val="24"/>
        </w:rPr>
        <w:t>has the meaning assigned to it in Section 8.03(c).</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Compliance Certificate</w:t>
      </w:r>
      <w:r>
        <w:rPr>
          <w:color w:val="000000"/>
        </w:rPr>
        <w:t xml:space="preserve">” </w:t>
      </w:r>
      <w:r>
        <w:rPr>
          <w:rFonts w:ascii="Times New Roman;serif" w:hAnsi="Times New Roman;serif"/>
          <w:b w:val="false"/>
          <w:color w:val="000000"/>
          <w:sz w:val="24"/>
        </w:rPr>
        <w:t xml:space="preserve">means a certificate substantially in the form of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attached hereto and made a part 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Consolidated</w:t>
      </w:r>
      <w:r>
        <w:rPr>
          <w:color w:val="000000"/>
        </w:rPr>
        <w:t xml:space="preserve">” </w:t>
      </w:r>
      <w:r>
        <w:rPr>
          <w:rFonts w:ascii="Times New Roman;serif" w:hAnsi="Times New Roman;serif"/>
          <w:b w:val="false"/>
          <w:color w:val="000000"/>
          <w:sz w:val="24"/>
        </w:rPr>
        <w:t>means, when used with reference to financial statements or financial statement items of the Borrower and its Subsidiaries or any other Person, such statements or items on a consolidated basis in accordance with the consolidation principles of GAAP.</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Consolidated Net Income</w:t>
      </w:r>
      <w:r>
        <w:rPr>
          <w:color w:val="000000"/>
        </w:rPr>
        <w:t xml:space="preserve">” </w:t>
      </w:r>
      <w:r>
        <w:rPr>
          <w:rFonts w:ascii="Times New Roman;serif" w:hAnsi="Times New Roman;serif"/>
          <w:b w:val="false"/>
          <w:color w:val="000000"/>
          <w:sz w:val="24"/>
        </w:rPr>
        <w:t xml:space="preserve">means, with reference to any period, the net income (or loss) of the Borrower and its Subsidiaries calculated in accordance with GAAP on a consolidated basis (without duplication) for such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there shall be excluded any income (or loss) of any Person other than the Borrower or a Subsidiary, but any such income so excluded may be included in such period or any later period to the extent of any cash dividends or distributions actually paid in the relevant period to the Borrower or any Subsidiary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Consolidated Total Assets</w:t>
      </w:r>
      <w:r>
        <w:rPr>
          <w:color w:val="000000"/>
        </w:rPr>
        <w:t xml:space="preserve">” </w:t>
      </w:r>
      <w:r>
        <w:rPr>
          <w:rFonts w:ascii="Times New Roman;serif" w:hAnsi="Times New Roman;serif"/>
          <w:b w:val="false"/>
          <w:color w:val="000000"/>
          <w:sz w:val="24"/>
        </w:rPr>
        <w:t>means, as of the date of any determination thereof, total assets of the Borrower and its Subsidiaries calculated in accordance with GAAP on a consolidated basis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Contractual Obligation</w:t>
      </w:r>
      <w:r>
        <w:rPr>
          <w:color w:val="000000"/>
        </w:rPr>
        <w:t xml:space="preserve">” </w:t>
      </w:r>
      <w:r>
        <w:rPr>
          <w:rFonts w:ascii="Times New Roman;serif" w:hAnsi="Times New Roman;serif"/>
          <w:b w:val="false"/>
          <w:color w:val="000000"/>
          <w:sz w:val="24"/>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i/>
          <w:color w:val="000000"/>
          <w:sz w:val="24"/>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Controlled</w:t>
      </w:r>
      <w:r>
        <w:rPr>
          <w:color w:val="000000"/>
        </w:rPr>
        <w:t xml:space="preserve">” </w:t>
      </w:r>
      <w:r>
        <w:rPr>
          <w:rFonts w:ascii="Times New Roman;serif" w:hAnsi="Times New Roman;serif"/>
          <w:b w:val="false"/>
          <w:color w:val="000000"/>
          <w:sz w:val="24"/>
        </w:rPr>
        <w:t xml:space="preserve">have meanings correlative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Copyright Security Agreement</w:t>
      </w:r>
      <w:r>
        <w:rPr>
          <w:color w:val="000000"/>
        </w:rPr>
        <w:t xml:space="preserve">” </w:t>
      </w:r>
      <w:r>
        <w:rPr>
          <w:rFonts w:ascii="Times New Roman;serif" w:hAnsi="Times New Roman;serif"/>
          <w:b w:val="false"/>
          <w:color w:val="000000"/>
          <w:sz w:val="24"/>
        </w:rPr>
        <w:t>means any copyright security agreement entered into after the date of this Agreement by any Loan Party (as required by this Agreement or any other Loan Document) or any other Person and the Administrative Agent, for the benefit of the Administrative Agent and the other Secured Parties, in form and substance reasonably acceptable to the Administrative Agent, as the same may be amended, restated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Corresponding Tenor</w:t>
      </w:r>
      <w:r>
        <w:rPr>
          <w:color w:val="000000"/>
        </w:rPr>
        <w:t xml:space="preserve">” </w:t>
      </w:r>
      <w:r>
        <w:rPr>
          <w:rFonts w:ascii="Times New Roman;serif" w:hAnsi="Times New Roman;serif"/>
          <w:b w:val="false"/>
          <w:color w:val="000000"/>
          <w:sz w:val="24"/>
        </w:rPr>
        <w:t>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Covered Entity</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 “covered entity” as that term is defined in, and interpreted in accordance with, 12 C.F.R. § 252.82(b);</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(ii)a “covered bank” as that term is defined in, and interpreted in accordance with, 12 C.F.R. § 47.3(b); or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Covered Party</w:t>
      </w:r>
      <w:r>
        <w:rPr>
          <w:color w:val="000000"/>
        </w:rPr>
        <w:t xml:space="preserve">” </w:t>
      </w:r>
      <w:r>
        <w:rPr>
          <w:rFonts w:ascii="Times New Roman;serif" w:hAnsi="Times New Roman;serif"/>
          <w:b w:val="false"/>
          <w:color w:val="000000"/>
          <w:sz w:val="24"/>
        </w:rPr>
        <w:t>has the meaning assigned to it in Section 9.18.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Credit Event</w:t>
      </w:r>
      <w:r>
        <w:rPr>
          <w:color w:val="000000"/>
        </w:rPr>
        <w:t xml:space="preserve">” </w:t>
      </w:r>
      <w:r>
        <w:rPr>
          <w:rFonts w:ascii="Times New Roman;serif" w:hAnsi="Times New Roman;serif"/>
          <w:b w:val="false"/>
          <w:color w:val="000000"/>
          <w:sz w:val="24"/>
        </w:rPr>
        <w:t>means a Borrowing, the issuance, amendment, renewal or extension of a Letter of Credit, an LC Disbursement or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Credit Exposure</w:t>
      </w:r>
      <w:r>
        <w:rPr>
          <w:color w:val="000000"/>
        </w:rPr>
        <w:t xml:space="preserve">” </w:t>
      </w:r>
      <w:r>
        <w:rPr>
          <w:rFonts w:ascii="Times New Roman;serif" w:hAnsi="Times New Roman;serif"/>
          <w:b w:val="false"/>
          <w:color w:val="000000"/>
          <w:sz w:val="24"/>
        </w:rPr>
        <w:t>means, as to any Lender at any time, the sum of (a) such Lender’s Revolving Credit Exposure at such time, plus (b) an amount equal to the aggregate principal amount of its Term Loans outstanding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Credit Party</w:t>
      </w:r>
      <w:r>
        <w:rPr>
          <w:color w:val="000000"/>
        </w:rPr>
        <w:t xml:space="preserve">” </w:t>
      </w:r>
      <w:r>
        <w:rPr>
          <w:rFonts w:ascii="Times New Roman;serif" w:hAnsi="Times New Roman;serif"/>
          <w:b w:val="false"/>
          <w:color w:val="000000"/>
          <w:sz w:val="24"/>
        </w:rPr>
        <w:t>means the Administrative Agent, each Issuing Bank, the Swingline Lenders or any other Lender.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Daily Simple RFR</w:t>
      </w:r>
      <w:r>
        <w:rPr>
          <w:color w:val="000000"/>
        </w:rPr>
        <w:t xml:space="preserve">” </w:t>
      </w:r>
      <w:r>
        <w:rPr>
          <w:rFonts w:ascii="Times New Roman;serif" w:hAnsi="Times New Roman;serif"/>
          <w:b w:val="false"/>
          <w:color w:val="000000"/>
          <w:sz w:val="24"/>
        </w:rPr>
        <w:t>means, for any day (an “</w:t>
      </w:r>
      <w:r>
        <w:rPr>
          <w:rFonts w:ascii="Times New Roman;serif" w:hAnsi="Times New Roman;serif"/>
          <w:b/>
          <w:i/>
          <w:color w:val="000000"/>
          <w:sz w:val="24"/>
        </w:rPr>
        <w:t>RFR Interest Day</w:t>
      </w:r>
      <w:r>
        <w:rPr>
          <w:color w:val="000000"/>
        </w:rPr>
        <w:t>”</w:t>
      </w:r>
      <w:r>
        <w:rPr>
          <w:rFonts w:ascii="Times New Roman;serif" w:hAnsi="Times New Roman;serif"/>
          <w:b w:val="false"/>
          <w:color w:val="000000"/>
          <w:sz w:val="24"/>
        </w:rPr>
        <w:t xml:space="preserve">), an interest rate per annum equal to, for any RFR Loan denominated in Dollars, Daily Simple SOFR (following a Benchmark Transition Event and Benchmark Replacement Date with respect to the Term SOFR Rate).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i/>
          <w:color w:val="000000"/>
          <w:sz w:val="24"/>
        </w:rPr>
        <w:t>SOFR Rate Day</w:t>
      </w:r>
      <w:r>
        <w:rPr>
          <w:color w:val="000000"/>
        </w:rPr>
        <w:t>”</w:t>
      </w:r>
      <w:r>
        <w:rPr>
          <w:rFonts w:ascii="Times New Roman;serif" w:hAnsi="Times New Roman;serif"/>
          <w:b w:val="false"/>
          <w:color w:val="000000"/>
          <w:sz w:val="24"/>
        </w:rPr>
        <w:t>), a rate per annum equal to SOFR for the day (such day “</w:t>
      </w:r>
      <w:r>
        <w:rPr>
          <w:rFonts w:ascii="Times New Roman;serif" w:hAnsi="Times New Roman;serif"/>
          <w:b/>
          <w:i/>
          <w:color w:val="000000"/>
          <w:sz w:val="24"/>
        </w:rPr>
        <w:t>SOFR Determination Date</w:t>
      </w:r>
      <w:r>
        <w:rPr>
          <w:color w:val="000000"/>
        </w:rPr>
        <w:t>”</w:t>
      </w:r>
      <w:r>
        <w:rPr>
          <w:rFonts w:ascii="Times New Roman;serif" w:hAnsi="Times New Roman;serif"/>
          <w:b w:val="false"/>
          <w:color w:val="000000"/>
          <w:sz w:val="24"/>
        </w:rPr>
        <w:t>) that is five (5) RFR Business Days prior to (i) if such SOFR Rate Day is an RFR Business Day, such SOFR Rate Day or (ii) if such SOFR Rate Day is not an RFR Business Day, the RFR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Debtor Relief Laws</w:t>
      </w:r>
      <w:r>
        <w:rPr>
          <w:color w:val="000000"/>
        </w:rPr>
        <w:t xml:space="preserve">” </w:t>
      </w:r>
      <w:r>
        <w:rPr>
          <w:rFonts w:ascii="Times New Roman;serif" w:hAnsi="Times New Roman;serif"/>
          <w:b w:val="false"/>
          <w:color w:val="000000"/>
          <w:sz w:val="24"/>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Default</w:t>
      </w:r>
      <w:r>
        <w:rPr>
          <w:color w:val="000000"/>
        </w:rPr>
        <w:t xml:space="preserve">” </w:t>
      </w:r>
      <w:r>
        <w:rPr>
          <w:rFonts w:ascii="Times New Roman;serif" w:hAnsi="Times New Roman;serif"/>
          <w:b w:val="false"/>
          <w:color w:val="000000"/>
          <w:sz w:val="24"/>
        </w:rPr>
        <w:t>means any event or condition which constitutes an Event of Default or which upon notice, lapse of time or both would, unless cured or waived, become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Defaulting Lender</w:t>
      </w:r>
      <w:r>
        <w:rPr>
          <w:color w:val="000000"/>
        </w:rPr>
        <w:t xml:space="preserve">” </w:t>
      </w:r>
      <w:r>
        <w:rPr>
          <w:rFonts w:ascii="Times New Roman;serif" w:hAnsi="Times New Roman;serif"/>
          <w:b w:val="false"/>
          <w:color w:val="000000"/>
          <w:sz w:val="24"/>
        </w:rPr>
        <w:t xml:space="preserve">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Disposition</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Dispose</w:t>
      </w:r>
      <w:r>
        <w:rPr>
          <w:color w:val="000000"/>
        </w:rPr>
        <w:t xml:space="preserve">” </w:t>
      </w:r>
      <w:r>
        <w:rPr>
          <w:rFonts w:ascii="Times New Roman;serif" w:hAnsi="Times New Roman;serif"/>
          <w:b w:val="false"/>
          <w:color w:val="000000"/>
          <w:sz w:val="24"/>
        </w:rPr>
        <w:t xml:space="preserve">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transfer or other disposal, with or without recourse, of any notes or accounts receivable or any rights and claims associated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Dollar Equivalent</w:t>
      </w:r>
      <w:r>
        <w:rPr>
          <w:color w:val="000000"/>
        </w:rPr>
        <w:t xml:space="preserve">” </w:t>
      </w:r>
      <w:r>
        <w:rPr>
          <w:rFonts w:ascii="Times New Roman;serif" w:hAnsi="Times New Roman;serif"/>
          <w:b w:val="false"/>
          <w:color w:val="000000"/>
          <w:sz w:val="24"/>
        </w:rPr>
        <w:t>means, for any amount, at the time of determination thereof, (a) if such amount is expressed in Dollars, such amount, (b) if such amount is expressed in a Foreign Currency, the equivalent of such amount in Dollars determined by using the rate of exchange for the purchase of Dollars with the Foreign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Foreign Currency,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Dollars</w:t>
      </w:r>
      <w:r>
        <w:rPr>
          <w:color w:val="000000"/>
        </w:rPr>
        <w:t>”</w:t>
      </w:r>
      <w:r>
        <w:rPr>
          <w:rFonts w:ascii="Times New Roman;serif" w:hAnsi="Times New Roman;serif"/>
          <w:b w:val="false"/>
          <w:color w:val="000000"/>
          <w:sz w:val="24"/>
        </w:rPr>
        <w:t>, “</w:t>
      </w:r>
      <w:r>
        <w:rPr>
          <w:rFonts w:ascii="Times New Roman;serif" w:hAnsi="Times New Roman;serif"/>
          <w:b/>
          <w:i/>
          <w:color w:val="000000"/>
          <w:sz w:val="24"/>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refers to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Domestic Subsidiary</w:t>
      </w:r>
      <w:r>
        <w:rPr>
          <w:color w:val="000000"/>
        </w:rPr>
        <w:t xml:space="preserve">” </w:t>
      </w:r>
      <w:r>
        <w:rPr>
          <w:rFonts w:ascii="Times New Roman;serif" w:hAnsi="Times New Roman;serif"/>
          <w:b w:val="false"/>
          <w:color w:val="000000"/>
          <w:sz w:val="24"/>
        </w:rPr>
        <w:t>means a Subsidiary organized under the laws of a jurisdiction located in the United States of America.</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EBITDA</w:t>
      </w:r>
      <w:r>
        <w:rPr>
          <w:color w:val="000000"/>
        </w:rPr>
        <w:t xml:space="preserve">” </w:t>
      </w:r>
      <w:r>
        <w:rPr>
          <w:rFonts w:ascii="Times New Roman;serif" w:hAnsi="Times New Roman;serif"/>
          <w:b w:val="false"/>
          <w:color w:val="000000"/>
          <w:sz w:val="24"/>
        </w:rPr>
        <w:t xml:space="preserve">means, with reference to any period, (a) Consolidated Net Income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income (or plus loss) from discontinued operations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(c) unusual and non-recurring gains (or plus unusual and non-recurring losses),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(d) income tax expenses,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(e) interest expense,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(f) depreciation, depletion, and amortization (including non-cash loss on retirement of assets),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(g) stock compensation expense,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(h) </w:t>
      </w:r>
      <w:r>
        <w:rPr>
          <w:rFonts w:ascii="Times New Roman;serif" w:hAnsi="Times New Roman;serif"/>
          <w:b/>
          <w:color w:val="000000"/>
          <w:sz w:val="24"/>
          <w:u w:val="single"/>
        </w:rPr>
        <w:t>[</w:t>
      </w:r>
      <w:r>
        <w:rPr>
          <w:rFonts w:ascii="Times New Roman;serif" w:hAnsi="Times New Roman;serif"/>
          <w:b w:val="false"/>
          <w:color w:val="000000"/>
          <w:sz w:val="24"/>
        </w:rPr>
        <w:t>reserved</w:t>
      </w:r>
      <w:r>
        <w:rPr>
          <w:rFonts w:ascii="Times New Roman;serif" w:hAnsi="Times New Roman;serif"/>
          <w:b/>
          <w:color w:val="000000"/>
          <w:sz w:val="24"/>
          <w:u w:val="single"/>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(i) Add Back Amounts, if applicable, in an amount not to exceed $40,000,000,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(j) amounts expended by the Borrower in connection with the closing of the credit facilities described in this Agreement, and adjusted for certain historical expenses, accounting adjustments, and other non-cash charges,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(k) non-cash expenses which do not (in the current or any future period) represent a cash item (excluding any non-cash gains which increase net income),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(l) non-recurring cash charges in an aggregate amount not to exceed (A) $15,000,000 for any period of four consecutive fiscal quarters ending December 31, 2023 through and including December 31, 2024 and (B) $10,000,000 for any other period of four consecutive fiscal quarters immediately preceding any date of determination other than as specified in the immediately preceding subclause (A), in each case in respect of the following: (i) severance payments; (ii) general asset write-offs recorded during said period; (iii) lease termination payments; (iv) litigation settlement payments; and (v) multi-employer pension plan withdrawal liabilities; provided that (x) that each of the foregoing subtractions shall be made without duplication and to the extent included in Consolidated Net Income and (y) each of the foregoing additions shall be made without duplication and to the extent deducted from revenues in determining Consolidated Net Income.</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ECP</w:t>
      </w:r>
      <w:r>
        <w:rPr>
          <w:color w:val="000000"/>
        </w:rPr>
        <w:t xml:space="preserve">” </w:t>
      </w:r>
      <w:r>
        <w:rPr>
          <w:rFonts w:ascii="Times New Roman;serif" w:hAnsi="Times New Roman;serif"/>
          <w:b w:val="false"/>
          <w:color w:val="000000"/>
          <w:sz w:val="24"/>
        </w:rPr>
        <w:t xml:space="preserve">means an “eligible contract participant” as defined in Section 1(a)(18) of the Commodity Exchange Act or any regulations promulgated thereunder and the applicable rules issued by the Commodity Futures Trading Commission and/or the SEC.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EDGAR</w:t>
      </w:r>
      <w:r>
        <w:rPr>
          <w:color w:val="000000"/>
        </w:rPr>
        <w:t xml:space="preserve">” </w:t>
      </w:r>
      <w:r>
        <w:rPr>
          <w:rFonts w:ascii="Times New Roman;serif" w:hAnsi="Times New Roman;serif"/>
          <w:b w:val="false"/>
          <w:color w:val="000000"/>
          <w:sz w:val="24"/>
        </w:rPr>
        <w:t>has the meaning assigned to such term in Section 5.01.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EEA Financial Institution</w:t>
      </w:r>
      <w:r>
        <w:rPr>
          <w:color w:val="000000"/>
        </w:rPr>
        <w:t xml:space="preserve">” </w:t>
      </w:r>
      <w:r>
        <w:rPr>
          <w:rFonts w:ascii="Times New Roman;serif" w:hAnsi="Times New Roman;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Effective Date</w:t>
      </w:r>
      <w:r>
        <w:rPr>
          <w:color w:val="000000"/>
        </w:rPr>
        <w:t xml:space="preserve">” </w:t>
      </w:r>
      <w:r>
        <w:rPr>
          <w:rFonts w:ascii="Times New Roman;serif" w:hAnsi="Times New Roman;serif"/>
          <w:b w:val="false"/>
          <w:color w:val="000000"/>
          <w:sz w:val="24"/>
        </w:rPr>
        <w:t>means the date on which the conditions specified in Section 4.01 are satisfied (or waived in accordance with Section 9.02).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Electronic Signature</w:t>
      </w:r>
      <w:r>
        <w:rPr>
          <w:color w:val="000000"/>
        </w:rPr>
        <w:t xml:space="preserve">” </w:t>
      </w:r>
      <w:r>
        <w:rPr>
          <w:rFonts w:ascii="Times New Roman;serif" w:hAnsi="Times New Roman;serif"/>
          <w:b w:val="false"/>
          <w:color w:val="000000"/>
          <w:sz w:val="24"/>
        </w:rPr>
        <w:t>means an electronic sound, symbol, or process attached to, or associated with, a contract or other record and adopted by a Person with the intent to sign, authenticate or accept such contract or record.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Environmental Laws</w:t>
      </w:r>
      <w:r>
        <w:rPr>
          <w:color w:val="000000"/>
        </w:rPr>
        <w:t xml:space="preserve">” </w:t>
      </w:r>
      <w:r>
        <w:rPr>
          <w:rFonts w:ascii="Times New Roman;serif" w:hAnsi="Times New Roman;serif"/>
          <w:b w:val="false"/>
          <w:color w:val="000000"/>
          <w:sz w:val="24"/>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Environmental Liability</w:t>
      </w:r>
      <w:r>
        <w:rPr>
          <w:color w:val="000000"/>
        </w:rPr>
        <w:t xml:space="preserve">” </w:t>
      </w:r>
      <w:r>
        <w:rPr>
          <w:rFonts w:ascii="Times New Roman;serif" w:hAnsi="Times New Roman;serif"/>
          <w:b w:val="false"/>
          <w:color w:val="000000"/>
          <w:sz w:val="24"/>
        </w:rPr>
        <w:t>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Equity Interests</w:t>
      </w:r>
      <w:r>
        <w:rPr>
          <w:color w:val="000000"/>
        </w:rPr>
        <w:t xml:space="preserve">” </w:t>
      </w:r>
      <w:r>
        <w:rPr>
          <w:rFonts w:ascii="Times New Roman;serif" w:hAnsi="Times New Roman;serif"/>
          <w:b w:val="false"/>
          <w:color w:val="000000"/>
          <w:sz w:val="24"/>
        </w:rPr>
        <w:t xml:space="preserve">means, with respect to any Person, all of the shares of capital stock of (or other ownership or profit interests in) such Person, all of the warrants, options or other rights for the purchase or acquisition from such Person of shares of capital stock of (or other ownership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Equivalent Amount</w:t>
      </w:r>
      <w:r>
        <w:rPr>
          <w:color w:val="000000"/>
        </w:rPr>
        <w:t xml:space="preserve">” </w:t>
      </w:r>
      <w:r>
        <w:rPr>
          <w:rFonts w:ascii="Times New Roman;serif" w:hAnsi="Times New Roman;serif"/>
          <w:b w:val="false"/>
          <w:color w:val="000000"/>
          <w:sz w:val="24"/>
        </w:rPr>
        <w:t>means, for any amount of any Foreign Currency, at the time of determination thereof, (a) if such amount is expressed in such Foreign Currency, such amount and (b) if such amount is expressed in Dollars, the equivalent of such amount in such Foreign Currency determined by using the rate of exchange for the purchase of such Foreign Currency with Dollars last provided (either by publication or otherwise provided to the Administrative Agent) by the applicable Reuters source on the Business Day (New York City time) immediately preceding the date of determination or if such service ceases to be available or ceases to provide a rate of exchange for the purchase of such Foreign Currency with Dollars, as provided by such other publicly available information service which provides that rate of exchange at such time in place of Reuters chosen by the Administrative Agent in its sole discretion (or if such service ceases to be available or ceases to provide such rate of exchange, the equivalent of such amount in Dollars as determined by the Administrative Agent using any method of determination it deems appropriate in its sole discretion).</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amended or modified from time to time, and the rules and regulations promulgated thereunder.</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ERISA Affiliate</w:t>
      </w:r>
      <w:r>
        <w:rPr>
          <w:color w:val="000000"/>
        </w:rPr>
        <w:t xml:space="preserve">” </w:t>
      </w:r>
      <w:r>
        <w:rPr>
          <w:rFonts w:ascii="Times New Roman;serif" w:hAnsi="Times New Roman;serif"/>
          <w:b w:val="false"/>
          <w:color w:val="000000"/>
          <w:sz w:val="24"/>
        </w:rPr>
        <w:t>means any trade or business (whether or not incorporated) under common control with the Borrower within the meaning of Section 4001 of ERISA or Section 414(b) or (c) of the Code (and Sections 414(m) and (o) of the Code for purposes of provisions relating to Section 412 of the Code).</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ERISA Event</w:t>
      </w:r>
      <w:r>
        <w:rPr>
          <w:color w:val="000000"/>
        </w:rPr>
        <w:t xml:space="preserve">” </w:t>
      </w:r>
      <w:r>
        <w:rPr>
          <w:rFonts w:ascii="Times New Roman;serif" w:hAnsi="Times New Roman;serif"/>
          <w:b w:val="false"/>
          <w:color w:val="000000"/>
          <w:sz w:val="24"/>
        </w:rPr>
        <w:t>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Borrower or any ERISA Affiliate from a Multiemployer Plan; (d) the filing of a notice of intent to terminate, or the treatment of an amendment as a termination under Section 4041 or 4041A of ERISA of, a Pension Plan;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EURIBOR Rate</w:t>
      </w:r>
      <w:r>
        <w:rPr>
          <w:color w:val="000000"/>
        </w:rPr>
        <w:t xml:space="preserve">” </w:t>
      </w:r>
      <w:r>
        <w:rPr>
          <w:rFonts w:ascii="Times New Roman;serif" w:hAnsi="Times New Roman;serif"/>
          <w:b w:val="false"/>
          <w:color w:val="000000"/>
          <w:sz w:val="24"/>
        </w:rPr>
        <w:t>means, with respect to any Term Benchmark Borrowing denominated in Euros and for any Interest Period, the EURIBOR Screen Rate two (2) TARGET Days prior to the commencement of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EURIBOR Screen Rate</w:t>
      </w:r>
      <w:r>
        <w:rPr>
          <w:color w:val="000000"/>
        </w:rPr>
        <w:t xml:space="preserve">” </w:t>
      </w:r>
      <w:r>
        <w:rPr>
          <w:rFonts w:ascii="Times New Roman;serif" w:hAnsi="Times New Roman;serif"/>
          <w:b w:val="false"/>
          <w:color w:val="000000"/>
          <w:sz w:val="24"/>
        </w:rPr>
        <w:t>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(2) TARGET Days prior to the commencement of such Interest Period. If such page or service ceases to be available, the Administrative Agent may specify another page or service displaying the relevant rate after consultation with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Euro</w:t>
      </w:r>
      <w:r>
        <w:rPr>
          <w:color w:val="000000"/>
        </w:rPr>
        <w:t xml:space="preserve">” </w:t>
      </w:r>
      <w:r>
        <w:rPr>
          <w:rFonts w:ascii="Times New Roman;serif" w:hAnsi="Times New Roman;serif"/>
          <w:b w:val="false"/>
          <w:color w:val="000000"/>
          <w:sz w:val="24"/>
        </w:rPr>
        <w:t>and/or “€” means the single currency of the Participating Member States.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Eurocurrency Payment Office</w:t>
      </w:r>
      <w:r>
        <w:rPr>
          <w:color w:val="000000"/>
        </w:rPr>
        <w:t xml:space="preserve">” </w:t>
      </w:r>
      <w:r>
        <w:rPr>
          <w:rFonts w:ascii="Times New Roman;serif" w:hAnsi="Times New Roman;serif"/>
          <w:b w:val="false"/>
          <w:color w:val="000000"/>
          <w:sz w:val="24"/>
        </w:rPr>
        <w:t>of the Administrative Agent means, for each Foreign Currency, the office, branch, affiliate or correspondent bank of the Administrative Agent for such currency as specified from time to time by the Administrative Agent to the Borrower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has the meaning assigned to such term in Section 7.01.</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Exchange Rate</w:t>
      </w:r>
      <w:r>
        <w:rPr>
          <w:color w:val="000000"/>
        </w:rPr>
        <w:t xml:space="preserve">” </w:t>
      </w:r>
      <w:r>
        <w:rPr>
          <w:rFonts w:ascii="Times New Roman;serif" w:hAnsi="Times New Roman;serif"/>
          <w:b w:val="false"/>
          <w:color w:val="000000"/>
          <w:sz w:val="24"/>
        </w:rPr>
        <w:t>means, for any Foreign Currency, the rate of exchange therefor as described in clause (b) of the definition of “Dollar Equivalent”.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Excluded Swap Obligation</w:t>
      </w:r>
      <w:r>
        <w:rPr>
          <w:color w:val="000000"/>
        </w:rPr>
        <w:t xml:space="preserve">” </w:t>
      </w:r>
      <w:r>
        <w:rPr>
          <w:rFonts w:ascii="Times New Roman;serif" w:hAnsi="Times New Roman;serif"/>
          <w:b w:val="false"/>
          <w:color w:val="000000"/>
          <w:sz w:val="24"/>
        </w:rPr>
        <w:t>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Excluded Taxes</w:t>
      </w:r>
      <w:r>
        <w:rPr>
          <w:color w:val="000000"/>
        </w:rPr>
        <w:t xml:space="preserve">” </w:t>
      </w:r>
      <w:r>
        <w:rPr>
          <w:rFonts w:ascii="Times New Roman;serif" w:hAnsi="Times New Roman;serif"/>
          <w:b w:val="false"/>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Section 2.17(f) and (d) any withholding Taxes imposed under FATCA.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Existing Credit Agreement</w:t>
      </w:r>
      <w:r>
        <w:rPr>
          <w:color w:val="000000"/>
        </w:rPr>
        <w:t xml:space="preserve">” </w:t>
      </w:r>
      <w:r>
        <w:rPr>
          <w:rFonts w:ascii="Times New Roman;serif" w:hAnsi="Times New Roman;serif"/>
          <w:b w:val="false"/>
          <w:color w:val="000000"/>
          <w:sz w:val="24"/>
        </w:rPr>
        <w:t>means that certain Fifth Amended and Restated Credit Agreement dated as of December 13, 2018 among the Borrower, the lenders party thereto and Bank of America, N.A., as administrative agent (as amended, restated, supplemented or otherwise modified prior to the Effective Date).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Existing Letter of Credit</w:t>
      </w:r>
      <w:r>
        <w:rPr>
          <w:color w:val="000000"/>
        </w:rPr>
        <w:t xml:space="preserve">” </w:t>
      </w:r>
      <w:r>
        <w:rPr>
          <w:rFonts w:ascii="Times New Roman;serif" w:hAnsi="Times New Roman;serif"/>
          <w:b w:val="false"/>
          <w:color w:val="000000"/>
          <w:sz w:val="24"/>
        </w:rPr>
        <w:t>means each letter of credit issued prior to the Effective Date by a Person that shall be an Issuing Bank and listed on Schedule 2.06.</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Federal Funds Effective Rate</w:t>
      </w:r>
      <w:r>
        <w:rPr>
          <w:color w:val="000000"/>
        </w:rPr>
        <w:t xml:space="preserve">” </w:t>
      </w:r>
      <w:r>
        <w:rPr>
          <w:rFonts w:ascii="Times New Roman;serif" w:hAnsi="Times New Roman;serif"/>
          <w:b w:val="false"/>
          <w:color w:val="000000"/>
          <w:sz w:val="24"/>
        </w:rPr>
        <w:t xml:space="preserve">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Federal Funds Effective Rate as so determined would be less than 0%, such rate shall be deemed to be 0% for the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Federal Reserve Board</w:t>
      </w:r>
      <w:r>
        <w:rPr>
          <w:color w:val="000000"/>
        </w:rPr>
        <w:t xml:space="preserve">” </w:t>
      </w:r>
      <w:r>
        <w:rPr>
          <w:rFonts w:ascii="Times New Roman;serif" w:hAnsi="Times New Roman;serif"/>
          <w:b w:val="false"/>
          <w:color w:val="000000"/>
          <w:sz w:val="24"/>
        </w:rPr>
        <w:t>means the Board of Governors of the Federal Reserve System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Financial Officer</w:t>
      </w:r>
      <w:r>
        <w:rPr>
          <w:color w:val="000000"/>
        </w:rPr>
        <w:t xml:space="preserve">” </w:t>
      </w:r>
      <w:r>
        <w:rPr>
          <w:rFonts w:ascii="Times New Roman;serif" w:hAnsi="Times New Roman;serif"/>
          <w:b w:val="false"/>
          <w:color w:val="000000"/>
          <w:sz w:val="24"/>
        </w:rPr>
        <w:t>means the chief financial officer, principal accounting officer, treasurer or controller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Financials</w:t>
      </w:r>
      <w:r>
        <w:rPr>
          <w:color w:val="000000"/>
        </w:rPr>
        <w:t xml:space="preserve">” </w:t>
      </w:r>
      <w:r>
        <w:rPr>
          <w:rFonts w:ascii="Times New Roman;serif" w:hAnsi="Times New Roman;serif"/>
          <w:b w:val="false"/>
          <w:color w:val="000000"/>
          <w:sz w:val="24"/>
        </w:rPr>
        <w:t xml:space="preserve">means the annual or quarterly financial statements, and accompanying certificates and other documents, of the Borrower and its Subsidiaries required to be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Section 5.01(a) or 5.01(b) (or, if prior to the date of the delivery of the first financial statements to be delivered pursuant to Section 5.01(a) or (b), the most recent financial statements referred to in Section 3.05(a) or (b)).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First Tier Foreign Subsidiary</w:t>
      </w:r>
      <w:r>
        <w:rPr>
          <w:color w:val="000000"/>
        </w:rPr>
        <w:t xml:space="preserve">” </w:t>
      </w:r>
      <w:r>
        <w:rPr>
          <w:rFonts w:ascii="Times New Roman;serif" w:hAnsi="Times New Roman;serif"/>
          <w:b w:val="false"/>
          <w:color w:val="000000"/>
          <w:sz w:val="24"/>
        </w:rPr>
        <w:t>means each Foreign Subsidiary with respect to which any one or more of the Borrower and its Domestic Subsidiaries directly owns or Controls more than 50% of such Foreign Subsidiary’s issued and outstanding Equity Interests.</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Fixed Charge Coverage Ratio</w:t>
      </w:r>
      <w:r>
        <w:rPr>
          <w:color w:val="000000"/>
        </w:rPr>
        <w:t xml:space="preserve">” </w:t>
      </w:r>
      <w:r>
        <w:rPr>
          <w:rFonts w:ascii="Times New Roman;serif" w:hAnsi="Times New Roman;serif"/>
          <w:b w:val="false"/>
          <w:color w:val="000000"/>
          <w:sz w:val="24"/>
        </w:rPr>
        <w:t xml:space="preserve">means the ratio, as of any date of determination thereof, of (a) (i) EBITDA for the twelve (12) month period immediately preceding said date of determination, taken together as one accounting period,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(ii) the aggregate amount of all Capital Expenditures made during said test period,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(iii) taxes paid in cash during said test period, and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(iv) Restricted Payments paid in cash during said test period, </w:t>
      </w:r>
      <w:r>
        <w:rPr>
          <w:rFonts w:ascii="Times New Roman;serif" w:hAnsi="Times New Roman;serif"/>
          <w:b w:val="false"/>
          <w:i/>
          <w:color w:val="000000"/>
          <w:sz w:val="24"/>
        </w:rPr>
        <w:t>-to-</w:t>
      </w:r>
      <w:r>
        <w:rPr>
          <w:color w:val="000000"/>
        </w:rPr>
        <w:t xml:space="preserve"> </w:t>
      </w:r>
      <w:r>
        <w:rPr>
          <w:rFonts w:ascii="Times New Roman;serif" w:hAnsi="Times New Roman;serif"/>
          <w:b w:val="false"/>
          <w:color w:val="000000"/>
          <w:sz w:val="24"/>
        </w:rPr>
        <w:t>(b) the sum of (i) all interest, premium payments, debt discount, fees, charges and related expenses of the Borrower and its Subsidiaries in connection with borrowed money (including capitalized interest) or in connection with the deferred purchase price of assets, in each case, to the extent treated as interest in accordance with GAAP and to the extent paid in cash during said test period, (ii) the aggregate principal amount of all redemptions or similar acquisitions for value of outstanding debt for borrowed money or regularly scheduled principal payments made during said test period, but excluding any such payments to the extent refinanced through the incurrence of additional Indebtedness otherwise expressly permitted under Section 6.03, and (iii) subject to and in accordance with Section 1.04(b), payments made during said test period under all leases that have been or should be, in accordance with GAAP, recorded as capitalized leases.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Floor</w:t>
      </w:r>
      <w:r>
        <w:rPr>
          <w:color w:val="000000"/>
        </w:rPr>
        <w:t xml:space="preserve">” </w:t>
      </w:r>
      <w:r>
        <w:rPr>
          <w:rFonts w:ascii="Times New Roman;serif" w:hAnsi="Times New Roman;serif"/>
          <w:b w:val="false"/>
          <w:color w:val="000000"/>
          <w:sz w:val="24"/>
        </w:rPr>
        <w:t>means the benchmark rate floor, if any, provided in this Agreement initially (as of the execution of this Agreement, the modification, amendment or renewal of this Agreement or otherwise) with respect to the Adjusted Term SOFR Rate, CDOR Rate, Adjusted EURIBOR Rate, Adjusted TIBOR Rate, each Adjusted Daily Simple RFR or the Central Bank/Prime Rate as applicable. For the avoidance of doubt the initial Floor for each of Adjusted Term SOFR Rate, CDOR Rate, Adjusted EURIBOR Rate, Adjusted TIBOR Rate, each Adjusted Daily Simple RFR, or the Central Bank/Prime Rate shall be 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Currency</w:t>
      </w:r>
      <w:r>
        <w:rPr>
          <w:color w:val="000000"/>
        </w:rPr>
        <w:t xml:space="preserve">” </w:t>
      </w:r>
      <w:r>
        <w:rPr>
          <w:rFonts w:ascii="Times New Roman;serif" w:hAnsi="Times New Roman;serif"/>
          <w:b w:val="false"/>
          <w:color w:val="000000"/>
          <w:sz w:val="24"/>
        </w:rPr>
        <w:t xml:space="preserve">means Euros, Canadian Dollars, Yen and any additional currencies determined after the Effective Date by mutual agreement of the Borrower, Lenders, Issuing Bank and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each such currency is a lawful currency that is readily available, freely transferable and not restricted and able to be converted into Dollars.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Currency LC Exposure</w:t>
      </w:r>
      <w:r>
        <w:rPr>
          <w:color w:val="000000"/>
        </w:rPr>
        <w:t xml:space="preserve">” </w:t>
      </w:r>
      <w:r>
        <w:rPr>
          <w:rFonts w:ascii="Times New Roman;serif" w:hAnsi="Times New Roman;serif"/>
          <w:b w:val="false"/>
          <w:color w:val="000000"/>
          <w:sz w:val="24"/>
        </w:rPr>
        <w:t>means, at any time, the sum of (a) the Dollar Equivalent of the aggregate undrawn and unexpired amount of all outstanding Foreign Currency Letters of Credit at such time plus (b) the aggregate principal Dollar Equivalent of all LC Disbursements in respect of Foreign Currency Letters of Credit that have not yet been reimbursed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Currency Letter of Credit</w:t>
      </w:r>
      <w:r>
        <w:rPr>
          <w:color w:val="000000"/>
        </w:rPr>
        <w:t xml:space="preserve">” </w:t>
      </w:r>
      <w:r>
        <w:rPr>
          <w:rFonts w:ascii="Times New Roman;serif" w:hAnsi="Times New Roman;serif"/>
          <w:b w:val="false"/>
          <w:color w:val="000000"/>
          <w:sz w:val="24"/>
        </w:rPr>
        <w:t>means a Letter of Credit denominated in a Foreign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Currency Sublimit</w:t>
      </w:r>
      <w:r>
        <w:rPr>
          <w:color w:val="000000"/>
        </w:rPr>
        <w:t xml:space="preserve">” </w:t>
      </w:r>
      <w:r>
        <w:rPr>
          <w:rFonts w:ascii="Times New Roman;serif" w:hAnsi="Times New Roman;serif"/>
          <w:b w:val="false"/>
          <w:color w:val="000000"/>
          <w:sz w:val="24"/>
        </w:rPr>
        <w:t>means an amount equal to the lesser of (a) $100,000,000 and (b) the total amount of the Revolving Commitments. The Foreign Currency Sublimit is part of, and not in addition to, the Revolving Commitments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Lender</w:t>
      </w:r>
      <w:r>
        <w:rPr>
          <w:color w:val="000000"/>
        </w:rPr>
        <w:t xml:space="preserve">” </w:t>
      </w:r>
      <w:r>
        <w:rPr>
          <w:rFonts w:ascii="Times New Roman;serif" w:hAnsi="Times New Roman;serif"/>
          <w:b w:val="false"/>
          <w:color w:val="000000"/>
          <w:sz w:val="24"/>
        </w:rPr>
        <w:t>means a Lender that is not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Foreign Subsidiary</w:t>
      </w:r>
      <w:r>
        <w:rPr>
          <w:color w:val="000000"/>
        </w:rPr>
        <w:t xml:space="preserve">” </w:t>
      </w:r>
      <w:r>
        <w:rPr>
          <w:rFonts w:ascii="Times New Roman;serif" w:hAnsi="Times New Roman;serif"/>
          <w:b w:val="false"/>
          <w:color w:val="000000"/>
          <w:sz w:val="24"/>
        </w:rPr>
        <w:t>means any Subsidiary which is not a Domestic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GAAP</w:t>
      </w:r>
      <w:r>
        <w:rPr>
          <w:color w:val="000000"/>
        </w:rPr>
        <w:t xml:space="preserve">” </w:t>
      </w:r>
      <w:r>
        <w:rPr>
          <w:rFonts w:ascii="Times New Roman;serif" w:hAnsi="Times New Roman;serif"/>
          <w:b w:val="false"/>
          <w:color w:val="000000"/>
          <w:sz w:val="24"/>
        </w:rPr>
        <w:t>means generally accepted accounting principles in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Governmental Authority</w:t>
      </w:r>
      <w:r>
        <w:rPr>
          <w:color w:val="000000"/>
        </w:rPr>
        <w:t xml:space="preserve">” </w:t>
      </w:r>
      <w:r>
        <w:rPr>
          <w:rFonts w:ascii="Times New Roman;serif" w:hAnsi="Times New Roman;serif"/>
          <w:b w:val="false"/>
          <w:color w:val="000000"/>
          <w:sz w:val="24"/>
        </w:rPr>
        <w:t>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Guarantee</w:t>
      </w:r>
      <w:r>
        <w:rPr>
          <w:color w:val="000000"/>
        </w:rPr>
        <w:t xml:space="preserve">” </w:t>
      </w:r>
      <w:r>
        <w:rPr>
          <w:rFonts w:ascii="Times New Roman;serif" w:hAnsi="Times New Roman;serif"/>
          <w:b w:val="false"/>
          <w:color w:val="000000"/>
          <w:sz w:val="24"/>
        </w:rPr>
        <w:t>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serif" w:hAnsi="Times New Roman;serif"/>
          <w:b/>
          <w:i/>
          <w:color w:val="000000"/>
          <w:sz w:val="24"/>
        </w:rPr>
        <w:t>Guarantee</w:t>
      </w:r>
      <w:r>
        <w:rPr>
          <w:color w:val="000000"/>
        </w:rPr>
        <w:t xml:space="preserve">” </w:t>
      </w:r>
      <w:r>
        <w:rPr>
          <w:rFonts w:ascii="Times New Roman;serif" w:hAnsi="Times New Roman;serif"/>
          <w:b w:val="false"/>
          <w:color w:val="000000"/>
          <w:sz w:val="24"/>
        </w:rPr>
        <w:t>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Hazardous Materials</w:t>
      </w:r>
      <w:r>
        <w:rPr>
          <w:color w:val="000000"/>
        </w:rPr>
        <w:t xml:space="preserve">” </w:t>
      </w:r>
      <w:r>
        <w:rPr>
          <w:rFonts w:ascii="Times New Roman;serif" w:hAnsi="Times New Roman;serif"/>
          <w:b w:val="false"/>
          <w:color w:val="000000"/>
          <w:sz w:val="24"/>
        </w:rPr>
        <w:t>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Increasing Lender</w:t>
      </w:r>
      <w:r>
        <w:rPr>
          <w:color w:val="000000"/>
        </w:rPr>
        <w:t xml:space="preserve">” </w:t>
      </w:r>
      <w:r>
        <w:rPr>
          <w:rFonts w:ascii="Times New Roman;serif" w:hAnsi="Times New Roman;serif"/>
          <w:b w:val="false"/>
          <w:color w:val="000000"/>
          <w:sz w:val="24"/>
        </w:rPr>
        <w:t>has the meaning assigned to such term in Section 2.22.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Incremental Term Loan</w:t>
      </w:r>
      <w:r>
        <w:rPr>
          <w:color w:val="000000"/>
        </w:rPr>
        <w:t xml:space="preserve">” </w:t>
      </w:r>
      <w:r>
        <w:rPr>
          <w:rFonts w:ascii="Times New Roman;serif" w:hAnsi="Times New Roman;serif"/>
          <w:b w:val="false"/>
          <w:color w:val="000000"/>
          <w:sz w:val="24"/>
        </w:rPr>
        <w:t>has the meaning assigned to such term in Section 2.22.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Incremental Term Loan Amendment</w:t>
      </w:r>
      <w:r>
        <w:rPr>
          <w:color w:val="000000"/>
        </w:rPr>
        <w:t xml:space="preserve">” </w:t>
      </w:r>
      <w:r>
        <w:rPr>
          <w:rFonts w:ascii="Times New Roman;serif" w:hAnsi="Times New Roman;serif"/>
          <w:b w:val="false"/>
          <w:color w:val="000000"/>
          <w:sz w:val="24"/>
        </w:rPr>
        <w:t xml:space="preserve">has the meaning assigned to such term in Section 2.22. </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Indebtedness</w:t>
      </w:r>
      <w:r>
        <w:rPr>
          <w:color w:val="000000"/>
        </w:rPr>
        <w:t xml:space="preserve">” </w:t>
      </w:r>
      <w:r>
        <w:rPr>
          <w:rFonts w:ascii="Times New Roman;serif" w:hAnsi="Times New Roman;serif"/>
          <w:b w:val="false"/>
          <w:color w:val="000000"/>
          <w:sz w:val="24"/>
        </w:rPr>
        <w:t>means, as to any Person at a particular time, without duplication, all of the following, whether or not included as indebtedness or liabilities in accordance with GAAP:</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obligations of such Person for borrowed money and all obligations of such Person evidenced by bonds, debentures, notes, loan agreements or other similar instruments;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the maximum amount of all direct or contingent obligations of such Person arising under letters of credit (including standby and commercial), bankers’ acceptances, bank guaranties, surety bonds and similar instruments;</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net obligations of such Person under any Swap Agreement;</w:t>
      </w:r>
    </w:p>
    <w:p>
      <w:pPr>
        <w:pStyle w:val="TextBody"/>
        <w:bidi w:val="0"/>
        <w:spacing w:lineRule="auto" w:line="276" w:before="0" w:after="240"/>
        <w:ind w:left="0" w:right="0" w:firstLine="720"/>
        <w:jc w:val="both"/>
        <w:rPr/>
      </w:pPr>
      <w:r>
        <w:rPr>
          <w:rFonts w:ascii="Times New Roman;serif" w:hAnsi="Times New Roman;serif"/>
          <w:b w:val="false"/>
          <w:color w:val="000000"/>
          <w:sz w:val="24"/>
        </w:rPr>
        <w:t>(d)    all obligations (including, without limitation, earnout obligations) of such Person to pay the deferred purchase price of property or services (other than trade accounts payable in the ordinary course of business and, in each case, not past due for more than ninety (90) days or such longer period as permitted in the ordinary course of business);</w:t>
      </w:r>
      <w:r>
        <w:rPr>
          <w:color w:val="191919"/>
          <w:u w:val="single"/>
        </w:rPr>
        <w:t xml:space="preserve"> </w:t>
      </w:r>
      <w:r>
        <w:rPr>
          <w:rFonts w:ascii="Times New Roman;serif" w:hAnsi="Times New Roman;serif"/>
          <w:b w:val="false"/>
          <w:color w:val="191919"/>
          <w:sz w:val="24"/>
        </w:rPr>
        <w:t>provided, however, such obligations shall not include contingent purchase price amounts required to be recorded pursuant to GAAP until such time, if at all, as the Borrower has determined that such purchase price amounts are no longer contingent</w:t>
      </w:r>
      <w:r>
        <w:rPr>
          <w:rFonts w:ascii="Times New Roman;serif" w:hAnsi="Times New Roman;serif"/>
          <w:b w:val="false"/>
          <w:color w:val="000000"/>
          <w:sz w:val="24"/>
        </w:rPr>
        <w:t>;</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(f)    capital leases and Synthetic Lease Obligations;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notwithstanding the adoption of FASB ASU No. 2016-02 (Leases) to the contrary, existing and future leases commonly referred to as “operating leases” shall not constitute Indebtedness for any purpose hereunder;</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    all obligations of such Person to purchase, redeem, retire, defease or otherwise make any payment in respect of any Equity Interest in such Person or any other Person or any warrant, right or option to acquire such Equity Interest, valued, in the case of a redeemable preferred interest, at the greater of its voluntary or involuntary liquidation preference plus accrued and unpaid dividends; </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    all Attributable Receivables Indebtedness of such Person;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all Guarantees of such Person in respect of any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76" w:before="0" w:after="240"/>
        <w:jc w:val="both"/>
        <w:rPr>
          <w:rFonts w:ascii="Times New Roman;serif" w:hAnsi="Times New Roman;serif"/>
          <w:b w:val="false"/>
          <w:color w:val="000000"/>
          <w:sz w:val="24"/>
        </w:rPr>
      </w:pPr>
      <w:r>
        <w:rPr>
          <w:rFonts w:ascii="Times New Roman;serif" w:hAnsi="Times New Roman;serif"/>
          <w:b w:val="false"/>
          <w:color w:val="000000"/>
          <w:sz w:val="24"/>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Agreement on any date shall be deemed to be the Swap Termination Value thereof as of such date. The amount of any capital lease or Synthetic Lease Obligation as of any date shall be deemed to be the amount of Attributable Indebtedness in respect thereof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Indemnified Taxes</w:t>
      </w:r>
      <w:r>
        <w:rPr>
          <w:color w:val="000000"/>
        </w:rPr>
        <w:t xml:space="preserve">” </w:t>
      </w:r>
      <w:r>
        <w:rPr>
          <w:rFonts w:ascii="Times New Roman;serif" w:hAnsi="Times New Roman;serif"/>
          <w:b w:val="false"/>
          <w:color w:val="000000"/>
          <w:sz w:val="24"/>
        </w:rPr>
        <w:t>means (a) Taxes, other than Excluded Taxes, imposed on or with respect to any payment made by or on account of any obligation of any Loan Party under any Loan Document and (b) to the extent not otherwise described in (a) hereof,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Indemnitee</w:t>
      </w:r>
      <w:r>
        <w:rPr>
          <w:color w:val="000000"/>
        </w:rPr>
        <w:t xml:space="preserve">” </w:t>
      </w:r>
      <w:r>
        <w:rPr>
          <w:rFonts w:ascii="Times New Roman;serif" w:hAnsi="Times New Roman;serif"/>
          <w:b w:val="false"/>
          <w:color w:val="000000"/>
          <w:sz w:val="24"/>
        </w:rPr>
        <w:t>has the meaning assigned to it in Section 9.03(c).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Ineligible Institution</w:t>
      </w:r>
      <w:r>
        <w:rPr>
          <w:color w:val="000000"/>
        </w:rPr>
        <w:t xml:space="preserve">” </w:t>
      </w:r>
      <w:r>
        <w:rPr>
          <w:rFonts w:ascii="Times New Roman;serif" w:hAnsi="Times New Roman;serif"/>
          <w:b w:val="false"/>
          <w:color w:val="000000"/>
          <w:sz w:val="24"/>
        </w:rPr>
        <w:t>has the meaning assigned to it in Section 9.04(b).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Information</w:t>
      </w:r>
      <w:r>
        <w:rPr>
          <w:color w:val="000000"/>
        </w:rPr>
        <w:t xml:space="preserve">” </w:t>
      </w:r>
      <w:r>
        <w:rPr>
          <w:rFonts w:ascii="Times New Roman;serif" w:hAnsi="Times New Roman;serif"/>
          <w:b w:val="false"/>
          <w:color w:val="000000"/>
          <w:sz w:val="24"/>
        </w:rPr>
        <w:t>has the meaning assigned to it in Section 9.12.</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Intercreditor Agreement</w:t>
      </w:r>
      <w:r>
        <w:rPr>
          <w:color w:val="000000"/>
        </w:rPr>
        <w:t xml:space="preserve">” </w:t>
      </w:r>
      <w:r>
        <w:rPr>
          <w:rFonts w:ascii="Times New Roman;serif" w:hAnsi="Times New Roman;serif"/>
          <w:b w:val="false"/>
          <w:color w:val="000000"/>
          <w:sz w:val="24"/>
        </w:rPr>
        <w:t>means any intercreditor agreement (including any Subordination Agreement) in form and substance reasonably satisfactory to the Administrative Agent entered into by the Borrower or any Subsidiary in connection with other Secured Debt or Subordinated Indebtedness, as any such intercreditor agreement may be from time to time amended, modified, extended, renewed, substituted, and/or supplemented.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Interest Election Request</w:t>
      </w:r>
      <w:r>
        <w:rPr>
          <w:color w:val="000000"/>
        </w:rPr>
        <w:t xml:space="preserve">” </w:t>
      </w:r>
      <w:r>
        <w:rPr>
          <w:rFonts w:ascii="Times New Roman;serif" w:hAnsi="Times New Roman;serif"/>
          <w:b w:val="false"/>
          <w:color w:val="000000"/>
          <w:sz w:val="24"/>
        </w:rPr>
        <w:t>means a request by the Borrower to convert or continue a Borrowing in accordance with Section 2.08, which shall be substantially in the form of Exhibit C 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Interest Payment Date</w:t>
      </w:r>
      <w:r>
        <w:rPr>
          <w:color w:val="000000"/>
        </w:rPr>
        <w:t xml:space="preserve">” </w:t>
      </w:r>
      <w:r>
        <w:rPr>
          <w:rFonts w:ascii="Times New Roman;serif" w:hAnsi="Times New Roman;serif"/>
          <w:b w:val="false"/>
          <w:color w:val="000000"/>
          <w:sz w:val="24"/>
        </w:rPr>
        <w:t>means (a) with respect to any ABR Loan (other than a Swingline Loan), the last day of each March, June, September and December and the Maturity Date, (b) with respect to any Term Benchmark Loan,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the Maturity Date, (c) with respect to any RFR Loan, (1) each date that is on the numerically corresponding day in each calendar month that is one month after the Borrowing of such Loan (or, if there is no such numerically corresponding day in such month, then the last day of such month) and (2) the Maturity Date, and (d) with respect to any Swingline Loan, the day that such Loan is required to be repaid and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Interest Period</w:t>
      </w:r>
      <w:r>
        <w:rPr>
          <w:color w:val="000000"/>
        </w:rPr>
        <w:t xml:space="preserve">” </w:t>
      </w:r>
      <w:r>
        <w:rPr>
          <w:rFonts w:ascii="Times New Roman;serif" w:hAnsi="Times New Roman;serif"/>
          <w:b w:val="false"/>
          <w:color w:val="000000"/>
          <w:sz w:val="24"/>
        </w:rPr>
        <w:t xml:space="preserve">means, with respect to any Term Benchmark Borrowing, the period commencing on the date of such Borrowing and ending on the numerically corresponding day in the calendar month that is one, three or six months thereafter (in each case, subject to the availability for the Benchmark applicable to the relevant Loan or Commitment for any Agreed Currency or, in the case of Borrowings in Canadian Dollars, one, two or three months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 the Borrower may elect;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Section 2.14(e) shall be available for specification in such Borrowing Request or Interest Election Request. For purposes hereof, the date of a Borrowing initially shall be the date on which such Borrowing is made and, in the case of a Revolving Borrowing, thereafter shall be the effective date of the most recent conversion or continuation of such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Internal Control Event</w:t>
      </w:r>
      <w:r>
        <w:rPr>
          <w:color w:val="000000"/>
        </w:rPr>
        <w:t xml:space="preserve">” </w:t>
      </w:r>
      <w:r>
        <w:rPr>
          <w:rFonts w:ascii="Times New Roman;serif" w:hAnsi="Times New Roman;serif"/>
          <w:b w:val="false"/>
          <w:color w:val="000000"/>
          <w:sz w:val="24"/>
        </w:rPr>
        <w:t>means a material weakness in, or fraud that involves management or other employees who have a significant role in the Borrower’s internal controls over financial reporting.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Investment</w:t>
      </w:r>
      <w:r>
        <w:rPr>
          <w:color w:val="000000"/>
        </w:rPr>
        <w:t xml:space="preserve">” </w:t>
      </w:r>
      <w:r>
        <w:rPr>
          <w:rFonts w:ascii="Times New Roman;serif" w:hAnsi="Times New Roman;serif"/>
          <w:b w:val="false"/>
          <w:color w:val="000000"/>
          <w:sz w:val="24"/>
        </w:rPr>
        <w:t>means, as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IRS</w:t>
      </w:r>
      <w:r>
        <w:rPr>
          <w:color w:val="000000"/>
        </w:rPr>
        <w:t xml:space="preserve">” </w:t>
      </w:r>
      <w:r>
        <w:rPr>
          <w:rFonts w:ascii="Times New Roman;serif" w:hAnsi="Times New Roman;serif"/>
          <w:b w:val="false"/>
          <w:color w:val="000000"/>
          <w:sz w:val="24"/>
        </w:rPr>
        <w:t xml:space="preserve">means the United States Internal Revenue Service.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Issuing Bank</w:t>
      </w:r>
      <w:r>
        <w:rPr>
          <w:color w:val="000000"/>
        </w:rPr>
        <w:t xml:space="preserve">” </w:t>
      </w:r>
      <w:r>
        <w:rPr>
          <w:rFonts w:ascii="Times New Roman;serif" w:hAnsi="Times New Roman;serif"/>
          <w:b w:val="false"/>
          <w:color w:val="000000"/>
          <w:sz w:val="24"/>
        </w:rPr>
        <w:t>means JPMorgan Chase Bank, N.A., Bank of America, N.A. (solely with respect to the Existing Letters of Credit until the BANA LC Commitment Start Date) and any other Lender that agrees to act as an Issuing Bank (in each case, through itself or through one of its designated affiliates or branch offices), each in its capacity as the issuer of Letters of Credit hereunder, and its successors in such capacity as provided in Section 2.06(i). Any Issuing Bank may, in its discretion, arrange for one or more Letters of Credit to be issued by Affiliates of such Issuing Bank, in which case the term “Issuing Bank” shall include any such Affiliate with respect to Letters of Credit issued by such Affiliate. Each reference herein to the “Issuing Bank” in connection with a Letter of Credit or other matter shall be deemed to be a reference to the relevant Issuing Bank with respect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Japanese Prime Rate</w:t>
      </w:r>
      <w:r>
        <w:rPr>
          <w:color w:val="000000"/>
        </w:rPr>
        <w:t xml:space="preserve">” </w:t>
      </w:r>
      <w:r>
        <w:rPr>
          <w:rFonts w:ascii="Times New Roman;serif" w:hAnsi="Times New Roman;serif"/>
          <w:b w:val="false"/>
          <w:color w:val="000000"/>
          <w:sz w:val="24"/>
        </w:rPr>
        <w:t>means for any Loan denominated in Yen the greater of (a) (i) the Japanese local bank prime rate plus (ii) the Japanese Prime Rate Adjustment and (b) the Floor.</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Japanese Prime Rate Adjustment</w:t>
      </w:r>
      <w:r>
        <w:rPr>
          <w:color w:val="000000"/>
        </w:rPr>
        <w:t xml:space="preserve">” </w:t>
      </w:r>
      <w:r>
        <w:rPr>
          <w:rFonts w:ascii="Times New Roman;serif" w:hAnsi="Times New Roman;serif"/>
          <w:b w:val="false"/>
          <w:color w:val="000000"/>
          <w:sz w:val="24"/>
        </w:rPr>
        <w:t>means, for any day, for any Loan denominated in Yen, a rate equal to the difference (which may be a positive or negative value or zero) of (i) the average of the Adjusted TIBOR Rate for the five most recent Business Days preceding such day for which the TIBOR Screen Rate was available (excluding, from such averaging, the highest and the lowest Adjusted TIBOR Rate applicable during such period of five Business Days) minus (ii) the Japanese Prime Rate in effect on the last Business Day in such period. For purposes of this definition, the TIBOR Rate on any day shall be based on the TIBOR Screen Rate on such day at approximately the time referred to in the definition of such term for deposits in Yen for a maturity of one month.</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Law</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Laws</w:t>
      </w:r>
      <w:r>
        <w:rPr>
          <w:color w:val="000000"/>
        </w:rPr>
        <w:t xml:space="preserve">” </w:t>
      </w:r>
      <w:r>
        <w:rPr>
          <w:rFonts w:ascii="Times New Roman;serif" w:hAnsi="Times New Roman;serif"/>
          <w:b w:val="false"/>
          <w:color w:val="000000"/>
          <w:sz w:val="24"/>
        </w:rPr>
        <w:t>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LC Collateral Account</w:t>
      </w:r>
      <w:r>
        <w:rPr>
          <w:color w:val="000000"/>
        </w:rPr>
        <w:t xml:space="preserve">” </w:t>
      </w:r>
      <w:r>
        <w:rPr>
          <w:rFonts w:ascii="Times New Roman;serif" w:hAnsi="Times New Roman;serif"/>
          <w:b w:val="false"/>
          <w:color w:val="000000"/>
          <w:sz w:val="24"/>
        </w:rPr>
        <w:t xml:space="preserve">has the meaning assigned to such term in Section 2.06(j).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LC Disbursement</w:t>
      </w:r>
      <w:r>
        <w:rPr>
          <w:color w:val="000000"/>
        </w:rPr>
        <w:t xml:space="preserve">” </w:t>
      </w:r>
      <w:r>
        <w:rPr>
          <w:rFonts w:ascii="Times New Roman;serif" w:hAnsi="Times New Roman;serif"/>
          <w:b w:val="false"/>
          <w:color w:val="000000"/>
          <w:sz w:val="24"/>
        </w:rPr>
        <w:t>means a payment made by an Issuing Bank pursuant to a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LC Exposure</w:t>
      </w:r>
      <w:r>
        <w:rPr>
          <w:color w:val="000000"/>
        </w:rPr>
        <w:t xml:space="preserve">” </w:t>
      </w:r>
      <w:r>
        <w:rPr>
          <w:rFonts w:ascii="Times New Roman;serif" w:hAnsi="Times New Roman;serif"/>
          <w:b w:val="false"/>
          <w:color w:val="000000"/>
          <w:sz w:val="24"/>
        </w:rPr>
        <w:t>means, at any time, the sum of (a) the aggregate undrawn Dollar Equivalent of all outstanding Letters of Credit at such time, plus (b) the aggregate Dollar Equivalent of all LC Disbursements that have not yet been reimbursed by or on behalf of the Borrower at such time. The LC Exposure of any Lender at any time shall be its Applicable Percentage of the LC Exposure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in the governing rules or laws or of the Letter of Credit itself, or if compliant documents have been presented but not yet honored, such Letter of Credit shall be deemed to be “outstanding” and “undrawn” in the amount so remaining available to be paid, and the obligations of the Borrower and each Lender shall remain in full force and effect until the Issuing Bank and the Lenders shall have no further obligations to make any payments or disbursements under any circumstances with respect to any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LCT Election</w:t>
      </w:r>
      <w:r>
        <w:rPr>
          <w:color w:val="000000"/>
        </w:rPr>
        <w:t xml:space="preserve">” </w:t>
      </w:r>
      <w:r>
        <w:rPr>
          <w:rFonts w:ascii="Times New Roman;serif" w:hAnsi="Times New Roman;serif"/>
          <w:b w:val="false"/>
          <w:color w:val="000000"/>
          <w:sz w:val="24"/>
        </w:rPr>
        <w:t>has the meaning assigned to it in Section 1.04(d).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LCT Test Date</w:t>
      </w:r>
      <w:r>
        <w:rPr>
          <w:color w:val="000000"/>
        </w:rPr>
        <w:t xml:space="preserve">” </w:t>
      </w:r>
      <w:r>
        <w:rPr>
          <w:rFonts w:ascii="Times New Roman;serif" w:hAnsi="Times New Roman;serif"/>
          <w:b w:val="false"/>
          <w:color w:val="000000"/>
          <w:sz w:val="24"/>
        </w:rPr>
        <w:t>has the meaning assigned to it in Section 1.04(d).</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Lender Parent</w:t>
      </w:r>
      <w:r>
        <w:rPr>
          <w:color w:val="000000"/>
        </w:rPr>
        <w:t xml:space="preserve">” </w:t>
      </w:r>
      <w:r>
        <w:rPr>
          <w:rFonts w:ascii="Times New Roman;serif" w:hAnsi="Times New Roman;serif"/>
          <w:b w:val="false"/>
          <w:color w:val="000000"/>
          <w:sz w:val="24"/>
        </w:rPr>
        <w:t>means, with respect to any Lender, any Person as to which such Lender is, directly or indirectly, a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Lender-Related Person</w:t>
      </w:r>
      <w:r>
        <w:rPr>
          <w:color w:val="000000"/>
        </w:rPr>
        <w:t xml:space="preserve">” </w:t>
      </w:r>
      <w:r>
        <w:rPr>
          <w:rFonts w:ascii="Times New Roman;serif" w:hAnsi="Times New Roman;serif"/>
          <w:b w:val="false"/>
          <w:color w:val="000000"/>
          <w:sz w:val="24"/>
        </w:rPr>
        <w:t xml:space="preserve">has the meaning assigned to it in Section 9.03(b).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Lenders</w:t>
      </w:r>
      <w:r>
        <w:rPr>
          <w:color w:val="000000"/>
        </w:rPr>
        <w:t xml:space="preserve">” </w:t>
      </w:r>
      <w:r>
        <w:rPr>
          <w:rFonts w:ascii="Times New Roman;serif" w:hAnsi="Times New Roman;serif"/>
          <w:b w:val="false"/>
          <w:color w:val="000000"/>
          <w:sz w:val="24"/>
        </w:rPr>
        <w:t>means the Persons listed on Schedule 2.01A and any other Person that shall have become a party hereto pursuant to an Assignment and Assumption or otherwise, other than any such Person that ceases to be a party hereto pursuant to an Assignment and Assumption or otherwise. Unless the context otherwise requires, the term “Lenders” includes the Swingline Lenders and the Issuing Banks.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Letter of Credit</w:t>
      </w:r>
      <w:r>
        <w:rPr>
          <w:color w:val="000000"/>
        </w:rPr>
        <w:t xml:space="preserve">” </w:t>
      </w:r>
      <w:r>
        <w:rPr>
          <w:rFonts w:ascii="Times New Roman;serif" w:hAnsi="Times New Roman;serif"/>
          <w:b w:val="false"/>
          <w:color w:val="000000"/>
          <w:sz w:val="24"/>
        </w:rPr>
        <w:t>means any letter of credit issued pursuant to this Agreement and shall include each Existing Letter of Credit. A Letter of Credit may be issued in Dollars or in any Foreign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Letter of Credit Agreement</w:t>
      </w:r>
      <w:r>
        <w:rPr>
          <w:color w:val="000000"/>
        </w:rPr>
        <w:t xml:space="preserve">” </w:t>
      </w:r>
      <w:r>
        <w:rPr>
          <w:rFonts w:ascii="Times New Roman;serif" w:hAnsi="Times New Roman;serif"/>
          <w:b w:val="false"/>
          <w:color w:val="000000"/>
          <w:sz w:val="24"/>
        </w:rPr>
        <w:t>has the meaning assigned to it in Section 2.06(b).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Letter of Credit Commitment</w:t>
      </w:r>
      <w:r>
        <w:rPr>
          <w:color w:val="000000"/>
        </w:rPr>
        <w:t xml:space="preserve">” </w:t>
      </w:r>
      <w:r>
        <w:rPr>
          <w:rFonts w:ascii="Times New Roman;serif" w:hAnsi="Times New Roman;serif"/>
          <w:b w:val="false"/>
          <w:color w:val="000000"/>
          <w:sz w:val="24"/>
        </w:rPr>
        <w:t>means, with respect to each Issuing Bank, the commitment of such Issuing Bank to issue Letters of Credit hereunder. The initial amount of each Issuing Bank’s Letter of Credit Commitment is set forth on Schedule 2.01B, or if an Issuing Bank has entered into an Assignment and Assumption or has otherwise assumed a Letter of Credit Commitment after the Effective Date, the amount set forth for such Issuing Bank as its Letter of Credit Commitment in the Register maintained by the Administrative Agent. The Letter of Credit Commitment of an Issuing Bank may be modified from time to time by agreement between such Issuing Bank and the Borrower, and notified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Liabilities</w:t>
      </w:r>
      <w:r>
        <w:rPr>
          <w:color w:val="000000"/>
        </w:rPr>
        <w:t xml:space="preserve">” </w:t>
      </w:r>
      <w:r>
        <w:rPr>
          <w:rFonts w:ascii="Times New Roman;serif" w:hAnsi="Times New Roman;serif"/>
          <w:b w:val="false"/>
          <w:color w:val="000000"/>
          <w:sz w:val="24"/>
        </w:rPr>
        <w:t xml:space="preserve">means any losses, claims (including intraparty claims), demands, damages or liabilities of any kind.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Lien</w:t>
      </w:r>
      <w:r>
        <w:rPr>
          <w:color w:val="000000"/>
        </w:rPr>
        <w:t xml:space="preserve">” </w:t>
      </w:r>
      <w:r>
        <w:rPr>
          <w:rFonts w:ascii="Times New Roman;serif" w:hAnsi="Times New Roman;serif"/>
          <w:b w:val="false"/>
          <w:color w:val="000000"/>
          <w:sz w:val="24"/>
        </w:rPr>
        <w:t>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Limited Condition Transaction</w:t>
      </w:r>
      <w:r>
        <w:rPr>
          <w:color w:val="000000"/>
        </w:rPr>
        <w:t xml:space="preserve">” </w:t>
      </w:r>
      <w:r>
        <w:rPr>
          <w:rFonts w:ascii="Times New Roman;serif" w:hAnsi="Times New Roman;serif"/>
          <w:b w:val="false"/>
          <w:color w:val="000000"/>
          <w:sz w:val="24"/>
        </w:rPr>
        <w:t xml:space="preserve">means any Acquisition or other Investment that the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whose consummation is not conditioned on the availability of, or on obtaining, third party financing;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in the event the consummation of any such Acquisition or Investment shall not have occurred within one hundred and twenty (120) days following the signing of the applicable contractual commitment (which time period may be extended to three hundred sixty-five (365) days following signing so long as the only remaining condition to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consummation of such Acquisition or Investment after the 120th day is receipt of required regulatory approvals), such Acquisition or Investment shall no longer constitute a Limited Condition Transaction for any purpose.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LLC</w:t>
      </w:r>
      <w:r>
        <w:rPr>
          <w:color w:val="000000"/>
        </w:rPr>
        <w:t xml:space="preserve">” </w:t>
      </w:r>
      <w:r>
        <w:rPr>
          <w:rFonts w:ascii="Times New Roman;serif" w:hAnsi="Times New Roman;serif"/>
          <w:b w:val="false"/>
          <w:color w:val="000000"/>
          <w:sz w:val="24"/>
        </w:rPr>
        <w:t>means any Person that is a limited liability company under the laws of its jurisdiction of 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Loan Documents</w:t>
      </w:r>
      <w:r>
        <w:rPr>
          <w:color w:val="000000"/>
        </w:rPr>
        <w:t xml:space="preserve">” </w:t>
      </w:r>
      <w:r>
        <w:rPr>
          <w:rFonts w:ascii="Times New Roman;serif" w:hAnsi="Times New Roman;serif"/>
          <w:b w:val="false"/>
          <w:color w:val="000000"/>
          <w:sz w:val="24"/>
        </w:rPr>
        <w:t>means this Agreement, including schedules and exhibits hereto, and any agreements entered into in connection herewith by the Borrower or any Loan Party with or in favor of the Administrative Agent and/or the Lenders, including any promissory notes issued pursuant to Section 2.10(e), the Collateral Documents, the Subsidiary Guaranty, any Intercreditor Agreements, any amendments, modifications or supplements thereto or waivers thereof, legal opinions issued in connection with the other Loan Documents, UCC filings, flood determinations, letter of credit applications and any agreements between the Borrower and an Issuing Bank regarding the issuance by such Issuing Bank of Letters of Credit hereunder and/or the respective rights and obligations between the Borrower and such Issuing Bank in connection thereunder and any other documents prepared in connection with the other Loan Documents, if any.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Loan Parties</w:t>
      </w:r>
      <w:r>
        <w:rPr>
          <w:color w:val="000000"/>
        </w:rPr>
        <w:t xml:space="preserve">” </w:t>
      </w:r>
      <w:r>
        <w:rPr>
          <w:rFonts w:ascii="Times New Roman;serif" w:hAnsi="Times New Roman;serif"/>
          <w:b w:val="false"/>
          <w:color w:val="000000"/>
          <w:sz w:val="24"/>
        </w:rPr>
        <w:t>means, collectively, the Borrower and each Subsidiary Guarantor.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Loans</w:t>
      </w:r>
      <w:r>
        <w:rPr>
          <w:color w:val="000000"/>
        </w:rPr>
        <w:t xml:space="preserve">” </w:t>
      </w:r>
      <w:r>
        <w:rPr>
          <w:rFonts w:ascii="Times New Roman;serif" w:hAnsi="Times New Roman;serif"/>
          <w:b w:val="false"/>
          <w:color w:val="000000"/>
          <w:sz w:val="24"/>
        </w:rPr>
        <w:t>means the loans made by the Lenders to the Borrower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Local Time</w:t>
      </w:r>
      <w:r>
        <w:rPr>
          <w:color w:val="000000"/>
        </w:rPr>
        <w:t xml:space="preserve">” </w:t>
      </w:r>
      <w:r>
        <w:rPr>
          <w:rFonts w:ascii="Times New Roman;serif" w:hAnsi="Times New Roman;serif"/>
          <w:b w:val="false"/>
          <w:color w:val="000000"/>
          <w:sz w:val="24"/>
        </w:rPr>
        <w:t>means (i) New York City time in the case of a Loan, Borrowing or LC Disbursement denominated in Dollars and (ii) local time in the case of a Loan, Borrowing or LC Disbursement denominated in a Foreign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Majority-Owned Subsidiary</w:t>
      </w:r>
      <w:r>
        <w:rPr>
          <w:color w:val="000000"/>
        </w:rPr>
        <w:t xml:space="preserve">” </w:t>
      </w:r>
      <w:r>
        <w:rPr>
          <w:rFonts w:ascii="Times New Roman;serif" w:hAnsi="Times New Roman;serif"/>
          <w:b w:val="false"/>
          <w:color w:val="000000"/>
          <w:sz w:val="24"/>
        </w:rPr>
        <w:t>of the Borrower means a Subsidiary of which the Borrower owns, directly or indirectly through another Subsidiary, more than fifty percent (50%) of the issued and outstanding capital stock or other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Margin Stock</w:t>
      </w:r>
      <w:r>
        <w:rPr>
          <w:color w:val="000000"/>
        </w:rPr>
        <w:t xml:space="preserve">” </w:t>
      </w:r>
      <w:r>
        <w:rPr>
          <w:rFonts w:ascii="Times New Roman;serif" w:hAnsi="Times New Roman;serif"/>
          <w:b w:val="false"/>
          <w:color w:val="000000"/>
          <w:sz w:val="24"/>
        </w:rPr>
        <w:t>means margin stock within the meaning of Regulations T, U and X,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Material Adverse Effect</w:t>
      </w:r>
      <w:r>
        <w:rPr>
          <w:color w:val="000000"/>
        </w:rPr>
        <w:t xml:space="preserve">” </w:t>
      </w:r>
      <w:r>
        <w:rPr>
          <w:rFonts w:ascii="Times New Roman;serif" w:hAnsi="Times New Roman;serif"/>
          <w:b w:val="false"/>
          <w:color w:val="000000"/>
          <w:sz w:val="24"/>
        </w:rPr>
        <w:t>means (a) a material adverse change in, or a material adverse effect upon, the operations, business, properties, liabilities (actual or contingent), or condition (financial or otherwise) of the Borrower or the Borrower and its Subsidiaries taken as a whole; (b) a material impairment of the ability of the Borrower to perform its obligations under this Agreement; or (c) a material adverse effect upon the legality, validity, binding effect or enforceability against any Loan Party of any Loan Document to which it is a party which could reasonably be expected to have a material adverse effect upon the rights of the Lenders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Material Domestic Subsidiary</w:t>
      </w:r>
      <w:r>
        <w:rPr>
          <w:color w:val="000000"/>
        </w:rPr>
        <w:t xml:space="preserve">” </w:t>
      </w:r>
      <w:r>
        <w:rPr>
          <w:rFonts w:ascii="Times New Roman;serif" w:hAnsi="Times New Roman;serif"/>
          <w:b w:val="false"/>
          <w:color w:val="000000"/>
          <w:sz w:val="24"/>
        </w:rPr>
        <w:t xml:space="preserve">means each Domestic Subsidiary that is a Majority-Owned Subsidiary (other than any Receivables Entity) (i) which, as of the most recent fiscal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quarter of the Borrower, for the period of four consecutive fiscal quarters then ended, for which Financials have been delivered, contributed greater than five percent (5%) of Consolidated operating income for such period or (ii) which contributed greater than five percent (5%) of Consolidated Total Assets as of such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at any time the aggregate amount of Consolidated operating income or Consolidated Total Assets attributable to all Domestic Subsidiaries that are not Material Domestic Subsidiaries exceeds ten percent (10%) of Consolidated operating income of the Borrower and its Domestic Subsidiaries for any such period or ten percent (10%) of Consolidated Total Assets attributable to the Borrower and its Domestic Subsidiaries as of the end of any such fiscal quarter, the Borrower (or, in the event the Borrower has failed to do so within ten (10) days, the Administrative Agent) shall designate sufficient Domestic Subsidiaries (other than Receivables Entities) as “Material Domestic Subsidiaries” to eliminate such excess, and such designated Subsidiaries shall for all purposes of this Agreement constitute Material Domestic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Maturity Date</w:t>
      </w:r>
      <w:r>
        <w:rPr>
          <w:color w:val="000000"/>
        </w:rPr>
        <w:t xml:space="preserve">” </w:t>
      </w:r>
      <w:r>
        <w:rPr>
          <w:rFonts w:ascii="Times New Roman;serif" w:hAnsi="Times New Roman;serif"/>
          <w:b w:val="false"/>
          <w:color w:val="000000"/>
          <w:sz w:val="24"/>
        </w:rPr>
        <w:t>means July 28, 2028.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Maximum Rate</w:t>
      </w:r>
      <w:r>
        <w:rPr>
          <w:color w:val="000000"/>
        </w:rPr>
        <w:t xml:space="preserve">” </w:t>
      </w:r>
      <w:r>
        <w:rPr>
          <w:rFonts w:ascii="Times New Roman;serif" w:hAnsi="Times New Roman;serif"/>
          <w:b w:val="false"/>
          <w:color w:val="000000"/>
          <w:sz w:val="24"/>
        </w:rPr>
        <w:t>has the meaning assigned to it in Section 9.14.</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Multiemployer Plan</w:t>
      </w:r>
      <w:r>
        <w:rPr>
          <w:color w:val="000000"/>
        </w:rPr>
        <w:t xml:space="preserve">” </w:t>
      </w:r>
      <w:r>
        <w:rPr>
          <w:rFonts w:ascii="Times New Roman;serif" w:hAnsi="Times New Roman;serif"/>
          <w:b w:val="false"/>
          <w:color w:val="000000"/>
          <w:sz w:val="24"/>
        </w:rPr>
        <w:t>means any employee benefit plan of the type described in Section 4001(a)(3) of ERISA, to which the Borrower or any ERISA Affiliate makes or is obligated to make contributions, or during the preceding five (5) plan years, has made or been obligated to make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Multiple Employer Plan</w:t>
      </w:r>
      <w:r>
        <w:rPr>
          <w:color w:val="000000"/>
        </w:rPr>
        <w:t xml:space="preserve">” </w:t>
      </w:r>
      <w:r>
        <w:rPr>
          <w:rFonts w:ascii="Times New Roman;serif" w:hAnsi="Times New Roman;serif"/>
          <w:b w:val="false"/>
          <w:color w:val="000000"/>
          <w:sz w:val="24"/>
        </w:rPr>
        <w:t>means a Plan which has two or more contributing sponsors (including the Borrower or any ERISA Affiliate) at least two of whom are not under common control, as such a plan is described in Section 4064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Net Proceeds</w:t>
      </w:r>
      <w:r>
        <w:rPr>
          <w:color w:val="000000"/>
        </w:rPr>
        <w:t xml:space="preserve">” </w:t>
      </w:r>
      <w:r>
        <w:rPr>
          <w:rFonts w:ascii="Times New Roman;serif" w:hAnsi="Times New Roman;serif"/>
          <w:b w:val="false"/>
          <w:color w:val="000000"/>
          <w:sz w:val="24"/>
        </w:rPr>
        <w:t>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net of (b) the sum of (i) all reasonable fees and out-of-pocket expenses paid to third parties (other than Affiliates) in connection with such event, (ii) in the case of a sale, transfer or other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NYFRB</w:t>
      </w:r>
      <w:r>
        <w:rPr>
          <w:color w:val="000000"/>
        </w:rPr>
        <w:t xml:space="preserve">” </w:t>
      </w:r>
      <w:r>
        <w:rPr>
          <w:rFonts w:ascii="Times New Roman;serif" w:hAnsi="Times New Roman;serif"/>
          <w:b w:val="false"/>
          <w:color w:val="000000"/>
          <w:sz w:val="24"/>
        </w:rPr>
        <w:t>means the Federal Reserve Bank of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NYFRB’s Website</w:t>
      </w:r>
      <w:r>
        <w:rPr>
          <w:color w:val="000000"/>
        </w:rPr>
        <w:t xml:space="preserve">” </w:t>
      </w:r>
      <w:r>
        <w:rPr>
          <w:rFonts w:ascii="Times New Roman;serif" w:hAnsi="Times New Roman;serif"/>
          <w:b w:val="false"/>
          <w:color w:val="000000"/>
          <w:sz w:val="24"/>
        </w:rPr>
        <w:t>means the website of the NYFRB at http://www.newyorkfed.org or any successor source.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NYFRB Rate</w:t>
      </w:r>
      <w:r>
        <w:rPr>
          <w:color w:val="000000"/>
        </w:rPr>
        <w:t xml:space="preserve">” </w:t>
      </w:r>
      <w:r>
        <w:rPr>
          <w:rFonts w:ascii="Times New Roman;serif" w:hAnsi="Times New Roman;serif"/>
          <w:b w:val="false"/>
          <w:color w:val="000000"/>
          <w:sz w:val="24"/>
        </w:rPr>
        <w:t xml:space="preserve">means, for any day, the greater of (a) the Federal Funds Effective Rate in effect on such day and (b) the Overnight Bank Funding Rate in effect on such day (or for any day that is not a Business Day, for the immediately preceding Business Day);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none of such rates are published for any day that is a Business Day, the term “NYFRB Rate” means the rate for a federal funds transaction quoted at 11:00 a.m. on such day received by the Administrative Agent from a federal funds broker of recognized standing selected by it;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any of the aforesaid rates as so determined would be less than 0%, such rate shall be deemed to be 0%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Obligations</w:t>
      </w:r>
      <w:r>
        <w:rPr>
          <w:color w:val="000000"/>
        </w:rPr>
        <w:t xml:space="preserve">” </w:t>
      </w:r>
      <w:r>
        <w:rPr>
          <w:rFonts w:ascii="Times New Roman;serif" w:hAnsi="Times New Roman;serif"/>
          <w:b w:val="false"/>
          <w:color w:val="000000"/>
          <w:sz w:val="24"/>
        </w:rPr>
        <w:t xml:space="preserve">means all advances to, and debts, liabilities, obligations, covenants and duties of, the Borrower and its Subsidiaries arising under any Loan Document, or to the Lenders or any of their Affiliates under any Swap Agreement or any Banking Services Agreement,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the Borrower or any Affiliate thereof of any proceeding under any debtor relief laws naming such Person as the debtor in such proceeding, regardless of whether such interest and fees are allowed or allowable claims in such proceeding. Without limiting the foregoing, the Obligations include (a) the obligation to pay principal, interest, Letter of Credit commissions, charges, expenses, fees, indemnities and other amounts payable by the Borrower under any Loan Document and (b) the obligation of the Borrower to reimburse any amount in respect of any of the foregoing that the Administrative Agent or any Lender, in each case in its sole discretion, may elect to pay or advance on behalf of the Borrower.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OFAC</w:t>
      </w:r>
      <w:r>
        <w:rPr>
          <w:color w:val="000000"/>
        </w:rPr>
        <w:t xml:space="preserve">” </w:t>
      </w:r>
      <w:r>
        <w:rPr>
          <w:rFonts w:ascii="Times New Roman;serif" w:hAnsi="Times New Roman;serif"/>
          <w:b w:val="false"/>
          <w:color w:val="000000"/>
          <w:sz w:val="24"/>
        </w:rPr>
        <w:t xml:space="preserve">means the Office of Foreign Assets Control of the U.S. Department of the Treasury.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Organization Documents</w:t>
      </w:r>
      <w:r>
        <w:rPr>
          <w:color w:val="000000"/>
        </w:rPr>
        <w:t xml:space="preserve">” </w:t>
      </w:r>
      <w:r>
        <w:rPr>
          <w:rFonts w:ascii="Times New Roman;serif" w:hAnsi="Times New Roman;serif"/>
          <w:b w:val="false"/>
          <w:color w:val="000000"/>
          <w:sz w:val="24"/>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as any of the foregoing may be from time to time amended, modified, substituted, and/or supplemented.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Other Connection Taxes</w:t>
      </w:r>
      <w:r>
        <w:rPr>
          <w:color w:val="000000"/>
        </w:rPr>
        <w:t xml:space="preserve">” </w:t>
      </w:r>
      <w:r>
        <w:rPr>
          <w:rFonts w:ascii="Times New Roman;serif" w:hAnsi="Times New Roman;serif"/>
          <w:b w:val="false"/>
          <w:color w:val="000000"/>
          <w:sz w:val="24"/>
        </w:rPr>
        <w:t xml:space="preserve">means, with respect to any Recipient, Taxes imposed as a result of a present or former connection between such Recipient and the jurisdiction imposing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Other Taxes</w:t>
      </w:r>
      <w:r>
        <w:rPr>
          <w:color w:val="000000"/>
        </w:rPr>
        <w:t xml:space="preserve">” </w:t>
      </w:r>
      <w:r>
        <w:rPr>
          <w:rFonts w:ascii="Times New Roman;serif" w:hAnsi="Times New Roman;serif"/>
          <w:b w:val="false"/>
          <w:color w:val="000000"/>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Overnight Bank Funding Rate</w:t>
      </w:r>
      <w:r>
        <w:rPr>
          <w:color w:val="000000"/>
        </w:rPr>
        <w:t xml:space="preserve">” </w:t>
      </w:r>
      <w:r>
        <w:rPr>
          <w:rFonts w:ascii="Times New Roman;serif" w:hAnsi="Times New Roman;serif"/>
          <w:b w:val="false"/>
          <w:color w:val="000000"/>
          <w:sz w:val="24"/>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Overnight Rate</w:t>
      </w:r>
      <w:r>
        <w:rPr>
          <w:color w:val="000000"/>
        </w:rPr>
        <w:t xml:space="preserve">” </w:t>
      </w:r>
      <w:r>
        <w:rPr>
          <w:rFonts w:ascii="Times New Roman;serif" w:hAnsi="Times New Roman;serif"/>
          <w:b w:val="false"/>
          <w:color w:val="000000"/>
          <w:sz w:val="24"/>
        </w:rPr>
        <w:t>means, for any day, (a) with respect to any amount denominated in Dollars, the NYFRB Rate and (b) with respect to any amount denominated in a Foreign Currency, an overnight rate determined by the Administrative Agent or the Issuing Banks, as the case may be, in accordance with banking industry rules on interbank compensation.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Participant</w:t>
      </w:r>
      <w:r>
        <w:rPr>
          <w:color w:val="000000"/>
        </w:rPr>
        <w:t xml:space="preserve">” </w:t>
      </w:r>
      <w:r>
        <w:rPr>
          <w:rFonts w:ascii="Times New Roman;serif" w:hAnsi="Times New Roman;serif"/>
          <w:b w:val="false"/>
          <w:color w:val="000000"/>
          <w:sz w:val="24"/>
        </w:rPr>
        <w:t>has the meaning assigned to such term in Section 9.04(c).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Participant Register</w:t>
      </w:r>
      <w:r>
        <w:rPr>
          <w:color w:val="000000"/>
        </w:rPr>
        <w:t xml:space="preserve">” </w:t>
      </w:r>
      <w:r>
        <w:rPr>
          <w:rFonts w:ascii="Times New Roman;serif" w:hAnsi="Times New Roman;serif"/>
          <w:b w:val="false"/>
          <w:color w:val="000000"/>
          <w:sz w:val="24"/>
        </w:rPr>
        <w:t>has the meaning assigned to such term in Section 9.04(c).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Participating Member State</w:t>
      </w:r>
      <w:r>
        <w:rPr>
          <w:color w:val="000000"/>
        </w:rPr>
        <w:t xml:space="preserve">” </w:t>
      </w:r>
      <w:r>
        <w:rPr>
          <w:rFonts w:ascii="Times New Roman;serif" w:hAnsi="Times New Roman;serif"/>
          <w:b w:val="false"/>
          <w:color w:val="000000"/>
          <w:sz w:val="24"/>
        </w:rPr>
        <w:t>means any member state of the European Union that has euro as its lawful currency in accordance with legislation of the European Union relating to Economic and Monetary Union.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Patriot Act</w:t>
      </w:r>
      <w:r>
        <w:rPr>
          <w:color w:val="000000"/>
        </w:rPr>
        <w:t xml:space="preserve">” </w:t>
      </w:r>
      <w:r>
        <w:rPr>
          <w:rFonts w:ascii="Times New Roman;serif" w:hAnsi="Times New Roman;serif"/>
          <w:b w:val="false"/>
          <w:color w:val="000000"/>
          <w:sz w:val="24"/>
        </w:rPr>
        <w:t>has the meaning assigned to it in Section 9.16.</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Payment</w:t>
      </w:r>
      <w:r>
        <w:rPr>
          <w:color w:val="000000"/>
        </w:rPr>
        <w:t xml:space="preserve">” </w:t>
      </w:r>
      <w:r>
        <w:rPr>
          <w:rFonts w:ascii="Times New Roman;serif" w:hAnsi="Times New Roman;serif"/>
          <w:b w:val="false"/>
          <w:color w:val="000000"/>
          <w:sz w:val="24"/>
        </w:rPr>
        <w:t>has the meaning assigned to it in Section 8.06(c).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Payment Notice</w:t>
      </w:r>
      <w:r>
        <w:rPr>
          <w:color w:val="000000"/>
        </w:rPr>
        <w:t xml:space="preserve">” </w:t>
      </w:r>
      <w:r>
        <w:rPr>
          <w:rFonts w:ascii="Times New Roman;serif" w:hAnsi="Times New Roman;serif"/>
          <w:b w:val="false"/>
          <w:color w:val="000000"/>
          <w:sz w:val="24"/>
        </w:rPr>
        <w:t>has the meaning assigned to it in Section 8.06(c).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PBGC</w:t>
      </w:r>
      <w:r>
        <w:rPr>
          <w:color w:val="000000"/>
        </w:rPr>
        <w:t xml:space="preserve">” </w:t>
      </w:r>
      <w:r>
        <w:rPr>
          <w:rFonts w:ascii="Times New Roman;serif" w:hAnsi="Times New Roman;serif"/>
          <w:b w:val="false"/>
          <w:color w:val="000000"/>
          <w:sz w:val="24"/>
        </w:rPr>
        <w:t>means the Pension Benefit Guaranty Corporation referred to and defined in ERISA and any successor entity performing similar functions.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Pension Funding Rules</w:t>
      </w:r>
      <w:r>
        <w:rPr>
          <w:color w:val="000000"/>
        </w:rPr>
        <w:t xml:space="preserve">” </w:t>
      </w:r>
      <w:r>
        <w:rPr>
          <w:rFonts w:ascii="Times New Roman;serif" w:hAnsi="Times New Roman;serif"/>
          <w:b w:val="false"/>
          <w:color w:val="000000"/>
          <w:sz w:val="24"/>
        </w:rPr>
        <w:t>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Pension Plan</w:t>
      </w:r>
      <w:r>
        <w:rPr>
          <w:color w:val="000000"/>
        </w:rPr>
        <w:t xml:space="preserve">” </w:t>
      </w:r>
      <w:r>
        <w:rPr>
          <w:rFonts w:ascii="Times New Roman;serif" w:hAnsi="Times New Roman;serif"/>
          <w:b w:val="false"/>
          <w:color w:val="000000"/>
          <w:sz w:val="24"/>
        </w:rPr>
        <w:t>means any employee pension benefit plan (including a Multiple Employer Plan or a Multiemployer Plan) that is maintained or is contributed to by the Borrower and any ERISA Affiliate (or has at any time during the preceding 6 years been maintained or contributed to by the Borrower or any ERISA Affiliate) and is either covered by Title IV of ERISA or is subject to the minimum funding standards under Section 412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Acquisition</w:t>
      </w:r>
      <w:r>
        <w:rPr>
          <w:color w:val="000000"/>
        </w:rPr>
        <w:t xml:space="preserve">” </w:t>
      </w:r>
      <w:r>
        <w:rPr>
          <w:rFonts w:ascii="Times New Roman;serif" w:hAnsi="Times New Roman;serif"/>
          <w:b w:val="false"/>
          <w:color w:val="000000"/>
          <w:sz w:val="24"/>
        </w:rPr>
        <w:t>means an Acquisition that satisfies the terms and conditions of Section 6.02(f).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Receivables Facility</w:t>
      </w:r>
      <w:r>
        <w:rPr>
          <w:color w:val="000000"/>
        </w:rPr>
        <w:t xml:space="preserve">” </w:t>
      </w:r>
      <w:r>
        <w:rPr>
          <w:rFonts w:ascii="Times New Roman;serif" w:hAnsi="Times New Roman;serif"/>
          <w:b w:val="false"/>
          <w:color w:val="000000"/>
          <w:sz w:val="24"/>
        </w:rPr>
        <w:t xml:space="preserve">means a receivables facility or facilities created under the Permitted Receivables Facility Documents, providing for the sale, transfer and/or pledge by the Borrower and/or one or more other Receivables Sellers of Permitted Receivables Facility Assets (thereby providing financing to the Borrower and the Receivables Sellers) to a Receivables Entity (either directly or through another Receivables Seller), which in turn shall sell, transfer and/or pledge interests in the respective Permitted Receivables Facility Assets to third-party lenders or investors pursuant to the Permitted Receivables Facility Documents (with the Receivables Entity permitted to issue or convey purchaser interests, investor certificates, purchased interest certificates or other similar documentation evidencing interests in the Permitted Receivables Facility Assets) in return for the cash used by such Receivables Entity to acquire the Permitted Receivables Facility Assets from the Borrower and/or the respective Receivables Sellers, in each case as more fully set forth in the Permitted Receivables Facility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Attributable Receivables Indebtedness thereunder shall not exceed an aggregate amount of $50,000,000 at any time outstanding.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Receivables Facility Assets</w:t>
      </w:r>
      <w:r>
        <w:rPr>
          <w:color w:val="000000"/>
        </w:rPr>
        <w:t xml:space="preserve">” </w:t>
      </w:r>
      <w:r>
        <w:rPr>
          <w:rFonts w:ascii="Times New Roman;serif" w:hAnsi="Times New Roman;serif"/>
          <w:b w:val="false"/>
          <w:color w:val="000000"/>
          <w:sz w:val="24"/>
        </w:rPr>
        <w:t>means Receivables (whether now existing or arising in the future) of the Receivables Sellers which are transferred, sold and/or pledged to a Receivables Entity pursuant to a Permitted Receivables Facility and any related Permitted Receivables Related Assets which are also so transferred, sold and/or pledged to a Receivables Entity and all proceeds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Receivables Facility Documents</w:t>
      </w:r>
      <w:r>
        <w:rPr>
          <w:color w:val="000000"/>
        </w:rPr>
        <w:t xml:space="preserve">” </w:t>
      </w:r>
      <w:r>
        <w:rPr>
          <w:rFonts w:ascii="Times New Roman;serif" w:hAnsi="Times New Roman;serif"/>
          <w:b w:val="false"/>
          <w:color w:val="000000"/>
          <w:sz w:val="24"/>
        </w:rPr>
        <w:t>means each of the documents and agreements entered into in connection with any Permitted Receivables Facility, including all documents and agreements relating to the issuance, funding and/or purchase of certificates and purchased interests or the incurrence of loans, as applicable, all of which documents and agreements shall be in customary form and substance.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Receivables Related Assets</w:t>
      </w:r>
      <w:r>
        <w:rPr>
          <w:color w:val="000000"/>
        </w:rPr>
        <w:t xml:space="preserve">” </w:t>
      </w:r>
      <w:r>
        <w:rPr>
          <w:rFonts w:ascii="Times New Roman;serif" w:hAnsi="Times New Roman;serif"/>
          <w:b w:val="false"/>
          <w:color w:val="000000"/>
          <w:sz w:val="24"/>
        </w:rPr>
        <w:t>means any assets that are customarily sold, transferred and/or pledged or in respect of which security interests are customarily granted in connection with asset securitization transactions involving receivables similar to Receivables and any collections or proceeds of any of the foregoing (including, without limitation, lock-boxes, deposit accounts, records in respect of Receivables and collections in respect of Receivables).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Permitted Restricted Payment</w:t>
      </w:r>
      <w:r>
        <w:rPr>
          <w:color w:val="000000"/>
        </w:rPr>
        <w:t xml:space="preserve">” </w:t>
      </w:r>
      <w:r>
        <w:rPr>
          <w:rFonts w:ascii="Times New Roman;serif" w:hAnsi="Times New Roman;serif"/>
          <w:b w:val="false"/>
          <w:color w:val="000000"/>
          <w:sz w:val="24"/>
        </w:rPr>
        <w:t xml:space="preserve">means (i) a Restricted Payment deemed to occur upon the cash-less exercise of any option, warrant or other right to acquire an Equity Interest, or (ii) the declaration or payment of a ratable dividend or distribution by a Subsidiary to the holders of a class of its Equity Interests (including the Borrower or any other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Plan</w:t>
      </w:r>
      <w:r>
        <w:rPr>
          <w:color w:val="000000"/>
        </w:rPr>
        <w:t xml:space="preserve">” </w:t>
      </w:r>
      <w:r>
        <w:rPr>
          <w:rFonts w:ascii="Times New Roman;serif" w:hAnsi="Times New Roman;serif"/>
          <w:b w:val="false"/>
          <w:color w:val="000000"/>
          <w:sz w:val="24"/>
        </w:rPr>
        <w:t>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Plan Asset Regulations</w:t>
      </w:r>
      <w:r>
        <w:rPr>
          <w:color w:val="000000"/>
        </w:rPr>
        <w:t xml:space="preserve">” </w:t>
      </w:r>
      <w:r>
        <w:rPr>
          <w:rFonts w:ascii="Times New Roman;serif" w:hAnsi="Times New Roman;serif"/>
          <w:b w:val="false"/>
          <w:color w:val="000000"/>
          <w:sz w:val="24"/>
        </w:rPr>
        <w:t xml:space="preserve">means 29 CFR § 2510.3-101 </w:t>
      </w:r>
      <w:r>
        <w:rPr>
          <w:rFonts w:ascii="Times New Roman;serif" w:hAnsi="Times New Roman;serif"/>
          <w:b w:val="false"/>
          <w:i/>
          <w:color w:val="000000"/>
          <w:sz w:val="24"/>
        </w:rPr>
        <w:t>et seq.</w:t>
      </w:r>
      <w:r>
        <w:rPr>
          <w:rFonts w:ascii="Times New Roman;serif" w:hAnsi="Times New Roman;serif"/>
          <w:b w:val="false"/>
          <w:color w:val="000000"/>
          <w:sz w:val="24"/>
        </w:rPr>
        <w:t>, as modified by Section 3(42) of ERISA,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Pledge Subsidiary</w:t>
      </w:r>
      <w:r>
        <w:rPr>
          <w:color w:val="000000"/>
        </w:rPr>
        <w:t xml:space="preserve">” </w:t>
      </w:r>
      <w:r>
        <w:rPr>
          <w:rFonts w:ascii="Times New Roman;serif" w:hAnsi="Times New Roman;serif"/>
          <w:b w:val="false"/>
          <w:color w:val="000000"/>
          <w:sz w:val="24"/>
        </w:rPr>
        <w:t>means (i) each Domestic Subsidiary and (ii) each First Tier Foreign Subsidiary.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Prepayment Event</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sale, transfer or other Disposition (including pursuant to a Sale and Leaseback Transaction) of any property or asset of the Borrower or any Subsidiary, other than dispositions described in Section 6.05(a) through (e) or (g) with a fair market value immediately prior to such event equal to or less than $500,000 for each individual event, or $5,000,000 in the aggregate for all such events in any fiscal year of the Borrower;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any casualty or other insured damage to, or any taking under power of eminent domain or by condemnation or similar proceeding of, any property or asset of the Borrower or any Subsidiary with a fair market value immediately prior to such event equal to or greater than $5,000,000.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Prime Rate</w:t>
      </w:r>
      <w:r>
        <w:rPr>
          <w:color w:val="000000"/>
        </w:rPr>
        <w:t xml:space="preserve">” </w:t>
      </w:r>
      <w:r>
        <w:rPr>
          <w:rFonts w:ascii="Times New Roman;serif" w:hAnsi="Times New Roman;serif"/>
          <w:b w:val="false"/>
          <w:color w:val="000000"/>
          <w:sz w:val="24"/>
        </w:rPr>
        <w:t xml:space="preserve">means the rate of interest last quoted by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 xml:space="preserve">as the “Prime Rate” in the U.S. or, if </w:t>
      </w:r>
      <w:r>
        <w:rPr>
          <w:rFonts w:ascii="Times New Roman;serif" w:hAnsi="Times New Roman;serif"/>
          <w:b w:val="false"/>
          <w:i/>
          <w:color w:val="000000"/>
          <w:sz w:val="24"/>
        </w:rPr>
        <w:t>The Wall Street Journal</w:t>
      </w:r>
      <w:r>
        <w:rPr>
          <w:color w:val="000000"/>
        </w:rPr>
        <w:t xml:space="preserve"> </w:t>
      </w:r>
      <w:r>
        <w:rPr>
          <w:rFonts w:ascii="Times New Roman;serif" w:hAnsi="Times New Roman;serif"/>
          <w:b w:val="false"/>
          <w:color w:val="000000"/>
          <w:sz w:val="24"/>
        </w:rPr>
        <w:t xml:space="preserve">ceases to quote such rate, the highest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Proceeding</w:t>
      </w:r>
      <w:r>
        <w:rPr>
          <w:color w:val="000000"/>
        </w:rPr>
        <w:t xml:space="preserve">” </w:t>
      </w:r>
      <w:r>
        <w:rPr>
          <w:rFonts w:ascii="Times New Roman;serif" w:hAnsi="Times New Roman;serif"/>
          <w:b w:val="false"/>
          <w:color w:val="000000"/>
          <w:sz w:val="24"/>
        </w:rPr>
        <w:t xml:space="preserve">means any claim, litigation, investigation, action, suit, arbitration or administrative, judicial or regulatory action or proceeding in any jurisdiction.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PTE</w:t>
      </w:r>
      <w:r>
        <w:rPr>
          <w:color w:val="000000"/>
        </w:rPr>
        <w:t xml:space="preserve">” </w:t>
      </w:r>
      <w:r>
        <w:rPr>
          <w:rFonts w:ascii="Times New Roman;serif" w:hAnsi="Times New Roman;serif"/>
          <w:b w:val="false"/>
          <w:color w:val="000000"/>
          <w:sz w:val="24"/>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QFC Credit Support</w:t>
      </w:r>
      <w:r>
        <w:rPr>
          <w:color w:val="000000"/>
        </w:rPr>
        <w:t xml:space="preserve">” </w:t>
      </w:r>
      <w:r>
        <w:rPr>
          <w:rFonts w:ascii="Times New Roman;serif" w:hAnsi="Times New Roman;serif"/>
          <w:b w:val="false"/>
          <w:color w:val="000000"/>
          <w:sz w:val="24"/>
        </w:rPr>
        <w:t>has the meaning assigned to it in Section 9.18.</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Receivables</w:t>
      </w:r>
      <w:r>
        <w:rPr>
          <w:color w:val="000000"/>
        </w:rPr>
        <w:t xml:space="preserve">” </w:t>
      </w:r>
      <w:r>
        <w:rPr>
          <w:rFonts w:ascii="Times New Roman;serif" w:hAnsi="Times New Roman;serif"/>
          <w:b w:val="false"/>
          <w:color w:val="000000"/>
          <w:sz w:val="24"/>
        </w:rPr>
        <w:t>means any right to payment created by or arising from sales of goods, leases of goods or the rendition of services rendered no matter how evidenced whether or not earned by performance (whether constituting accounts, general intangibles, chattel paper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Receivables Entity</w:t>
      </w:r>
      <w:r>
        <w:rPr>
          <w:color w:val="000000"/>
        </w:rPr>
        <w:t xml:space="preserve">” </w:t>
      </w:r>
      <w:r>
        <w:rPr>
          <w:rFonts w:ascii="Times New Roman;serif" w:hAnsi="Times New Roman;serif"/>
          <w:b w:val="false"/>
          <w:color w:val="000000"/>
          <w:sz w:val="24"/>
        </w:rPr>
        <w:t>means a wholly-owned Subsidiary of the Borrower which engages in no activities other than in connection with the financing of accounts receivable of the Receivables Sellers and which is designated (as provided below) as a “Receivables Entity” (a) no portion of the Indebtedness or any other obligations (contingent or otherwise) of which (i) is guaranteed by the Borrower or any other Subsidiary of the Borrower, (ii) is recourse to or obligates the Borrower or any other Subsidiary of the Borrower in any way (other than pursuant to Standard Securitization Undertakings) or (iii) subjects any property or asset of the Borrower or any other Subsidiary of the Borrower, directly or indirectly, contingently or otherwise, to the satisfaction thereof, other than pursuant to Standard Securitization Undertakings, (b) with which neither the Borrower nor any of its Subsidiaries has any contract, agreement, arrangement or understanding (other than pursuant to the Permitted Receivables Facility Documents (including with respect to fees payable in the ordinary course of business in connection with the servicing of accounts receivable and related assets)) on terms less favorable to the Borrower or such Subsidiary than those that might be obtained at the time from persons that are not Affiliates of the Borrower, and (c) to which neither the Borrower nor any other Subsidiary of the Borrower has any obligation to maintain or preserve such entity’s financial condition or cause such entity to achieve certain levels of operating results (other than pursuant to Standard Securitization Undertakings). Any such designation shall be evidenced to the Administrative Agent by delivering to the Administrative Agent an officer’s certificate of the Borrower certifying that, to the best of such officer’s knowledge and belief after consultation with counsel, such designation complied with the foregoing conditions.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Receivables Sellers</w:t>
      </w:r>
      <w:r>
        <w:rPr>
          <w:color w:val="000000"/>
        </w:rPr>
        <w:t xml:space="preserve">” </w:t>
      </w:r>
      <w:r>
        <w:rPr>
          <w:rFonts w:ascii="Times New Roman;serif" w:hAnsi="Times New Roman;serif"/>
          <w:b w:val="false"/>
          <w:color w:val="000000"/>
          <w:sz w:val="24"/>
        </w:rPr>
        <w:t>means the Borrower and those Subsidiaries that are from time to time party to the Permitted Receivables Facility Documents (other than any Receivables Entity).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Recipient</w:t>
      </w:r>
      <w:r>
        <w:rPr>
          <w:color w:val="000000"/>
        </w:rPr>
        <w:t xml:space="preserve">” </w:t>
      </w:r>
      <w:r>
        <w:rPr>
          <w:rFonts w:ascii="Times New Roman;serif" w:hAnsi="Times New Roman;serif"/>
          <w:b w:val="false"/>
          <w:color w:val="000000"/>
          <w:sz w:val="24"/>
        </w:rPr>
        <w:t>means (a) the Administrative Agent, (b) any Lender and (c) any Issuing Bank,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Reference Time</w:t>
      </w:r>
      <w:r>
        <w:rPr>
          <w:color w:val="000000"/>
        </w:rPr>
        <w:t xml:space="preserve">” </w:t>
      </w:r>
      <w:r>
        <w:rPr>
          <w:rFonts w:ascii="Times New Roman;serif" w:hAnsi="Times New Roman;serif"/>
          <w:b w:val="false"/>
          <w:color w:val="000000"/>
          <w:sz w:val="24"/>
        </w:rPr>
        <w:t xml:space="preserve">with respect to any setting of the then-current Benchmark means (1) if such Benchmark is the Term SOFR Rate, 5:00 a.m. (Chicago time) on the day that is two U.S. Government Securities Business Days preceding the date of such setting, (2) if such Benchmark is EURIBOR Rate, 11:00 a.m. Brussels time two TARGET Days preceding the date of such setting, (3) if such Benchmark is TIBOR Rate, 11:00 a.m. Japan time two Business Days preceding the date of such setting, (4) if, following a Benchmark Transition Event and Benchmark Replacement Date with respect to the Term SOFR Rate, the RFR for such Benchmark is Daily Simple SOFR, then four RFR Business Days prior to such setting or (5) if such Benchmark is none of the Term SOFR Rate, the EURIBOR Rate, the TIBOR Rate, or Daily Simple SOFR, the time determined by the Administrative Agent in its reasonable discretion.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Register</w:t>
      </w:r>
      <w:r>
        <w:rPr>
          <w:color w:val="000000"/>
        </w:rPr>
        <w:t xml:space="preserve">” </w:t>
      </w:r>
      <w:r>
        <w:rPr>
          <w:rFonts w:ascii="Times New Roman;serif" w:hAnsi="Times New Roman;serif"/>
          <w:b w:val="false"/>
          <w:color w:val="000000"/>
          <w:sz w:val="24"/>
        </w:rPr>
        <w:t>has the meaning assigned to such term in Section 9.04(b).</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Regulation D</w:t>
      </w:r>
      <w:r>
        <w:rPr>
          <w:color w:val="000000"/>
        </w:rPr>
        <w:t xml:space="preserve">” </w:t>
      </w:r>
      <w:r>
        <w:rPr>
          <w:rFonts w:ascii="Times New Roman;serif" w:hAnsi="Times New Roman;serif"/>
          <w:b w:val="false"/>
          <w:color w:val="000000"/>
          <w:sz w:val="24"/>
        </w:rPr>
        <w:t>means Regulation D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Regulation U</w:t>
      </w:r>
      <w:r>
        <w:rPr>
          <w:color w:val="000000"/>
        </w:rPr>
        <w:t xml:space="preserve">” </w:t>
      </w:r>
      <w:r>
        <w:rPr>
          <w:rFonts w:ascii="Times New Roman;serif" w:hAnsi="Times New Roman;serif"/>
          <w:b w:val="false"/>
          <w:color w:val="000000"/>
          <w:sz w:val="24"/>
        </w:rPr>
        <w:t>means Regulation U of the Federal Reserve Board, as in effect from time to time and all official rulings and interpretations thereunder or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Related Parties</w:t>
      </w:r>
      <w:r>
        <w:rPr>
          <w:color w:val="000000"/>
        </w:rPr>
        <w:t xml:space="preserve">” </w:t>
      </w:r>
      <w:r>
        <w:rPr>
          <w:rFonts w:ascii="Times New Roman;serif" w:hAnsi="Times New Roman;serif"/>
          <w:b w:val="false"/>
          <w:color w:val="000000"/>
          <w:sz w:val="24"/>
        </w:rPr>
        <w:t>means, with respect to any specified Person, such Person’s Affiliates and the respective directors, officers, employees, agents, advisors and representatives of such Person and such Person’s Affiliates.</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Relevant Governmental Body</w:t>
      </w:r>
      <w:r>
        <w:rPr>
          <w:color w:val="000000"/>
        </w:rPr>
        <w:t xml:space="preserve">” </w:t>
      </w:r>
      <w:r>
        <w:rPr>
          <w:rFonts w:ascii="Times New Roman;serif" w:hAnsi="Times New Roman;serif"/>
          <w:b w:val="false"/>
          <w:color w:val="000000"/>
          <w:sz w:val="24"/>
        </w:rPr>
        <w:t>means (i) with respect to a Benchmark Replacement in respect of Loans denominated in Dollars, the Federal Reserve Board and/or the NYFRB or a committee officially endorsed or convened by the Federal Reserve Board and/or the NYFRB or, in each case, any successor thereto, (ii) with respect to a Benchmark Replacement in respect of Loans denominated in Euros, the European Central Bank, or a committee officially endorsed or convened by the European Central Bank or, in each case, any successor thereto, (iii) with respect to a Benchmark Replacement in respect of Loans denominated in Yen, the Bank of Japan, or a committee officially endorsed or convened by the Bank of Japan or, in each case, any successor thereto, and (iv) with respect to a Benchmark Replacement in respect of Loans denominated in Canadian Dollars or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Relevant Rate</w:t>
      </w:r>
      <w:r>
        <w:rPr>
          <w:color w:val="000000"/>
        </w:rPr>
        <w:t xml:space="preserve">” </w:t>
      </w:r>
      <w:r>
        <w:rPr>
          <w:rFonts w:ascii="Times New Roman;serif" w:hAnsi="Times New Roman;serif"/>
          <w:b w:val="false"/>
          <w:color w:val="000000"/>
          <w:sz w:val="24"/>
        </w:rPr>
        <w:t>means (i) with respect to any Term Benchmark Borrowing denominated in Dollars, the Adjusted Term SOFR Rate, (ii) with respect to any Term Benchmark Borrowing denominated in Canadian Dollars, the CDOR Rate, (iii) with respect to any Term Benchmark Borrowing denominated in Euros, the Adjusted EURIBOR Rate, (iv) with respect to any Term Benchmark Borrowing denominated in Yen, the Adjusted TIBOR Rate, as applicable or (v) with respect to any RFR Borrowing denominated in Dollars, the Adjusted Daily Simple RFR,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Relevant Screen Rate</w:t>
      </w:r>
      <w:r>
        <w:rPr>
          <w:color w:val="000000"/>
        </w:rPr>
        <w:t xml:space="preserve">” </w:t>
      </w:r>
      <w:r>
        <w:rPr>
          <w:rFonts w:ascii="Times New Roman;serif" w:hAnsi="Times New Roman;serif"/>
          <w:b w:val="false"/>
          <w:color w:val="000000"/>
          <w:sz w:val="24"/>
        </w:rPr>
        <w:t>means (i) with respect to any Term Benchmark Borrowing denominated in Dollars, the Term SOFR Reference Rate, (ii) with respect to any Term Benchmark Borrowing denominated in Canadian Dollars, the CDOR Screen Rate, (iii) with respect to any Term Benchmark Borrowing denominated in Euros, the EURIBOR Screen Rate or (iv) with respect to any Term Benchmark Borrowing denominated in Yen, the TIBOR Screen Rate,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Reportable Event</w:t>
      </w:r>
      <w:r>
        <w:rPr>
          <w:color w:val="000000"/>
        </w:rPr>
        <w:t xml:space="preserve">” </w:t>
      </w:r>
      <w:r>
        <w:rPr>
          <w:rFonts w:ascii="Times New Roman;serif" w:hAnsi="Times New Roman;serif"/>
          <w:b w:val="false"/>
          <w:color w:val="000000"/>
          <w:sz w:val="24"/>
        </w:rPr>
        <w:t>means any of the events set forth in Section 4043(c) of ERISA, other than events for which the thirty (30) day notice period has been waived by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Required Lenders</w:t>
      </w:r>
      <w:r>
        <w:rPr>
          <w:color w:val="000000"/>
        </w:rPr>
        <w:t xml:space="preserve">” </w:t>
      </w:r>
      <w:r>
        <w:rPr>
          <w:rFonts w:ascii="Times New Roman;serif" w:hAnsi="Times New Roman;serif"/>
          <w:b w:val="false"/>
          <w:color w:val="000000"/>
          <w:sz w:val="24"/>
        </w:rPr>
        <w:t xml:space="preserve">means, subject to Section 2.20, (a) at any time prior to the earlier of the Loans becoming due and payable pursuant to Section 7.01 or the Commitments terminating or expiring, Lenders having Credit Exposures and Unfunded Commitments (and unused Term Loan Commitments, as applicable) representing more than 50% of the sum of the Total Credit Exposure and Unfunded Commitments (and unused Term Loan Commitments, as applicable)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solely for purposes of declaring the Loans to be due and payable pursuant to Section 7.01, the Unfunded Commitment of each Lender shall be deemed to be zero; and (b) for all purposes after the Loans become due and payable pursuant to Section 7.01 or the Commitments expire or terminate, Lenders having Credit Exposures representing more than 50% of the Total Credit Exposure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clauses (a) and (b) above, (x) the Revolving Credit Exposure of any Lender that is a Swingline Lender shall be deemed to exclude any amount of its Swingline Exposure in excess of its Applicable Percentage of all outstanding Swingline Loans, adjusted to give effect to any reallocation under Section 2.20 of the Swingline Exposures of Defaulting Lenders in effect at such time, and the Unfunded Commitment of such Lender shall be determined on the basis of its Revolving Credit Exposure excluding such excess amount and (y) for the purpose of determining the Required Lenders needed for any waiver, amendment, modification or consent of or under this Agreement or any other Loan Document, any Lender that is the Borrower or an Affiliate of the Borrower shall be disregarded.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Resolution Authority</w:t>
      </w:r>
      <w:r>
        <w:rPr>
          <w:color w:val="000000"/>
        </w:rPr>
        <w:t xml:space="preserve">” </w:t>
      </w:r>
      <w:r>
        <w:rPr>
          <w:rFonts w:ascii="Times New Roman;serif" w:hAnsi="Times New Roman;serif"/>
          <w:b w:val="false"/>
          <w:color w:val="000000"/>
          <w:sz w:val="24"/>
        </w:rPr>
        <w:t xml:space="preserve">means an EEA Resolution Authority or, with respect to any UK Financial Institution, a UK Resolution Authority.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Responsible Officer</w:t>
      </w:r>
      <w:r>
        <w:rPr>
          <w:color w:val="000000"/>
        </w:rPr>
        <w:t xml:space="preserve">” </w:t>
      </w:r>
      <w:r>
        <w:rPr>
          <w:rFonts w:ascii="Times New Roman;serif" w:hAnsi="Times New Roman;serif"/>
          <w:b w:val="false"/>
          <w:color w:val="000000"/>
          <w:sz w:val="24"/>
        </w:rPr>
        <w:t>means the president, Financial Officer or other executive officer of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Restricted Payment</w:t>
      </w:r>
      <w:r>
        <w:rPr>
          <w:color w:val="000000"/>
        </w:rPr>
        <w:t xml:space="preserve">” </w:t>
      </w:r>
      <w:r>
        <w:rPr>
          <w:rFonts w:ascii="Times New Roman;serif" w:hAnsi="Times New Roman;serif"/>
          <w:b w:val="false"/>
          <w:color w:val="000000"/>
          <w:sz w:val="24"/>
        </w:rPr>
        <w:t>means any dividend or other distribution (whether in cash, securities or other property) with respect to any Equity Interests in the Borrower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Reuters</w:t>
      </w:r>
      <w:r>
        <w:rPr>
          <w:color w:val="000000"/>
        </w:rPr>
        <w:t xml:space="preserve">” </w:t>
      </w:r>
      <w:r>
        <w:rPr>
          <w:rFonts w:ascii="Times New Roman;serif" w:hAnsi="Times New Roman;serif"/>
          <w:b w:val="false"/>
          <w:color w:val="000000"/>
          <w:sz w:val="24"/>
        </w:rPr>
        <w:t xml:space="preserve">means, as applicable, Thomson Reuters Corp., Refinitiv, or any successor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Revaluation Date</w:t>
      </w:r>
      <w:r>
        <w:rPr>
          <w:color w:val="000000"/>
        </w:rPr>
        <w:t xml:space="preserve">” </w:t>
      </w:r>
      <w:r>
        <w:rPr>
          <w:rFonts w:ascii="Times New Roman;serif" w:hAnsi="Times New Roman;serif"/>
          <w:b w:val="false"/>
          <w:color w:val="000000"/>
          <w:sz w:val="24"/>
        </w:rPr>
        <w:t xml:space="preserve">shall mean (a) with respect to any Loan denominated in any Foreign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then the last day of such month); (b) with respect to any Letter of Credit denominated in a Foreign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Revolving Borrowing</w:t>
      </w:r>
      <w:r>
        <w:rPr>
          <w:color w:val="000000"/>
        </w:rPr>
        <w:t xml:space="preserve">” </w:t>
      </w:r>
      <w:r>
        <w:rPr>
          <w:rFonts w:ascii="Times New Roman;serif" w:hAnsi="Times New Roman;serif"/>
          <w:b w:val="false"/>
          <w:color w:val="000000"/>
          <w:sz w:val="24"/>
        </w:rPr>
        <w:t>means Revolving Loans of the same Type and Agreed Currency, made, converted or continued on the same date and, in the case of Term Benchmark Loans, as to which a single Interest Period is in effect.</w:t>
      </w:r>
    </w:p>
    <w:p>
      <w:pPr>
        <w:pStyle w:val="TextBody"/>
        <w:bidi w:val="0"/>
        <w:spacing w:lineRule="auto" w:line="288" w:before="0" w:after="240"/>
        <w:ind w:left="0" w:right="0" w:firstLine="720"/>
        <w:jc w:val="both"/>
        <w:rPr/>
      </w:pPr>
      <w:r>
        <w:rPr>
          <w:rFonts w:ascii="Times New Roman;serif" w:hAnsi="Times New Roman;serif"/>
          <w:b/>
          <w:i/>
          <w:color w:val="000000"/>
          <w:sz w:val="24"/>
        </w:rPr>
        <w:t>Revolving Commitment</w:t>
      </w:r>
      <w:r>
        <w:rPr>
          <w:color w:val="000000"/>
        </w:rPr>
        <w:t xml:space="preserve">” </w:t>
      </w:r>
      <w:r>
        <w:rPr>
          <w:rFonts w:ascii="Times New Roman;serif" w:hAnsi="Times New Roman;serif"/>
          <w:b w:val="false"/>
          <w:color w:val="000000"/>
          <w:sz w:val="24"/>
        </w:rPr>
        <w:t xml:space="preserve">means, with respect to each Lender, the amount under the column “Revolving Commitment” set forth on Schedule 2.01A opposite such Lender’s name, or in the applicable documentation or record (as such term is defined in Section 9-102(a)(70) of the UCC) as provided in Section 9.04(b)(ii)(C), pursuant to which such Lender shall have assumed its Revolving Commitment pursuant to the terms hereof, as applicable, and giving effect to (a) any reduction in such amount from time to time pursuant to Section 2.09 and (b) any reduction or increase in such amount from time to time pursuant to assignments by or to such Lender pursuant to Section 9.04;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no time shall the Revolving Credit Exposure of any Lender exceed its Revolving Commitment. The initial aggregate amount of the Revolving Lenders’ Revolving Commitments is $190,000,000.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Revolving Credit Exposure</w:t>
      </w:r>
      <w:r>
        <w:rPr>
          <w:color w:val="000000"/>
        </w:rPr>
        <w:t xml:space="preserve">” </w:t>
      </w:r>
      <w:r>
        <w:rPr>
          <w:rFonts w:ascii="Times New Roman;serif" w:hAnsi="Times New Roman;serif"/>
          <w:b w:val="false"/>
          <w:color w:val="000000"/>
          <w:sz w:val="24"/>
        </w:rPr>
        <w:t>means, with respect to any Lender at any time, the sum of the outstanding principal amount of such Lender’s Revolving Loans, its LC Exposure and its Swingline Exposure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Revolving Lender</w:t>
      </w:r>
      <w:r>
        <w:rPr>
          <w:color w:val="000000"/>
        </w:rPr>
        <w:t xml:space="preserve">” </w:t>
      </w:r>
      <w:r>
        <w:rPr>
          <w:rFonts w:ascii="Times New Roman;serif" w:hAnsi="Times New Roman;serif"/>
          <w:b w:val="false"/>
          <w:color w:val="000000"/>
          <w:sz w:val="24"/>
        </w:rPr>
        <w:t>means, as of any date of determination, each Lender that has a Revolving Commitment or, if the Revolving Commitments have terminated or expired, a Lender with Revolving Credit Exposure.</w:t>
      </w:r>
    </w:p>
    <w:p>
      <w:pPr>
        <w:pStyle w:val="TextBody"/>
        <w:bidi w:val="0"/>
        <w:spacing w:lineRule="auto" w:line="288" w:before="0" w:after="240"/>
        <w:ind w:left="0" w:right="0" w:firstLine="720"/>
        <w:jc w:val="both"/>
        <w:rPr/>
      </w:pPr>
      <w:r>
        <w:rPr>
          <w:rFonts w:ascii="Times New Roman;serif" w:hAnsi="Times New Roman;serif"/>
          <w:b/>
          <w:i/>
          <w:color w:val="000000"/>
          <w:sz w:val="24"/>
        </w:rPr>
        <w:t>Revolving Loan</w:t>
      </w:r>
      <w:r>
        <w:rPr>
          <w:color w:val="000000"/>
        </w:rPr>
        <w:t xml:space="preserve">” </w:t>
      </w:r>
      <w:r>
        <w:rPr>
          <w:rFonts w:ascii="Times New Roman;serif" w:hAnsi="Times New Roman;serif"/>
          <w:b w:val="false"/>
          <w:color w:val="000000"/>
          <w:sz w:val="24"/>
        </w:rPr>
        <w:t>means a Loan made by a Revolving Lender pursuant to Section 2.01(a).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w:t>
      </w:r>
      <w:r>
        <w:rPr>
          <w:color w:val="000000"/>
        </w:rPr>
        <w:t xml:space="preserve">” </w:t>
      </w:r>
      <w:r>
        <w:rPr>
          <w:rFonts w:ascii="Times New Roman;serif" w:hAnsi="Times New Roman;serif"/>
          <w:b w:val="false"/>
          <w:color w:val="000000"/>
          <w:sz w:val="24"/>
        </w:rPr>
        <w:t>means, for any RFR Loan denominated in Dollars, Daily Simple SOFR.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 Administrator</w:t>
      </w:r>
      <w:r>
        <w:rPr>
          <w:color w:val="000000"/>
        </w:rPr>
        <w:t xml:space="preserve">” </w:t>
      </w:r>
      <w:r>
        <w:rPr>
          <w:rFonts w:ascii="Times New Roman;serif" w:hAnsi="Times New Roman;serif"/>
          <w:b w:val="false"/>
          <w:color w:val="000000"/>
          <w:sz w:val="24"/>
        </w:rPr>
        <w:t>means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 Borrowing</w:t>
      </w:r>
      <w:r>
        <w:rPr>
          <w:color w:val="000000"/>
        </w:rPr>
        <w:t xml:space="preserve">” </w:t>
      </w:r>
      <w:r>
        <w:rPr>
          <w:rFonts w:ascii="Times New Roman;serif" w:hAnsi="Times New Roman;serif"/>
          <w:b w:val="false"/>
          <w:color w:val="000000"/>
          <w:sz w:val="24"/>
        </w:rPr>
        <w:t>means, as to any Borrowing, the RFR Loans comprising such Borrowing.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 Business Day</w:t>
      </w:r>
      <w:r>
        <w:rPr>
          <w:color w:val="000000"/>
        </w:rPr>
        <w:t xml:space="preserve">” </w:t>
      </w:r>
      <w:r>
        <w:rPr>
          <w:rFonts w:ascii="Times New Roman;serif" w:hAnsi="Times New Roman;serif"/>
          <w:b w:val="false"/>
          <w:color w:val="000000"/>
          <w:sz w:val="24"/>
        </w:rPr>
        <w:t>means, for any Loan denominated in Dollars,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 Interest Day</w:t>
      </w:r>
      <w:r>
        <w:rPr>
          <w:color w:val="000000"/>
        </w:rPr>
        <w:t xml:space="preserve">” </w:t>
      </w:r>
      <w:r>
        <w:rPr>
          <w:rFonts w:ascii="Times New Roman;serif" w:hAnsi="Times New Roman;serif"/>
          <w:b w:val="false"/>
          <w:color w:val="000000"/>
          <w:sz w:val="24"/>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RFR Loan</w:t>
      </w:r>
      <w:r>
        <w:rPr>
          <w:color w:val="000000"/>
        </w:rPr>
        <w:t xml:space="preserve">” </w:t>
      </w:r>
      <w:r>
        <w:rPr>
          <w:rFonts w:ascii="Times New Roman;serif" w:hAnsi="Times New Roman;serif"/>
          <w:b w:val="false"/>
          <w:color w:val="000000"/>
          <w:sz w:val="24"/>
        </w:rPr>
        <w:t>means a Loan that bears interest at a rate based on the Adjusted Daily Simple RFR.</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S&amp;P</w:t>
      </w:r>
      <w:r>
        <w:rPr>
          <w:color w:val="000000"/>
        </w:rPr>
        <w:t xml:space="preserve">” </w:t>
      </w:r>
      <w:r>
        <w:rPr>
          <w:rFonts w:ascii="Times New Roman;serif" w:hAnsi="Times New Roman;serif"/>
          <w:b w:val="false"/>
          <w:color w:val="000000"/>
          <w:sz w:val="24"/>
        </w:rPr>
        <w:t>means Standard &amp; Poor’s Rating Services, a Standard &amp; Poor’s Financial Services LLC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Sale and Leaseback Transaction</w:t>
      </w:r>
      <w:r>
        <w:rPr>
          <w:color w:val="000000"/>
        </w:rPr>
        <w:t xml:space="preserve">” </w:t>
      </w:r>
      <w:r>
        <w:rPr>
          <w:rFonts w:ascii="Times New Roman;serif" w:hAnsi="Times New Roman;serif"/>
          <w:b w:val="false"/>
          <w:color w:val="000000"/>
          <w:sz w:val="24"/>
        </w:rPr>
        <w:t xml:space="preserve">means any sale or other transfer of any property or asset by any Person with the intent to lease such property or asset as lessee.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Sanctioned Country</w:t>
      </w:r>
      <w:r>
        <w:rPr>
          <w:color w:val="000000"/>
        </w:rPr>
        <w:t xml:space="preserve">” </w:t>
      </w:r>
      <w:r>
        <w:rPr>
          <w:rFonts w:ascii="Times New Roman;serif" w:hAnsi="Times New Roman;serif"/>
          <w:b w:val="false"/>
          <w:color w:val="000000"/>
          <w:sz w:val="24"/>
        </w:rPr>
        <w:t>means, at any time, a country, region or territory which is itself the subject or target of any Sanctions (at the time of this Agreement, the so-called Donetsk People’s Republic, the so-called Luhansk People’s Republic, the Crimea Region of Ukraine, Cuba, Iran, North Korea and Syria).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Sanctioned Person</w:t>
      </w:r>
      <w:r>
        <w:rPr>
          <w:color w:val="000000"/>
        </w:rPr>
        <w:t xml:space="preserve">” </w:t>
      </w:r>
      <w:r>
        <w:rPr>
          <w:rFonts w:ascii="Times New Roman;serif" w:hAnsi="Times New Roman;serif"/>
          <w:b w:val="false"/>
          <w:color w:val="000000"/>
          <w:sz w:val="24"/>
        </w:rPr>
        <w:t>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Sanctions</w:t>
      </w:r>
      <w:r>
        <w:rPr>
          <w:color w:val="000000"/>
        </w:rPr>
        <w:t xml:space="preserve">” </w:t>
      </w:r>
      <w:r>
        <w:rPr>
          <w:rFonts w:ascii="Times New Roman;serif" w:hAnsi="Times New Roman;serif"/>
          <w:b w:val="false"/>
          <w:color w:val="000000"/>
          <w:sz w:val="24"/>
        </w:rPr>
        <w:t>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w:t>
      </w:r>
      <w:r>
        <w:rPr>
          <w:color w:val="000000"/>
        </w:rPr>
        <w:t xml:space="preserve">” </w:t>
      </w:r>
      <w:r>
        <w:rPr>
          <w:rFonts w:ascii="Times New Roman;serif" w:hAnsi="Times New Roman;serif"/>
          <w:b w:val="false"/>
          <w:color w:val="000000"/>
          <w:sz w:val="24"/>
        </w:rPr>
        <w:t>means the Securities and Exchange Commission of the United States of America.</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Secured Debt</w:t>
      </w:r>
      <w:r>
        <w:rPr>
          <w:color w:val="000000"/>
        </w:rPr>
        <w:t xml:space="preserve">” </w:t>
      </w:r>
      <w:r>
        <w:rPr>
          <w:rFonts w:ascii="Times New Roman;serif" w:hAnsi="Times New Roman;serif"/>
          <w:b w:val="false"/>
          <w:color w:val="000000"/>
          <w:sz w:val="24"/>
        </w:rPr>
        <w:t>means, as of any date of determination thereof, all outstanding Indebtedness for borrowed money and other interest-bearing Indebtedness, including current and long term Indebtedness, that, as of such date, is secured by Liens on property or assets of the Borrower or any of its Subsidiaries, but excluding (i) the capital lease between the Borrower and S.J. Vahaviolos Partners L.L.C. relating to the Borrower’s occupancy of the premises located at 195 Clarksville Road, Princeton Junction, New Jersey and (ii) Attributable Receivables Indebtedness under any Permitted Receivables Facility.</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Secured Leverage Ratio</w:t>
      </w:r>
      <w:r>
        <w:rPr>
          <w:color w:val="000000"/>
        </w:rPr>
        <w:t xml:space="preserve">” </w:t>
      </w:r>
      <w:r>
        <w:rPr>
          <w:rFonts w:ascii="Times New Roman;serif" w:hAnsi="Times New Roman;serif"/>
          <w:b w:val="false"/>
          <w:color w:val="000000"/>
          <w:sz w:val="24"/>
        </w:rPr>
        <w:t>means, as of any date of determination, the ratio of (a) Secured Debt as of said date of determination -</w:t>
      </w:r>
      <w:r>
        <w:rPr>
          <w:rFonts w:ascii="Times New Roman;serif" w:hAnsi="Times New Roman;serif"/>
          <w:b w:val="false"/>
          <w:i/>
          <w:color w:val="000000"/>
          <w:sz w:val="24"/>
        </w:rPr>
        <w:t xml:space="preserve">to- </w:t>
      </w:r>
      <w:r>
        <w:rPr>
          <w:rFonts w:ascii="Times New Roman;serif" w:hAnsi="Times New Roman;serif"/>
          <w:b w:val="false"/>
          <w:color w:val="000000"/>
          <w:sz w:val="24"/>
        </w:rPr>
        <w:t>(b) EBITDA for the period of four consecutive fiscal quarters immediately preceding said date of determination, taken together as one accounting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Secured Obligations</w:t>
      </w:r>
      <w:r>
        <w:rPr>
          <w:color w:val="000000"/>
        </w:rPr>
        <w:t xml:space="preserve">” </w:t>
      </w:r>
      <w:r>
        <w:rPr>
          <w:rFonts w:ascii="Times New Roman;serif" w:hAnsi="Times New Roman;serif"/>
          <w:b w:val="false"/>
          <w:color w:val="000000"/>
          <w:sz w:val="24"/>
        </w:rPr>
        <w:t xml:space="preserve">means all Obligations, together with all Swap Obligations and Banking Services Obligations owing to one or more Lenders or their respective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definition of “Secured Obligations” shall not create or include any guarantee by any Loan Party of (or grant of security interest by any Loan Party to support, as applicable) any Excluded Swap Obligations of such Loan Party for purposes of determining any obligations of any Loan Party.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Secured Parties</w:t>
      </w:r>
      <w:r>
        <w:rPr>
          <w:color w:val="000000"/>
        </w:rPr>
        <w:t xml:space="preserve">” </w:t>
      </w:r>
      <w:r>
        <w:rPr>
          <w:rFonts w:ascii="Times New Roman;serif" w:hAnsi="Times New Roman;serif"/>
          <w:b w:val="false"/>
          <w:color w:val="000000"/>
          <w:sz w:val="24"/>
        </w:rPr>
        <w:t>means the holders of the Secured Obligations from time to time and shall include (i) each Lender and the Issuing Bank in respect of its Loans and LC Exposure respectively, (ii) the Administrative Agent, the Issuing Bank and the Lenders in respect of all other present and future obligations and liabilities of the Borrower and each Subsidiary of every type and description arising under or in connection with this Agreement or any other Loan Document, (iii) each Lender and Affiliate of such Lender in respect of Swap Agreements and Banking Services Agreements entered into with such Person by the Borrower or any Subsidiary, (iv) each indemnified party under Section 9.03 in respect of the obligations and liabilities of the Borrower to such Person hereunder and under the other Loan Documents, and (v) their respective successors and (in the case of a Lender, permitted) transferees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Securities Act</w:t>
      </w:r>
      <w:r>
        <w:rPr>
          <w:color w:val="000000"/>
        </w:rPr>
        <w:t xml:space="preserve">” </w:t>
      </w:r>
      <w:r>
        <w:rPr>
          <w:rFonts w:ascii="Times New Roman;serif" w:hAnsi="Times New Roman;serif"/>
          <w:b w:val="false"/>
          <w:color w:val="000000"/>
          <w:sz w:val="24"/>
        </w:rPr>
        <w:t>means the United States Securities Act of 1933.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Securities Laws</w:t>
      </w:r>
      <w:r>
        <w:rPr>
          <w:color w:val="000000"/>
        </w:rPr>
        <w:t xml:space="preserve">” </w:t>
      </w:r>
      <w:r>
        <w:rPr>
          <w:rFonts w:ascii="Times New Roman;serif" w:hAnsi="Times New Roman;serif"/>
          <w:b w:val="false"/>
          <w:color w:val="000000"/>
          <w:sz w:val="24"/>
        </w:rPr>
        <w:t>means the Securities Act, the Securities Exchange Act of 1934, Sarbanes-Oxley and the applicable accounting and auditing principles, rules, standards and practices promulgated, approved or incorporated by the SEC or the PCAOB.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Security Agreement</w:t>
      </w:r>
      <w:r>
        <w:rPr>
          <w:color w:val="000000"/>
        </w:rPr>
        <w:t xml:space="preserve">” </w:t>
      </w:r>
      <w:r>
        <w:rPr>
          <w:rFonts w:ascii="Times New Roman;serif" w:hAnsi="Times New Roman;serif"/>
          <w:b w:val="false"/>
          <w:color w:val="000000"/>
          <w:sz w:val="24"/>
        </w:rPr>
        <w:t>means that certain Security and Pledge Agreement (including any and all supplements thereto), dated as of the date hereof, between the Loan Parties and the Administrative Agent, for the benefit of the Administrative Agent and the other Secured Parties, and any other security agreement or pledge agreement entered into, after the date of this Agreement by any other Loan Party (as required by this Agreement or any other Loan Document), or any other Person, as the same may be amended, restated or otherwise modified from time to time.</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Senior Secured Debt</w:t>
      </w:r>
      <w:r>
        <w:rPr>
          <w:color w:val="000000"/>
        </w:rPr>
        <w:t xml:space="preserve">” </w:t>
      </w:r>
      <w:r>
        <w:rPr>
          <w:rFonts w:ascii="Times New Roman;serif" w:hAnsi="Times New Roman;serif"/>
          <w:b w:val="false"/>
          <w:color w:val="000000"/>
          <w:sz w:val="24"/>
        </w:rPr>
        <w:t>means, as of any date of determination thereof, all outstanding Indebtedness for borrowed money and other interest-bearing Indebtedness, including current and long term Indebtedness, that, as of such date, is secured by Liens on property or assets of the Borrower or any of its Subsidiaries, but excluding (i) Subordinated Indebtedness, (ii) the capital lease between the Borrower and S.J. Vahaviolos Partners L.L.C. relating to the Borrower’s occupancy of the premises located at 195 Clarksville Road, Princeton Junction, New Jersey and (iii) and (b) Attributable Receivables Indebtedness under any Permitted Receivables Facility.</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Senior Secured Leverage Ratio</w:t>
      </w:r>
      <w:r>
        <w:rPr>
          <w:color w:val="000000"/>
        </w:rPr>
        <w:t xml:space="preserve">” </w:t>
      </w:r>
      <w:r>
        <w:rPr>
          <w:rFonts w:ascii="Times New Roman;serif" w:hAnsi="Times New Roman;serif"/>
          <w:b w:val="false"/>
          <w:color w:val="000000"/>
          <w:sz w:val="24"/>
        </w:rPr>
        <w:t>means, as of any date of determination, the ratio of (a) Senior Secured Debt as of said date of determination -</w:t>
      </w:r>
      <w:r>
        <w:rPr>
          <w:rFonts w:ascii="Times New Roman;serif" w:hAnsi="Times New Roman;serif"/>
          <w:b w:val="false"/>
          <w:i/>
          <w:color w:val="000000"/>
          <w:sz w:val="24"/>
        </w:rPr>
        <w:t xml:space="preserve">to- </w:t>
      </w:r>
      <w:r>
        <w:rPr>
          <w:rFonts w:ascii="Times New Roman;serif" w:hAnsi="Times New Roman;serif"/>
          <w:b w:val="false"/>
          <w:color w:val="000000"/>
          <w:sz w:val="24"/>
        </w:rPr>
        <w:t>(b) EBITDA for the period of four consecutive fiscal quarters immediately preceding said date of determination, taken together as one accounting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SOFR</w:t>
      </w:r>
      <w:r>
        <w:rPr>
          <w:color w:val="000000"/>
        </w:rPr>
        <w:t xml:space="preserve">” </w:t>
      </w:r>
      <w:r>
        <w:rPr>
          <w:rFonts w:ascii="Times New Roman;serif" w:hAnsi="Times New Roman;serif"/>
          <w:b w:val="false"/>
          <w:color w:val="000000"/>
          <w:sz w:val="24"/>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SOFR Administrator</w:t>
      </w:r>
      <w:r>
        <w:rPr>
          <w:color w:val="000000"/>
        </w:rPr>
        <w:t xml:space="preserve">” </w:t>
      </w:r>
      <w:r>
        <w:rPr>
          <w:rFonts w:ascii="Times New Roman;serif" w:hAnsi="Times New Roman;serif"/>
          <w:b w:val="false"/>
          <w:color w:val="000000"/>
          <w:sz w:val="24"/>
        </w:rPr>
        <w:t>means the NYFRB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SOFR Administrator’s Website</w:t>
      </w:r>
      <w:r>
        <w:rPr>
          <w:color w:val="000000"/>
        </w:rPr>
        <w:t xml:space="preserve">” </w:t>
      </w:r>
      <w:r>
        <w:rPr>
          <w:rFonts w:ascii="Times New Roman;serif" w:hAnsi="Times New Roman;serif"/>
          <w:b w:val="false"/>
          <w:color w:val="000000"/>
          <w:sz w:val="24"/>
        </w:rPr>
        <w:t>means the NYFRB’s Website, currently at http://www.newyorkfed.org, or any successor source for the secured overnight financing rate identified as such by the SOFR Administrator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SOFR Determination Date</w:t>
      </w:r>
      <w:r>
        <w:rPr>
          <w:color w:val="000000"/>
        </w:rPr>
        <w:t xml:space="preserve">” </w:t>
      </w:r>
      <w:r>
        <w:rPr>
          <w:rFonts w:ascii="Times New Roman;serif" w:hAnsi="Times New Roman;serif"/>
          <w:b w:val="false"/>
          <w:color w:val="000000"/>
          <w:sz w:val="24"/>
        </w:rPr>
        <w:t>has the meaning specified in the definition of “Daily Simple SOFR”.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SOFR Rate Day</w:t>
      </w:r>
      <w:r>
        <w:rPr>
          <w:color w:val="000000"/>
        </w:rPr>
        <w:t xml:space="preserve">” </w:t>
      </w:r>
      <w:r>
        <w:rPr>
          <w:rFonts w:ascii="Times New Roman;serif" w:hAnsi="Times New Roman;serif"/>
          <w:b w:val="false"/>
          <w:color w:val="000000"/>
          <w:sz w:val="24"/>
        </w:rPr>
        <w:t>has the meaning specified in the definition of “Daily Simple SOFR”.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Solvent</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Solvency</w:t>
      </w:r>
      <w:r>
        <w:rPr>
          <w:color w:val="000000"/>
        </w:rPr>
        <w:t xml:space="preserve">” </w:t>
      </w:r>
      <w:r>
        <w:rPr>
          <w:rFonts w:ascii="Times New Roman;serif" w:hAnsi="Times New Roman;serif"/>
          <w:b w:val="false"/>
          <w:color w:val="000000"/>
          <w:sz w:val="24"/>
        </w:rPr>
        <w:t>means,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Specified Ancillary Obligations</w:t>
      </w:r>
      <w:r>
        <w:rPr>
          <w:color w:val="000000"/>
        </w:rPr>
        <w:t xml:space="preserve">” </w:t>
      </w:r>
      <w:r>
        <w:rPr>
          <w:rFonts w:ascii="Times New Roman;serif" w:hAnsi="Times New Roman;serif"/>
          <w:b w:val="false"/>
          <w:color w:val="000000"/>
          <w:sz w:val="24"/>
        </w:rPr>
        <w:t>means all obligations and liabilities (including interest and fees accruing during the pendency of any bankruptcy, insolvency, receivership or other similar proceeding, regardless of whether allowed or allowable in such proceeding) of any of the Subsidiaries, existing on the Effective Date or arising thereafter, direct or indirect, joint or several, absolute or contingent, matured or unmatured, liquidated or unliquidated, secured or unsecured, arising by contract, operation of law or otherwise, to the Lenders or any of their Affiliates under any Swap Agreement or any Banking Services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Specified Swap Obligation</w:t>
      </w:r>
      <w:r>
        <w:rPr>
          <w:color w:val="000000"/>
        </w:rPr>
        <w:t xml:space="preserve">” </w:t>
      </w:r>
      <w:r>
        <w:rPr>
          <w:rFonts w:ascii="Times New Roman;serif" w:hAnsi="Times New Roman;serif"/>
          <w:b w:val="false"/>
          <w:color w:val="000000"/>
          <w:sz w:val="24"/>
        </w:rPr>
        <w:t>means, with respect to any Loan Party, any obligation to pay or perform under any agreement, contract or transaction that constitutes a “swap” within the meaning of Section 1a(47) of the Commodity Exchange Act or any rules or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Standard Securitization Undertakings</w:t>
      </w:r>
      <w:r>
        <w:rPr>
          <w:color w:val="000000"/>
        </w:rPr>
        <w:t xml:space="preserve">” </w:t>
      </w:r>
      <w:r>
        <w:rPr>
          <w:rFonts w:ascii="Times New Roman;serif" w:hAnsi="Times New Roman;serif"/>
          <w:b w:val="false"/>
          <w:color w:val="000000"/>
          <w:sz w:val="24"/>
        </w:rPr>
        <w:t>means representations, warranties, covenants and indemnities entered into by the Borrower or any Subsidiary thereof in connection with the Permitted Receivables Facility which are reasonably customary in an accounts receivable financing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Statutory Reserve Rate</w:t>
      </w:r>
      <w:r>
        <w:rPr>
          <w:color w:val="000000"/>
        </w:rPr>
        <w:t xml:space="preserve">” </w:t>
      </w:r>
      <w:r>
        <w:rPr>
          <w:rFonts w:ascii="Times New Roman;serif" w:hAnsi="Times New Roman;serif"/>
          <w:b w:val="false"/>
          <w:color w:val="000000"/>
          <w:sz w:val="24"/>
        </w:rPr>
        <w:t xml:space="preserve">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or Adjusted TIBOR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Subordination Agreement</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Subordination Agreements</w:t>
      </w:r>
      <w:r>
        <w:rPr>
          <w:color w:val="000000"/>
        </w:rPr>
        <w:t xml:space="preserve">” </w:t>
      </w:r>
      <w:r>
        <w:rPr>
          <w:rFonts w:ascii="Times New Roman;serif" w:hAnsi="Times New Roman;serif"/>
          <w:b w:val="false"/>
          <w:color w:val="000000"/>
          <w:sz w:val="24"/>
        </w:rPr>
        <w:t>means any subordination agreement in form and substance reasonably satisfactory to the Administrative Agent entered into by the Borrower or any Subsidiary in connection with Subordinated Indebtedness, as any such subordination agreement may be from time to time amended, modified, extended, renewed, substituted, and/or supplemented.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Subordinated Indebtedness</w:t>
      </w:r>
      <w:r>
        <w:rPr>
          <w:color w:val="000000"/>
        </w:rPr>
        <w:t xml:space="preserve">” </w:t>
      </w:r>
      <w:r>
        <w:rPr>
          <w:rFonts w:ascii="Times New Roman;serif" w:hAnsi="Times New Roman;serif"/>
          <w:b w:val="false"/>
          <w:color w:val="000000"/>
          <w:sz w:val="24"/>
        </w:rPr>
        <w:t>means a collective reference to any Indebtedness entered into by the Borrower or any Subsidiary the payment of which is subordinated to payment of the obligations under the Loan Documents, which Indebtedness is subject to a Subordination Agreement in favor of the Administrative Agent, for the benefit of the Secured Parties, as any such Indebtedness may be from time to time amended, modified, extended, renewed, substituted, and/or supplemented in accordance with the terms hereof, thereof and the applicable Subordination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with respect to any Person (the “</w:t>
      </w:r>
      <w:r>
        <w:rPr>
          <w:rFonts w:ascii="Times New Roman;serif" w:hAnsi="Times New Roman;serif"/>
          <w:b/>
          <w:i/>
          <w:color w:val="000000"/>
          <w:sz w:val="24"/>
        </w:rPr>
        <w:t>parent</w:t>
      </w:r>
      <w:r>
        <w:rPr>
          <w:color w:val="000000"/>
        </w:rPr>
        <w:t>”</w:t>
      </w:r>
      <w:r>
        <w:rPr>
          <w:rFonts w:ascii="Times New Roman;serif" w:hAnsi="Times New Roman;serif"/>
          <w:b w:val="false"/>
          <w:color w:val="000000"/>
          <w:sz w:val="24"/>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val="false"/>
          <w:color w:val="000000"/>
          <w:sz w:val="24"/>
        </w:rPr>
        <w:t>means any subsidiary of the Borrower.</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Subsidiary</w:t>
      </w:r>
      <w:r>
        <w:rPr>
          <w:color w:val="000000"/>
        </w:rPr>
        <w:t xml:space="preserve"> </w:t>
      </w:r>
      <w:r>
        <w:rPr>
          <w:rFonts w:ascii="Times New Roman;serif" w:hAnsi="Times New Roman;serif"/>
          <w:b/>
          <w:i/>
          <w:color w:val="000000"/>
          <w:sz w:val="24"/>
        </w:rPr>
        <w:t>Guarantor</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Subsidiary</w:t>
      </w:r>
      <w:r>
        <w:rPr>
          <w:color w:val="000000"/>
        </w:rPr>
        <w:t xml:space="preserve"> </w:t>
      </w:r>
      <w:r>
        <w:rPr>
          <w:rFonts w:ascii="Times New Roman;serif" w:hAnsi="Times New Roman;serif"/>
          <w:b/>
          <w:i/>
          <w:color w:val="000000"/>
          <w:sz w:val="24"/>
        </w:rPr>
        <w:t>Guarantors</w:t>
      </w:r>
      <w:r>
        <w:rPr>
          <w:color w:val="000000"/>
        </w:rPr>
        <w:t xml:space="preserve">” </w:t>
      </w:r>
      <w:r>
        <w:rPr>
          <w:rFonts w:ascii="Times New Roman;serif" w:hAnsi="Times New Roman;serif"/>
          <w:b w:val="false"/>
          <w:color w:val="000000"/>
          <w:sz w:val="24"/>
        </w:rPr>
        <w:t xml:space="preserve">means, individually and collectively, as the context may require, (a) Mistras International Holdings Inc., a Delaware corporation, (b) West Penn Non-Destructive Testing, LLC, a Pennsylvania limited liability company, and (c) any additional guarantors added pursuant to the terms, conditions, and provisions of Section 5.13 hereof, all on a joint and several basis. </w: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Subsidiary Guaranty</w:t>
      </w:r>
      <w:r>
        <w:rPr>
          <w:color w:val="000000"/>
        </w:rPr>
        <w:t xml:space="preserve">” </w:t>
      </w:r>
      <w:r>
        <w:rPr>
          <w:rFonts w:ascii="Times New Roman;serif" w:hAnsi="Times New Roman;serif"/>
          <w:b w:val="false"/>
          <w:color w:val="000000"/>
          <w:sz w:val="24"/>
        </w:rPr>
        <w:t>means the Guaranty Agreement dated of even date herewith executed and delivered by the Subsidiary Guarantors, on a joint and several basis, in favor of Administrative Agent, for the benefit of the Secured Parties, as said Guaranty Agreement may be from time to time amended, modified, extended, renewed, substituted, and/or supplemented.</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Supported QFC</w:t>
      </w:r>
      <w:r>
        <w:rPr>
          <w:color w:val="000000"/>
        </w:rPr>
        <w:t xml:space="preserve">” </w:t>
      </w:r>
      <w:r>
        <w:rPr>
          <w:rFonts w:ascii="Times New Roman;serif" w:hAnsi="Times New Roman;serif"/>
          <w:b w:val="false"/>
          <w:color w:val="000000"/>
          <w:sz w:val="24"/>
        </w:rPr>
        <w:t>has the meaning assigned to it in Section 9.18.</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Swap Agreement</w:t>
      </w:r>
      <w:r>
        <w:rPr>
          <w:color w:val="000000"/>
        </w:rPr>
        <w:t xml:space="preserve">” </w:t>
      </w:r>
      <w:r>
        <w:rPr>
          <w:rFonts w:ascii="Times New Roman;serif" w:hAnsi="Times New Roman;serif"/>
          <w:b w:val="false"/>
          <w:color w:val="000000"/>
          <w:sz w:val="24"/>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shall be hereinafter referred to as a “</w:t>
      </w:r>
      <w:r>
        <w:rPr>
          <w:rFonts w:ascii="Times New Roman;serif" w:hAnsi="Times New Roman;serif"/>
          <w:b/>
          <w:i/>
          <w:color w:val="000000"/>
          <w:sz w:val="24"/>
        </w:rPr>
        <w:t>Master Agreement</w:t>
      </w:r>
      <w:r>
        <w:rPr>
          <w:color w:val="000000"/>
        </w:rPr>
        <w:t>”</w:t>
      </w:r>
      <w:r>
        <w:rPr>
          <w:rFonts w:ascii="Times New Roman;serif" w:hAnsi="Times New Roman;serif"/>
          <w:b w:val="false"/>
          <w:color w:val="000000"/>
          <w:sz w:val="24"/>
        </w:rPr>
        <w:t>), including any such obligations or liabilities under any Master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Swap Obligations</w:t>
      </w:r>
      <w:r>
        <w:rPr>
          <w:color w:val="000000"/>
        </w:rPr>
        <w:t xml:space="preserve">” </w:t>
      </w:r>
      <w:r>
        <w:rPr>
          <w:rFonts w:ascii="Times New Roman;serif" w:hAnsi="Times New Roman;serif"/>
          <w:b w:val="false"/>
          <w:color w:val="000000"/>
          <w:sz w:val="24"/>
        </w:rPr>
        <w:t xml:space="preserve">means any and all obligations of the Borrower or any Subsidiary,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Swap Termination Value</w:t>
      </w:r>
      <w:r>
        <w:rPr>
          <w:color w:val="000000"/>
        </w:rPr>
        <w:t xml:space="preserve">” </w:t>
      </w:r>
      <w:r>
        <w:rPr>
          <w:rFonts w:ascii="Times New Roman;serif" w:hAnsi="Times New Roman;serif"/>
          <w:b w:val="false"/>
          <w:color w:val="000000"/>
          <w:sz w:val="24"/>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4"/>
          <w:u w:val="single"/>
        </w:rPr>
        <w:t>clause (a)</w:t>
      </w:r>
      <w:r>
        <w:rPr>
          <w:rFonts w:ascii="Times New Roman;serif" w:hAnsi="Times New Roman;serif"/>
          <w:b w:val="false"/>
          <w:color w:val="000000"/>
          <w:sz w:val="24"/>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Swingline Exposure</w:t>
      </w:r>
      <w:r>
        <w:rPr>
          <w:color w:val="000000"/>
        </w:rPr>
        <w:t xml:space="preserve">” </w:t>
      </w:r>
      <w:r>
        <w:rPr>
          <w:rFonts w:ascii="Times New Roman;serif" w:hAnsi="Times New Roman;serif"/>
          <w:b w:val="false"/>
          <w:color w:val="000000"/>
          <w:sz w:val="24"/>
        </w:rPr>
        <w:t>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such Lender in its capacity as a Swingline Lender that are outstanding at such time to the extent that the other Lenders shall not have funded their participations in such Swingline Loans), adjusted to give effect to any reallocation under Section 2.20 of the Swingline Exposure of Defaulting Lenders in effect at such time, and (b) in the case of any Lender that is a Swingline Lender, the aggregate principal amount of all Swingline Loans made by such Lender as a Swingline Lender outstanding at such time, less the amount of participations funded by the other Lenders in such Swingline Loans.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Swingline Lenders</w:t>
      </w:r>
      <w:r>
        <w:rPr>
          <w:color w:val="000000"/>
        </w:rPr>
        <w:t xml:space="preserve">” </w:t>
      </w:r>
      <w:r>
        <w:rPr>
          <w:rFonts w:ascii="Times New Roman;serif" w:hAnsi="Times New Roman;serif"/>
          <w:b w:val="false"/>
          <w:color w:val="000000"/>
          <w:sz w:val="24"/>
        </w:rPr>
        <w:t>means JPMorgan Chase Bank, N.A. (or any of its designated branch offices or affiliates) in its capacity as a lender of Swingline Loans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Swingline Loan</w:t>
      </w:r>
      <w:r>
        <w:rPr>
          <w:color w:val="000000"/>
        </w:rPr>
        <w:t xml:space="preserve">” </w:t>
      </w:r>
      <w:r>
        <w:rPr>
          <w:rFonts w:ascii="Times New Roman;serif" w:hAnsi="Times New Roman;serif"/>
          <w:b w:val="false"/>
          <w:color w:val="000000"/>
          <w:sz w:val="24"/>
        </w:rPr>
        <w:t>means a Loan made pursuant to Section 2.05. All Swingline Loans shall be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Syndication Agent</w:t>
      </w:r>
      <w:r>
        <w:rPr>
          <w:color w:val="000000"/>
        </w:rPr>
        <w:t xml:space="preserve">” </w:t>
      </w:r>
      <w:r>
        <w:rPr>
          <w:rFonts w:ascii="Times New Roman;serif" w:hAnsi="Times New Roman;serif"/>
          <w:b w:val="false"/>
          <w:color w:val="000000"/>
          <w:sz w:val="24"/>
        </w:rPr>
        <w:t xml:space="preserve">means Bank of America, N.A.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Synthetic Lease Obligation</w:t>
      </w:r>
      <w:r>
        <w:rPr>
          <w:color w:val="000000"/>
        </w:rPr>
        <w:t xml:space="preserve">” </w:t>
      </w:r>
      <w:r>
        <w:rPr>
          <w:rFonts w:ascii="Times New Roman;serif" w:hAnsi="Times New Roman;serif"/>
          <w:b w:val="false"/>
          <w:color w:val="000000"/>
          <w:sz w:val="24"/>
        </w:rPr>
        <w:t>means the monetary obligation of a Person under (a) a so-called synthetic, off-balance sheet or tax retention lease, or (b) an agreement for the use or possession of property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TARGET2</w:t>
      </w:r>
      <w:r>
        <w:rPr>
          <w:color w:val="000000"/>
        </w:rPr>
        <w:t xml:space="preserve">” </w:t>
      </w:r>
      <w:r>
        <w:rPr>
          <w:rFonts w:ascii="Times New Roman;serif" w:hAnsi="Times New Roman;serif"/>
          <w:b w:val="false"/>
          <w:color w:val="000000"/>
          <w:sz w:val="24"/>
        </w:rPr>
        <w:t>means the Trans-European Automated Real-time Gross Settlement Express Transfer payment system which utilizes a single shared platform and which was launched on November 19, 2007.</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TARGET Day</w:t>
      </w:r>
      <w:r>
        <w:rPr>
          <w:color w:val="000000"/>
        </w:rPr>
        <w:t xml:space="preserve">” </w:t>
      </w:r>
      <w:r>
        <w:rPr>
          <w:rFonts w:ascii="Times New Roman;serif" w:hAnsi="Times New Roman;serif"/>
          <w:b w:val="false"/>
          <w:color w:val="000000"/>
          <w:sz w:val="24"/>
        </w:rPr>
        <w:t>means any day on which TARGET2 (or, if such payment system ceases to be operative, such other payment system, if any, determined by the Administrative Agent to be a suitable replacement) is open for the settlement of payments in Euro.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Taxes</w:t>
      </w:r>
      <w:r>
        <w:rPr>
          <w:color w:val="000000"/>
        </w:rPr>
        <w:t xml:space="preserve">” </w:t>
      </w:r>
      <w:r>
        <w:rPr>
          <w:rFonts w:ascii="Times New Roman;serif" w:hAnsi="Times New Roman;serif"/>
          <w:b w:val="false"/>
          <w:color w:val="000000"/>
          <w:sz w:val="24"/>
        </w:rPr>
        <w:t>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Benchmark</w:t>
      </w:r>
      <w:r>
        <w:rPr>
          <w:color w:val="000000"/>
        </w:rPr>
        <w:t xml:space="preserve">” </w:t>
      </w:r>
      <w:r>
        <w:rPr>
          <w:rFonts w:ascii="Times New Roman;serif" w:hAnsi="Times New Roman;serif"/>
          <w:b w:val="false"/>
          <w:color w:val="000000"/>
          <w:sz w:val="24"/>
        </w:rPr>
        <w:t>when used in reference to any Loan or Borrowing, refers to whether such Loan, or the Loans comprising such Borrowing, are bearing interest at a rate determined by reference to the Adjusted Term SOFR Rate, the CDOR Rate, the Adjusted EURIBOR Rate or the Adjusted TIBOR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Lender</w:t>
      </w:r>
      <w:r>
        <w:rPr>
          <w:color w:val="000000"/>
        </w:rPr>
        <w:t xml:space="preserve">” </w:t>
      </w:r>
      <w:r>
        <w:rPr>
          <w:rFonts w:ascii="Times New Roman;serif" w:hAnsi="Times New Roman;serif"/>
          <w:b w:val="false"/>
          <w:color w:val="000000"/>
          <w:sz w:val="24"/>
        </w:rPr>
        <w:t>means, as of any date of determination, each Lender having a Term Loan Commitment or that holds Term Loans.</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Term Loan Borrowing</w:t>
      </w:r>
      <w:r>
        <w:rPr>
          <w:color w:val="000000"/>
        </w:rPr>
        <w:t xml:space="preserve">” </w:t>
      </w:r>
      <w:r>
        <w:rPr>
          <w:rFonts w:ascii="Times New Roman;serif" w:hAnsi="Times New Roman;serif"/>
          <w:b w:val="false"/>
          <w:color w:val="000000"/>
          <w:sz w:val="24"/>
        </w:rPr>
        <w:t>means Term Loans of the same Type, made, converted or continued on the same date and, in the case of Term Benchmark Loans, as to which a single Interest Period is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Loan Commitment</w:t>
      </w:r>
      <w:r>
        <w:rPr>
          <w:color w:val="000000"/>
        </w:rPr>
        <w:t xml:space="preserve">” </w:t>
      </w:r>
      <w:r>
        <w:rPr>
          <w:rFonts w:ascii="Times New Roman;serif" w:hAnsi="Times New Roman;serif"/>
          <w:b w:val="false"/>
          <w:color w:val="000000"/>
          <w:sz w:val="24"/>
        </w:rPr>
        <w:t xml:space="preserve">means (a) as to any Term Lender, the amount under the column “Term Loan Commitment” set forth on Schedule 2.01A opposite such Lender’s name, or in the most recent Assignment Agreement or other documentation or record (as such term is defined in Section 9-102(a)(70) of the UCC) as provided in Section 9.04, executed by such Term Lender, and giving effect to any reduction or increase in such amount from time to time pursuant to assignments by or to such Lender pursuant to Section 9.04, and (b) as to all Term Lenders, the aggregate commitment of all Term Lenders to make Term Loans, which aggregate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be $125,000,000 on the date of this Agreement. After advancing the Term Loan, each reference to a Term Lender’s Term Loan Commitment shall refer to that Term Lender’s Applicable Percentage of the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Loans</w:t>
      </w:r>
      <w:r>
        <w:rPr>
          <w:color w:val="000000"/>
        </w:rPr>
        <w:t xml:space="preserve">” </w:t>
      </w:r>
      <w:r>
        <w:rPr>
          <w:rFonts w:ascii="Times New Roman;serif" w:hAnsi="Times New Roman;serif"/>
          <w:b w:val="false"/>
          <w:color w:val="000000"/>
          <w:sz w:val="24"/>
        </w:rPr>
        <w:t>means the term loans made by the Term Lenders to the Borrower pursuant to Section 2.01(b).</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SOFR Determination Day</w:t>
      </w:r>
      <w:r>
        <w:rPr>
          <w:color w:val="000000"/>
        </w:rPr>
        <w:t xml:space="preserve">” </w:t>
      </w:r>
      <w:r>
        <w:rPr>
          <w:rFonts w:ascii="Times New Roman;serif" w:hAnsi="Times New Roman;serif"/>
          <w:b w:val="false"/>
          <w:color w:val="000000"/>
          <w:sz w:val="24"/>
        </w:rPr>
        <w:t>has the meaning assigned to it under the definition of Term SOFR Reference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SOFR Rate</w:t>
      </w:r>
      <w:r>
        <w:rPr>
          <w:color w:val="000000"/>
        </w:rPr>
        <w:t xml:space="preserve">” </w:t>
      </w:r>
      <w:r>
        <w:rPr>
          <w:rFonts w:ascii="Times New Roman;serif" w:hAnsi="Times New Roman;serif"/>
          <w:b w:val="false"/>
          <w:color w:val="000000"/>
          <w:sz w:val="24"/>
        </w:rPr>
        <w:t>means, with respect to any Term Benchmark Borrowing denominated in Dollars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Term SOFR Reference Rate</w:t>
      </w:r>
      <w:r>
        <w:rPr>
          <w:color w:val="000000"/>
        </w:rPr>
        <w:t xml:space="preserve">” </w:t>
      </w:r>
      <w:r>
        <w:rPr>
          <w:rFonts w:ascii="Times New Roman;serif" w:hAnsi="Times New Roman;serif"/>
          <w:b w:val="false"/>
          <w:color w:val="000000"/>
          <w:sz w:val="24"/>
        </w:rPr>
        <w:t>means, for any day and time (such day, the “</w:t>
      </w:r>
      <w:r>
        <w:rPr>
          <w:rFonts w:ascii="Times New Roman;serif" w:hAnsi="Times New Roman;serif"/>
          <w:b/>
          <w:i/>
          <w:color w:val="000000"/>
          <w:sz w:val="24"/>
        </w:rPr>
        <w:t>Term SOFR Determination Day</w:t>
      </w:r>
      <w:r>
        <w:rPr>
          <w:color w:val="000000"/>
        </w:rPr>
        <w:t>”</w:t>
      </w:r>
      <w:r>
        <w:rPr>
          <w:rFonts w:ascii="Times New Roman;serif" w:hAnsi="Times New Roman;serif"/>
          <w:b w:val="false"/>
          <w:color w:val="000000"/>
          <w:sz w:val="24"/>
        </w:rPr>
        <w:t xml:space="preserve">), with respect to any Term Benchmark Borrowing denominated in Dollars and for any tenor comparable to the applicable Interest Period, the rate per annum published by the CME Term SOFR Administrator and identified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so long as such day is otherwise a U.S. Government Securities Business Day,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U.S. Government Securities Business Day is not more than five (5) U.S. Government Securities Business Days prior to such Term SOFR Determination Day.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Threshold Amount</w:t>
      </w:r>
      <w:r>
        <w:rPr>
          <w:color w:val="000000"/>
        </w:rPr>
        <w:t xml:space="preserve">” </w:t>
      </w:r>
      <w:r>
        <w:rPr>
          <w:rFonts w:ascii="Times New Roman;serif" w:hAnsi="Times New Roman;serif"/>
          <w:b w:val="false"/>
          <w:color w:val="000000"/>
          <w:sz w:val="24"/>
        </w:rPr>
        <w:t>means $3,500,000.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TIBOR Rate</w:t>
      </w:r>
      <w:r>
        <w:rPr>
          <w:color w:val="000000"/>
        </w:rPr>
        <w:t xml:space="preserve">” </w:t>
      </w:r>
      <w:r>
        <w:rPr>
          <w:rFonts w:ascii="Times New Roman;serif" w:hAnsi="Times New Roman;serif"/>
          <w:b w:val="false"/>
          <w:color w:val="000000"/>
          <w:sz w:val="24"/>
        </w:rPr>
        <w:t>means, with respect to any Term Benchmark Borrowing denominated in Yen and for any Interest Period, the TIBOR Screen Rate two Business Days prior to the commencement of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TIBOR Screen Rate</w:t>
      </w:r>
      <w:r>
        <w:rPr>
          <w:color w:val="000000"/>
        </w:rPr>
        <w:t xml:space="preserve">” </w:t>
      </w:r>
      <w:r>
        <w:rPr>
          <w:rFonts w:ascii="Times New Roman;serif" w:hAnsi="Times New Roman;serif"/>
          <w:b w:val="false"/>
          <w:color w:val="000000"/>
          <w:sz w:val="24"/>
        </w:rPr>
        <w:t xml:space="preserve">means the Tokyo interbank offered rate administered by the Ippan Shadan Hojin JBA TIBOR Administration (or any other person which takes over the administration of that rate) for the relevant currency and period displayed on page DTIBOR01 of the Reuters screen (or, in the event such rate does not appear on such Reuters page or screen, on any successor or substitute page on such screen that displays such rate, or on the appropriate page of such other information service that publishes such rate as selected by the Administrative Agent from time to time in its reasonable discretion) as published at approximately 1:00 p.m. Japan time two Business Days prior to the commencement of such Interest Period.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76" w:before="0" w:after="240"/>
        <w:ind w:left="0" w:right="0" w:firstLine="720"/>
        <w:jc w:val="both"/>
        <w:rPr/>
      </w:pPr>
      <w:r>
        <w:rPr>
          <w:color w:val="000000"/>
        </w:rPr>
        <w:t>“</w:t>
      </w:r>
      <w:r>
        <w:rPr>
          <w:rFonts w:ascii="Times New Roman;serif" w:hAnsi="Times New Roman;serif"/>
          <w:b/>
          <w:i/>
          <w:color w:val="000000"/>
          <w:sz w:val="24"/>
        </w:rPr>
        <w:t>Total Consolidated Debt</w:t>
      </w:r>
      <w:r>
        <w:rPr>
          <w:color w:val="000000"/>
        </w:rPr>
        <w:t xml:space="preserve">” </w:t>
      </w:r>
      <w:r>
        <w:rPr>
          <w:rFonts w:ascii="Times New Roman;serif" w:hAnsi="Times New Roman;serif"/>
          <w:b w:val="false"/>
          <w:color w:val="000000"/>
          <w:sz w:val="24"/>
        </w:rPr>
        <w:t xml:space="preserve">means, as of any date of determination thereof, all outstanding Indebtedness for borrowed money and other interest-bearing Indebtedness, in each case, whether senior, junior, or otherwise subordinate, including, without limitation, current and long term Indebtedness, any Subordinated Indebtedness and junior Secured Indebtedness, specifically </w:t>
      </w:r>
      <w:r>
        <w:rPr>
          <w:rFonts w:ascii="Times New Roman;serif" w:hAnsi="Times New Roman;serif"/>
          <w:b w:val="false"/>
          <w:color w:val="000000"/>
          <w:sz w:val="24"/>
          <w:u w:val="single"/>
        </w:rPr>
        <w:t>excluding</w:t>
      </w:r>
      <w:r>
        <w:rPr>
          <w:rFonts w:ascii="Times New Roman;serif" w:hAnsi="Times New Roman;serif"/>
          <w:b w:val="false"/>
          <w:color w:val="000000"/>
          <w:sz w:val="24"/>
        </w:rPr>
        <w:t>, however, (i) the capital lease between the Borrower and S.J. Vahaviolos Partners L.L.C. relating to the Borrower’s use and occupancy of the premises located at 195 Clarksville Road, Princeton Junction, New Jersey and (ii) Attributable Receivables Indebtedness under any Permitted Receivables Facility.</w:t>
      </w:r>
    </w:p>
    <w:p>
      <w:pPr>
        <w:pStyle w:val="TextBody"/>
        <w:bidi w:val="0"/>
        <w:spacing w:lineRule="auto" w:line="276" w:before="0" w:after="0"/>
        <w:ind w:left="0" w:right="0" w:firstLine="720"/>
        <w:jc w:val="both"/>
        <w:rPr/>
      </w:pPr>
      <w:r>
        <w:rPr>
          <w:color w:val="000000"/>
        </w:rPr>
        <w:t>“</w:t>
      </w:r>
      <w:r>
        <w:rPr>
          <w:rFonts w:ascii="Times New Roman;serif" w:hAnsi="Times New Roman;serif"/>
          <w:b/>
          <w:i/>
          <w:color w:val="000000"/>
          <w:sz w:val="24"/>
        </w:rPr>
        <w:t>Total Consolidated Debt Leverage Ratio</w:t>
      </w:r>
      <w:r>
        <w:rPr>
          <w:color w:val="000000"/>
        </w:rPr>
        <w:t xml:space="preserve">” </w:t>
      </w:r>
      <w:r>
        <w:rPr>
          <w:rFonts w:ascii="Times New Roman;serif" w:hAnsi="Times New Roman;serif"/>
          <w:b w:val="false"/>
          <w:color w:val="000000"/>
          <w:sz w:val="24"/>
        </w:rPr>
        <w:t>means, as of any date of determination, the ratio of (a) Total Consolidated Debt as of said date of determination, to (b) EBITDA for the period of four consecutive fiscal quarters immediately preceding said date of determination, taken together as one accounting period.</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Total Credit Exposure</w:t>
      </w:r>
      <w:r>
        <w:rPr>
          <w:color w:val="000000"/>
        </w:rPr>
        <w:t xml:space="preserve">” </w:t>
      </w:r>
      <w:r>
        <w:rPr>
          <w:rFonts w:ascii="Times New Roman;serif" w:hAnsi="Times New Roman;serif"/>
          <w:b w:val="false"/>
          <w:color w:val="000000"/>
          <w:sz w:val="24"/>
        </w:rPr>
        <w:t>means the sum of the Total Revolving Credit Exposure and the aggregate principal amount of all Term Loans outstanding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Total Revolving Credit Exposure</w:t>
      </w:r>
      <w:r>
        <w:rPr>
          <w:color w:val="000000"/>
        </w:rPr>
        <w:t xml:space="preserve">” </w:t>
      </w:r>
      <w:r>
        <w:rPr>
          <w:rFonts w:ascii="Times New Roman;serif" w:hAnsi="Times New Roman;serif"/>
          <w:b w:val="false"/>
          <w:color w:val="000000"/>
          <w:sz w:val="24"/>
        </w:rPr>
        <w:t>means, at any time, the sum of (a) the outstanding principal amount of the Revolving Loans and Swingline Loans at such time and (b) the total LC Exposure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TTM EBITDA</w:t>
      </w:r>
      <w:r>
        <w:rPr>
          <w:color w:val="000000"/>
        </w:rPr>
        <w:t xml:space="preserve">” </w:t>
      </w:r>
      <w:r>
        <w:rPr>
          <w:rFonts w:ascii="Times New Roman;serif" w:hAnsi="Times New Roman;serif"/>
          <w:b w:val="false"/>
          <w:color w:val="000000"/>
          <w:sz w:val="24"/>
        </w:rPr>
        <w:t>means an amount equal to the “</w:t>
      </w:r>
      <w:r>
        <w:rPr>
          <w:rFonts w:ascii="Times New Roman;serif" w:hAnsi="Times New Roman;serif"/>
          <w:b/>
          <w:i/>
          <w:color w:val="000000"/>
          <w:sz w:val="24"/>
        </w:rPr>
        <w:t>Designated Percentage</w:t>
      </w:r>
      <w:r>
        <w:rPr>
          <w:color w:val="000000"/>
        </w:rPr>
        <w:t xml:space="preserve">” </w:t>
      </w:r>
      <w:r>
        <w:rPr>
          <w:rFonts w:ascii="Times New Roman;serif" w:hAnsi="Times New Roman;serif"/>
          <w:b w:val="false"/>
          <w:color w:val="000000"/>
          <w:sz w:val="24"/>
        </w:rPr>
        <w:t>(as such term is defined below) of the actual historical EBITDA of any Person acquired by the Borrower or one of its Subsidiaries in accordance with the terms, conditions, and provisions of this Agreement, as such EBITDA is calculated as agreed between the Borrower and the Administrative Agent, based on the Administrative Agent’s review of the acquired Person’s financial statements for the twelve (12) month period immediately preceding the last day of the last fiscal quarter of the acquired Person occurring prior to the date of acquisition or such Person’s Federal tax returns covering all or any portion of said period. For the purposes of this definition, the term “</w:t>
      </w:r>
      <w:r>
        <w:rPr>
          <w:rFonts w:ascii="Times New Roman;serif" w:hAnsi="Times New Roman;serif"/>
          <w:b/>
          <w:i/>
          <w:color w:val="000000"/>
          <w:sz w:val="24"/>
        </w:rPr>
        <w:t>Designated Percentage</w:t>
      </w:r>
      <w:r>
        <w:rPr>
          <w:color w:val="000000"/>
        </w:rPr>
        <w:t xml:space="preserve">” </w:t>
      </w:r>
      <w:r>
        <w:rPr>
          <w:rFonts w:ascii="Times New Roman;serif" w:hAnsi="Times New Roman;serif"/>
          <w:b w:val="false"/>
          <w:color w:val="000000"/>
          <w:sz w:val="24"/>
        </w:rPr>
        <w:t>shall mean (a) in the event the acquired Person’s financial statements are “audited” statements, one hundred percent (100%), (b) in the event the acquired Person’s financial statements are “reviewed” statements, seventy-five percent (75%), (c) in the event the acquired Person’s Federal tax returns are reviewed by the Administrative Agent, seventy-five percent (75%), and (d) in the event the acquired Person’s financial statements are “compiled” statements, fifty percent (50%).</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Trademark and Patent Security Agreement</w:t>
      </w:r>
      <w:r>
        <w:rPr>
          <w:color w:val="000000"/>
        </w:rPr>
        <w:t xml:space="preserve">” </w:t>
      </w:r>
      <w:r>
        <w:rPr>
          <w:rFonts w:ascii="Times New Roman;serif" w:hAnsi="Times New Roman;serif"/>
          <w:b w:val="false"/>
          <w:color w:val="000000"/>
          <w:sz w:val="24"/>
        </w:rPr>
        <w:t>means each Trademark and Patent Security Agreement (including any and all supplements thereto) between the Loan Parties signatory thereto and the Administrative Agent, for the benefit of the Administrative Agent and the other Secured Parties, or other substantially similar agreement entered into, on or after the date of this Agreement by any Loan Party (as required by this Agreement or any other Loan Document), or any other Person, in each case in form and substance reasonably acceptable to the Administrative Agent and as the same may be amended, restated or otherwise modified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Transactions</w:t>
      </w:r>
      <w:r>
        <w:rPr>
          <w:color w:val="000000"/>
        </w:rPr>
        <w:t xml:space="preserve">” </w:t>
      </w:r>
      <w:r>
        <w:rPr>
          <w:rFonts w:ascii="Times New Roman;serif" w:hAnsi="Times New Roman;serif"/>
          <w:b w:val="false"/>
          <w:color w:val="000000"/>
          <w:sz w:val="24"/>
        </w:rPr>
        <w:t>means the execution, delivery and performance by the Loan Parties of this Agreement and the other Loan Documents, the borrowing of Loans and other credit extensions, the use of the proceeds thereof and the issuance of Letters of Credit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Type</w:t>
      </w:r>
      <w:r>
        <w:rPr>
          <w:color w:val="000000"/>
        </w:rPr>
        <w:t>”</w:t>
      </w:r>
      <w:r>
        <w:rPr>
          <w:rFonts w:ascii="Times New Roman;serif" w:hAnsi="Times New Roman;serif"/>
          <w:b w:val="false"/>
          <w:color w:val="000000"/>
          <w:sz w:val="24"/>
        </w:rPr>
        <w:t>, when used in reference to any Loan or Borrowing, refers to whether the rate of interest on such Loan, or on the Loans comprising such Borrowing, is determined by reference to the Adjusted Term SOFR Rate, the Adjusted EURIBOR Rate, the CDOR Rate, the Adjusted TIBOR Rate, the Alternate Base Rate, the Adjusted Daily Simple RFR or the Central Bank/Prime Rate.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UCC</w:t>
      </w:r>
      <w:r>
        <w:rPr>
          <w:color w:val="000000"/>
        </w:rPr>
        <w:t xml:space="preserve">” </w:t>
      </w:r>
      <w:r>
        <w:rPr>
          <w:rFonts w:ascii="Times New Roman;serif" w:hAnsi="Times New Roman;serif"/>
          <w:b w:val="false"/>
          <w:color w:val="000000"/>
          <w:sz w:val="24"/>
        </w:rPr>
        <w:t>means the Uniform Commercial Code as in effect from time to time in the State of New York or any other state the laws of which are required to be applied in connection with the issue of perfection of security interests.</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UK Financial Institutions</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UK Resolution Authority</w:t>
      </w:r>
      <w:r>
        <w:rPr>
          <w:color w:val="000000"/>
        </w:rPr>
        <w:t xml:space="preserve">” </w:t>
      </w:r>
      <w:r>
        <w:rPr>
          <w:rFonts w:ascii="Times New Roman;serif" w:hAnsi="Times New Roman;serif"/>
          <w:b w:val="false"/>
          <w:color w:val="000000"/>
          <w:sz w:val="24"/>
        </w:rPr>
        <w:t xml:space="preserve">means the Bank of England or any other public administrative authority having responsibility for the resolution of any UK Financial Institution. </w:t>
      </w:r>
    </w:p>
    <w:p>
      <w:pPr>
        <w:pStyle w:val="TextBody"/>
        <w:bidi w:val="0"/>
        <w:spacing w:lineRule="auto" w:line="288" w:before="0" w:after="220"/>
        <w:ind w:left="0" w:right="0" w:firstLine="720"/>
        <w:jc w:val="both"/>
        <w:rPr/>
      </w:pPr>
      <w:r>
        <w:rPr>
          <w:color w:val="000000"/>
        </w:rPr>
        <w:t>“</w:t>
      </w:r>
      <w:r>
        <w:rPr>
          <w:rFonts w:ascii="Times New Roman;serif" w:hAnsi="Times New Roman;serif"/>
          <w:b/>
          <w:i/>
          <w:color w:val="000000"/>
          <w:sz w:val="24"/>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Unfunded Commitment</w:t>
      </w:r>
      <w:r>
        <w:rPr>
          <w:color w:val="000000"/>
        </w:rPr>
        <w:t xml:space="preserve">” </w:t>
      </w:r>
      <w:r>
        <w:rPr>
          <w:rFonts w:ascii="Times New Roman;serif" w:hAnsi="Times New Roman;serif"/>
          <w:b w:val="false"/>
          <w:color w:val="000000"/>
          <w:sz w:val="24"/>
        </w:rPr>
        <w:t>means, with respect to each Lender, the Revolving Commitment of such Lender less its Revolving Credit Exposure,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Unliquidated Obligations</w:t>
      </w:r>
      <w:r>
        <w:rPr>
          <w:color w:val="000000"/>
        </w:rPr>
        <w:t xml:space="preserve">” </w:t>
      </w:r>
      <w:r>
        <w:rPr>
          <w:rFonts w:ascii="Times New Roman;serif" w:hAnsi="Times New Roman;serif"/>
          <w:b w:val="false"/>
          <w:color w:val="000000"/>
          <w:sz w:val="24"/>
        </w:rPr>
        <w:t>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U.S. Government Securities Business Day</w:t>
      </w:r>
      <w:r>
        <w:rPr>
          <w:color w:val="000000"/>
        </w:rPr>
        <w:t xml:space="preserve">” </w:t>
      </w:r>
      <w:r>
        <w:rPr>
          <w:rFonts w:ascii="Times New Roman;serif" w:hAnsi="Times New Roman;serif"/>
          <w:b w:val="false"/>
          <w:color w:val="000000"/>
          <w:sz w:val="24"/>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U.S. Person</w:t>
      </w:r>
      <w:r>
        <w:rPr>
          <w:color w:val="000000"/>
        </w:rPr>
        <w:t xml:space="preserve">” </w:t>
      </w:r>
      <w:r>
        <w:rPr>
          <w:rFonts w:ascii="Times New Roman;serif" w:hAnsi="Times New Roman;serif"/>
          <w:b w:val="false"/>
          <w:color w:val="000000"/>
          <w:sz w:val="24"/>
        </w:rPr>
        <w:t>means a “United States person” within the meaning of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U.S. Special Resolution Regime</w:t>
      </w:r>
      <w:r>
        <w:rPr>
          <w:color w:val="000000"/>
        </w:rPr>
        <w:t xml:space="preserve">” </w:t>
      </w:r>
      <w:r>
        <w:rPr>
          <w:rFonts w:ascii="Times New Roman;serif" w:hAnsi="Times New Roman;serif"/>
          <w:b w:val="false"/>
          <w:color w:val="000000"/>
          <w:sz w:val="24"/>
        </w:rPr>
        <w:t>has the meaning assigned to it in Section 9.18.</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U.S. Tax Compliance Certificate</w:t>
      </w:r>
      <w:r>
        <w:rPr>
          <w:color w:val="000000"/>
        </w:rPr>
        <w:t xml:space="preserve">” </w:t>
      </w:r>
      <w:r>
        <w:rPr>
          <w:rFonts w:ascii="Times New Roman;serif" w:hAnsi="Times New Roman;serif"/>
          <w:b w:val="false"/>
          <w:color w:val="000000"/>
          <w:sz w:val="24"/>
        </w:rPr>
        <w:t>has the meaning assigned to such term in Section 2.17(f)(ii)(B)(3).</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Wholly-Owned Subsidiary</w:t>
      </w:r>
      <w:r>
        <w:rPr>
          <w:color w:val="000000"/>
        </w:rPr>
        <w:t xml:space="preserve">” </w:t>
      </w:r>
      <w:r>
        <w:rPr>
          <w:rFonts w:ascii="Times New Roman;serif" w:hAnsi="Times New Roman;serif"/>
          <w:b w:val="false"/>
          <w:color w:val="000000"/>
          <w:sz w:val="24"/>
        </w:rPr>
        <w:t>of the Borrower means a Subsidiary of which the Borrower owns, directly or indirectly through another Subsidiary, ninety-five percent (95%) or more of the issued and outstanding capital stock or other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Withdrawal Liability</w:t>
      </w:r>
      <w:r>
        <w:rPr>
          <w:color w:val="000000"/>
        </w:rPr>
        <w:t xml:space="preserve">” </w:t>
      </w:r>
      <w:r>
        <w:rPr>
          <w:rFonts w:ascii="Times New Roman;serif" w:hAnsi="Times New Roman;serif"/>
          <w:b w:val="false"/>
          <w:color w:val="000000"/>
          <w:sz w:val="24"/>
        </w:rPr>
        <w:t>means liability to a Multiemployer Plan as a result of a complete or partial withdrawal from such Multiemployer Plan, as such terms are defined in Part I of Subtitle E of Title IV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4"/>
        </w:rPr>
        <w:t>Yen</w:t>
      </w:r>
      <w:r>
        <w:rPr>
          <w:color w:val="000000"/>
        </w:rPr>
        <w:t xml:space="preserve">” </w:t>
      </w:r>
      <w:r>
        <w:rPr>
          <w:rFonts w:ascii="Times New Roman;serif" w:hAnsi="Times New Roman;serif"/>
          <w:b w:val="false"/>
          <w:color w:val="000000"/>
          <w:sz w:val="24"/>
        </w:rPr>
        <w:t>or “</w:t>
      </w:r>
      <w:r>
        <w:rPr>
          <w:rFonts w:ascii="Times New Roman;serif" w:hAnsi="Times New Roman;serif"/>
          <w:b/>
          <w:i/>
          <w:color w:val="000000"/>
          <w:sz w:val="24"/>
        </w:rPr>
        <w:t>¥</w:t>
      </w:r>
      <w:r>
        <w:rPr>
          <w:color w:val="000000"/>
        </w:rPr>
        <w:t xml:space="preserve">” </w:t>
      </w:r>
      <w:r>
        <w:rPr>
          <w:rFonts w:ascii="Times New Roman;serif" w:hAnsi="Times New Roman;serif"/>
          <w:b w:val="false"/>
          <w:color w:val="000000"/>
          <w:sz w:val="24"/>
        </w:rPr>
        <w:t>means the lawful currency of Japan.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Classification of Loans and Borrowings</w:t>
      </w:r>
      <w:r>
        <w:rPr>
          <w:rFonts w:ascii="Times New Roman;serif" w:hAnsi="Times New Roman;serif"/>
          <w:b w:val="false"/>
          <w:color w:val="000000"/>
          <w:sz w:val="24"/>
        </w:rPr>
        <w:t>. For purposes of this Agreement, Loans may be classified and referred to by Class (e.g., a “</w:t>
      </w:r>
      <w:r>
        <w:rPr>
          <w:rFonts w:ascii="Times New Roman;serif" w:hAnsi="Times New Roman;serif"/>
          <w:b/>
          <w:i/>
          <w:color w:val="000000"/>
          <w:sz w:val="24"/>
        </w:rPr>
        <w:t>Revolving Loan</w:t>
      </w:r>
      <w:r>
        <w:rPr>
          <w:color w:val="000000"/>
        </w:rPr>
        <w:t>”</w:t>
      </w:r>
      <w:r>
        <w:rPr>
          <w:rFonts w:ascii="Times New Roman;serif" w:hAnsi="Times New Roman;serif"/>
          <w:b w:val="false"/>
          <w:color w:val="000000"/>
          <w:sz w:val="24"/>
        </w:rPr>
        <w:t>) or by Type (e.g., a “</w:t>
      </w:r>
      <w:r>
        <w:rPr>
          <w:rFonts w:ascii="Times New Roman;serif" w:hAnsi="Times New Roman;serif"/>
          <w:b/>
          <w:i/>
          <w:color w:val="000000"/>
          <w:sz w:val="24"/>
        </w:rPr>
        <w:t>Term Benchmark Loan</w:t>
      </w:r>
      <w:r>
        <w:rPr>
          <w:color w:val="000000"/>
        </w:rPr>
        <w:t xml:space="preserve">” </w:t>
      </w:r>
      <w:r>
        <w:rPr>
          <w:rFonts w:ascii="Times New Roman;serif" w:hAnsi="Times New Roman;serif"/>
          <w:b w:val="false"/>
          <w:color w:val="000000"/>
          <w:sz w:val="24"/>
        </w:rPr>
        <w:t>or an “</w:t>
      </w:r>
      <w:r>
        <w:rPr>
          <w:rFonts w:ascii="Times New Roman;serif" w:hAnsi="Times New Roman;serif"/>
          <w:b/>
          <w:i/>
          <w:color w:val="000000"/>
          <w:sz w:val="24"/>
        </w:rPr>
        <w:t>RFR Loan</w:t>
      </w:r>
      <w:r>
        <w:rPr>
          <w:color w:val="000000"/>
        </w:rPr>
        <w:t>”</w:t>
      </w:r>
      <w:r>
        <w:rPr>
          <w:rFonts w:ascii="Times New Roman;serif" w:hAnsi="Times New Roman;serif"/>
          <w:b w:val="false"/>
          <w:color w:val="000000"/>
          <w:sz w:val="24"/>
        </w:rPr>
        <w:t>) or by Class and Type (e.g., a “</w:t>
      </w:r>
      <w:r>
        <w:rPr>
          <w:rFonts w:ascii="Times New Roman;serif" w:hAnsi="Times New Roman;serif"/>
          <w:b/>
          <w:i/>
          <w:color w:val="000000"/>
          <w:sz w:val="24"/>
        </w:rPr>
        <w:t>Term Benchmark Revolving Loan</w:t>
      </w:r>
      <w:r>
        <w:rPr>
          <w:color w:val="000000"/>
        </w:rPr>
        <w:t xml:space="preserve">” </w:t>
      </w:r>
      <w:r>
        <w:rPr>
          <w:rFonts w:ascii="Times New Roman;serif" w:hAnsi="Times New Roman;serif"/>
          <w:b w:val="false"/>
          <w:color w:val="000000"/>
          <w:sz w:val="24"/>
        </w:rPr>
        <w:t>or an “</w:t>
      </w:r>
      <w:r>
        <w:rPr>
          <w:rFonts w:ascii="Times New Roman;serif" w:hAnsi="Times New Roman;serif"/>
          <w:b/>
          <w:i/>
          <w:color w:val="000000"/>
          <w:sz w:val="24"/>
        </w:rPr>
        <w:t>RFR Revolving Loan</w:t>
      </w:r>
      <w:r>
        <w:rPr>
          <w:color w:val="000000"/>
        </w:rPr>
        <w:t>”</w:t>
      </w:r>
      <w:r>
        <w:rPr>
          <w:rFonts w:ascii="Times New Roman;serif" w:hAnsi="Times New Roman;serif"/>
          <w:b w:val="false"/>
          <w:color w:val="000000"/>
          <w:sz w:val="24"/>
        </w:rPr>
        <w:t>). Borrowings also may be classified and referred to by Class (e.g., a “</w:t>
      </w:r>
      <w:r>
        <w:rPr>
          <w:rFonts w:ascii="Times New Roman;serif" w:hAnsi="Times New Roman;serif"/>
          <w:b/>
          <w:i/>
          <w:color w:val="000000"/>
          <w:sz w:val="24"/>
        </w:rPr>
        <w:t>Revolving Borrowing</w:t>
      </w:r>
      <w:r>
        <w:rPr>
          <w:color w:val="000000"/>
        </w:rPr>
        <w:t>”</w:t>
      </w:r>
      <w:r>
        <w:rPr>
          <w:rFonts w:ascii="Times New Roman;serif" w:hAnsi="Times New Roman;serif"/>
          <w:b w:val="false"/>
          <w:color w:val="000000"/>
          <w:sz w:val="24"/>
        </w:rPr>
        <w:t>) or by Type (e.g., a “</w:t>
      </w:r>
      <w:r>
        <w:rPr>
          <w:rFonts w:ascii="Times New Roman;serif" w:hAnsi="Times New Roman;serif"/>
          <w:b/>
          <w:i/>
          <w:color w:val="000000"/>
          <w:sz w:val="24"/>
        </w:rPr>
        <w:t>Term Benchmark Borrowing</w:t>
      </w:r>
      <w:r>
        <w:rPr>
          <w:color w:val="000000"/>
        </w:rPr>
        <w:t xml:space="preserve">” </w:t>
      </w:r>
      <w:r>
        <w:rPr>
          <w:rFonts w:ascii="Times New Roman;serif" w:hAnsi="Times New Roman;serif"/>
          <w:b w:val="false"/>
          <w:color w:val="000000"/>
          <w:sz w:val="24"/>
        </w:rPr>
        <w:t>or an “</w:t>
      </w:r>
      <w:r>
        <w:rPr>
          <w:rFonts w:ascii="Times New Roman;serif" w:hAnsi="Times New Roman;serif"/>
          <w:b/>
          <w:i/>
          <w:color w:val="000000"/>
          <w:sz w:val="24"/>
        </w:rPr>
        <w:t>RFR Borrowing</w:t>
      </w:r>
      <w:r>
        <w:rPr>
          <w:color w:val="000000"/>
        </w:rPr>
        <w:t>”</w:t>
      </w:r>
      <w:r>
        <w:rPr>
          <w:rFonts w:ascii="Times New Roman;serif" w:hAnsi="Times New Roman;serif"/>
          <w:b w:val="false"/>
          <w:color w:val="000000"/>
          <w:sz w:val="24"/>
        </w:rPr>
        <w:t>) or by Class and Type (e.g., a “</w:t>
      </w:r>
      <w:r>
        <w:rPr>
          <w:rFonts w:ascii="Times New Roman;serif" w:hAnsi="Times New Roman;serif"/>
          <w:b/>
          <w:i/>
          <w:color w:val="000000"/>
          <w:sz w:val="24"/>
        </w:rPr>
        <w:t>Term Benchmark Revolving Borrowing</w:t>
      </w:r>
      <w:r>
        <w:rPr>
          <w:color w:val="000000"/>
        </w:rPr>
        <w:t xml:space="preserve">” </w:t>
      </w:r>
      <w:r>
        <w:rPr>
          <w:rFonts w:ascii="Times New Roman;serif" w:hAnsi="Times New Roman;serif"/>
          <w:b w:val="false"/>
          <w:color w:val="000000"/>
          <w:sz w:val="24"/>
        </w:rPr>
        <w:t>or an “</w:t>
      </w:r>
      <w:r>
        <w:rPr>
          <w:rFonts w:ascii="Times New Roman;serif" w:hAnsi="Times New Roman;serif"/>
          <w:b/>
          <w:i/>
          <w:color w:val="000000"/>
          <w:sz w:val="24"/>
        </w:rPr>
        <w:t>RFR Revolving Borrowing</w:t>
      </w:r>
      <w:r>
        <w:rPr>
          <w:color w:val="000000"/>
        </w:rPr>
        <w:t>”</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Terms Generally</w:t>
      </w:r>
      <w:r>
        <w:rPr>
          <w:rFonts w:ascii="Times New Roman;serif" w:hAnsi="Times New Roman;serif"/>
          <w:b w:val="false"/>
          <w:color w:val="000000"/>
          <w:sz w:val="24"/>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all references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Accounting Terms; GAAP; Pro Forma Calculations; Limited Condition Transactions</w:t>
      </w:r>
      <w:r>
        <w:rPr>
          <w:rFonts w:ascii="Times New Roman;serif" w:hAnsi="Times New Roman;serif"/>
          <w:b w:val="false"/>
          <w:color w:val="000000"/>
          <w:sz w:val="24"/>
        </w:rPr>
        <w:t xml:space="preserve">. (a) Except as otherwise expressly provided herein, all terms of an accounting or financial nature shall be construed in accordance with GAAP,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(i)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pro forma computations required or permitted to be made hereunder giving effect to any Acquisition or Disposition,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on the first day of the period of four consecutive fiscal quarters ending with the most recent fiscal quarter for which financial statements shall have been delivered pursuant to Section 5.01(a) or 5.01(b) (or, prior to the delivery of any such financial statements, ending with the last fiscal quarter included in the financial statements referred to in Section 3.04(a)),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contained in Section 1.04(a) or in the definition of “</w:t>
      </w:r>
      <w:r>
        <w:rPr>
          <w:rFonts w:ascii="Times New Roman;serif" w:hAnsi="Times New Roman;serif"/>
          <w:b/>
          <w:i/>
          <w:color w:val="000000"/>
          <w:sz w:val="24"/>
        </w:rPr>
        <w:t>Capital Lease Obligations</w:t>
      </w:r>
      <w:r>
        <w:rPr>
          <w:rFonts w:ascii="Times New Roman;serif" w:hAnsi="Times New Roman;serif"/>
          <w:b w:val="false"/>
          <w:color w:val="000000"/>
          <w:sz w:val="24"/>
        </w:rPr>
        <w:t>,” any change in accounting for leases pursuant to GAAP resulting from the adoption of Financial Accounting Standards Board Accounting Standards Update No. 2016-02, Leases (Topic 842) (“</w:t>
      </w:r>
      <w:r>
        <w:rPr>
          <w:rFonts w:ascii="Times New Roman;serif" w:hAnsi="Times New Roman;serif"/>
          <w:b/>
          <w:i/>
          <w:color w:val="000000"/>
          <w:sz w:val="24"/>
        </w:rPr>
        <w:t>FAS 842</w:t>
      </w:r>
      <w:r>
        <w:rPr>
          <w:color w:val="000000"/>
        </w:rPr>
        <w:t>”</w:t>
      </w:r>
      <w:r>
        <w:rPr>
          <w:rFonts w:ascii="Times New Roman;serif" w:hAnsi="Times New Roman;serif"/>
          <w:b w:val="false"/>
          <w:color w:val="000000"/>
          <w:sz w:val="24"/>
        </w:rPr>
        <w:t xml:space="preserve">), to the extent such adoption would require treating any lease (or similar arrangement conveying the right to use) as a capital lease where such lease (or similar arrangement) would not have been required to be so treated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under GAAP as in effect on December 31, 2015, such lease shall not be considered a capital lease, and all calculations (including with respect to assets and liabilities associated with such lease) and deliverables under this Agreement or any other Loan Document shall be made or delivered, as applicable, in accordance therewith.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connection with any action being taken in connection with a Limited Condition Transaction, for purposes of:</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(i)determining compliance with any provision of this Agreement which requires the calculation of any financial ratio or test, including the Total Consolidated Debt Leverage Ratio, the Senior Leverage Ratio or the Senior Secured Leverage Ratio;</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(ii)testing availability under baskets set forth in this Agreement (including baskets measured as a percentage of Consolidated operating income, EBITDA or Consolidated Total Assets); or</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(iii)determining the accuracy of any representation or warranty or the existence of any Default or Event of Default</w:t>
      </w:r>
    </w:p>
    <w:p>
      <w:pPr>
        <w:pStyle w:val="TextBody"/>
        <w:bidi w:val="0"/>
        <w:spacing w:lineRule="auto" w:line="288" w:before="0" w:after="240"/>
        <w:jc w:val="both"/>
        <w:rPr/>
      </w:pPr>
      <w:r>
        <w:rPr>
          <w:rFonts w:ascii="Times New Roman;serif" w:hAnsi="Times New Roman;serif"/>
          <w:b w:val="false"/>
          <w:color w:val="000000"/>
          <w:sz w:val="24"/>
        </w:rPr>
        <w:t>in each case, at the option of the Borrower (the Borrower’s election to exercise such option in connection with any Limited Condition Transaction, an “</w:t>
      </w:r>
      <w:r>
        <w:rPr>
          <w:rFonts w:ascii="Times New Roman;serif" w:hAnsi="Times New Roman;serif"/>
          <w:b/>
          <w:i/>
          <w:color w:val="000000"/>
          <w:sz w:val="24"/>
        </w:rPr>
        <w:t>LCT Election</w:t>
      </w:r>
      <w:r>
        <w:rPr>
          <w:color w:val="000000"/>
        </w:rPr>
        <w:t>”</w:t>
      </w:r>
      <w:r>
        <w:rPr>
          <w:rFonts w:ascii="Times New Roman;serif" w:hAnsi="Times New Roman;serif"/>
          <w:b w:val="false"/>
          <w:color w:val="000000"/>
          <w:sz w:val="24"/>
        </w:rPr>
        <w:t>), the date of determination of whether any such action is permitted hereunder shall be deemed to be the date the definitive agreement for such Limited Condition Transaction is entered into (the “</w:t>
      </w:r>
      <w:r>
        <w:rPr>
          <w:rFonts w:ascii="Times New Roman;serif" w:hAnsi="Times New Roman;serif"/>
          <w:b/>
          <w:i/>
          <w:color w:val="000000"/>
          <w:sz w:val="24"/>
        </w:rPr>
        <w:t>LCT Test Date</w:t>
      </w:r>
      <w:r>
        <w:rPr>
          <w:color w:val="000000"/>
        </w:rPr>
        <w:t>”</w:t>
      </w:r>
      <w:r>
        <w:rPr>
          <w:rFonts w:ascii="Times New Roman;serif" w:hAnsi="Times New Roman;serif"/>
          <w:b w:val="false"/>
          <w:color w:val="000000"/>
          <w:sz w:val="24"/>
        </w:rPr>
        <w:t xml:space="preserve">), and if, after giving pro forma effect to the Limited Condition Transaction, the Borrower or any of its Subsidiaries would have been permitted to take such action on the relevant LCT Test Date in compliance with such ratio, test or basket or other provision, such ratio, test or basket shall be deemed to have been complied with;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as of the effective date of any Limited Condition Transaction, no Event of Default under clause (a), (f) or (g) of Section 7.01 shall be permitted to be in existence immediately before or immediately after giving effect (including on a pro forma basis) to such Limited Condition Transaction. For the avoidance of doubt, if the Borrower has made an LCT Election and any of the ratios, tests or baskets or other provision for which compliance was determined or tested as of the LCT Test Date would have failed to have been satisfied as a result of fluctuations in any such ratio, test or basket or other provision, including due to fluctuations in EBITDA, Consolidated operating income or Consolidated Total Assets, at or prior to the consummation of the relevant transaction or action, such baskets, tests or ratios will not be deemed to have failed to have been satisfied as a result of such fluctuations (other than as described in the proviso to the immediately preceding sentence). </w:t>
      </w:r>
    </w:p>
    <w:p>
      <w:pPr>
        <w:pStyle w:val="TextBody"/>
        <w:bidi w:val="0"/>
        <w:spacing w:lineRule="auto" w:line="240"/>
        <w:ind w:left="0" w:right="0" w:firstLine="720"/>
        <w:jc w:val="both"/>
        <w:rPr/>
      </w:pPr>
      <w:r>
        <w:rPr>
          <w:rFonts w:ascii="Times New Roman;serif" w:hAnsi="Times New Roman;serif"/>
          <w:b w:val="false"/>
          <w:color w:val="000000"/>
          <w:sz w:val="24"/>
        </w:rPr>
        <w:t>Section 1.05.</w:t>
      </w:r>
      <w:r>
        <w:rPr>
          <w:rFonts w:ascii="Times New Roman;serif" w:hAnsi="Times New Roman;serif"/>
          <w:b w:val="false"/>
          <w:color w:val="000000"/>
          <w:sz w:val="24"/>
          <w:u w:val="single"/>
        </w:rPr>
        <w:t>Interest Rates; Benchmark Notification</w:t>
      </w:r>
      <w:r>
        <w:rPr>
          <w:rFonts w:ascii="Times New Roman;serif" w:hAnsi="Times New Roman;serif"/>
          <w:b w:val="false"/>
          <w:color w:val="000000"/>
          <w:sz w:val="24"/>
        </w:rPr>
        <w:t xml:space="preserve">. The interest rate on a Loan denominated in Dollars or a Foreign Currency may be derived from an interest rate benchmark that may be discontinued or is, or may in the future become, the subject of regulatory reform. Upon the occurrence of a Benchmark Transition Event, Section 2.14(b) 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1.06.</w:t>
      </w:r>
      <w:r>
        <w:rPr>
          <w:rFonts w:ascii="Times New Roman;serif" w:hAnsi="Times New Roman;serif"/>
          <w:b w:val="false"/>
          <w:color w:val="000000"/>
          <w:sz w:val="24"/>
          <w:u w:val="single"/>
        </w:rPr>
        <w:t>Letter of Credit Amounts</w:t>
      </w:r>
      <w:r>
        <w:rPr>
          <w:rFonts w:ascii="Times New Roman;serif" w:hAnsi="Times New Roman;serif"/>
          <w:b w:val="false"/>
          <w:color w:val="000000"/>
          <w:sz w:val="24"/>
        </w:rPr>
        <w:t xml:space="preserve">. Unless otherwise specified herein, the amount of a Letter of Credit at any time shall be deemed to be the Dollar Equivalent of the stated amount of such Letter of Credit available to be drawn at such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any Letter of Credit that, by its terms,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1.07.</w:t>
      </w:r>
      <w:r>
        <w:rPr>
          <w:rFonts w:ascii="Times New Roman;serif" w:hAnsi="Times New Roman;serif"/>
          <w:b w:val="false"/>
          <w:color w:val="000000"/>
          <w:sz w:val="24"/>
          <w:u w:val="single"/>
        </w:rPr>
        <w:t>Divisions</w:t>
      </w:r>
      <w:r>
        <w:rPr>
          <w:rFonts w:ascii="Times New Roman;serif" w:hAnsi="Times New Roman;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1.08.</w:t>
      </w:r>
      <w:r>
        <w:rPr>
          <w:rFonts w:ascii="Times New Roman;serif" w:hAnsi="Times New Roman;serif"/>
          <w:b w:val="false"/>
          <w:color w:val="000000"/>
          <w:sz w:val="24"/>
          <w:u w:val="single"/>
        </w:rPr>
        <w:t>Status of Obligations</w:t>
      </w:r>
      <w:r>
        <w:rPr>
          <w:rFonts w:ascii="Times New Roman;serif" w:hAnsi="Times New Roman;serif"/>
          <w:b w:val="false"/>
          <w:color w:val="000000"/>
          <w:sz w:val="24"/>
        </w:rPr>
        <w:t>. In the event that the Borrower or any other Loan Party shall at any time issue or have outstanding any Subordinated Indebtedness, the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1.09.</w:t>
      </w:r>
      <w:r>
        <w:rPr>
          <w:rFonts w:ascii="Times New Roman;serif" w:hAnsi="Times New Roman;serif"/>
          <w:b w:val="false"/>
          <w:color w:val="000000"/>
          <w:sz w:val="24"/>
          <w:u w:val="single"/>
        </w:rPr>
        <w:t>Exchange Rates; Currency Equivalents</w:t>
      </w:r>
      <w:r>
        <w:rPr>
          <w:rFonts w:ascii="Times New Roman;serif" w:hAnsi="Times New Roman;serif"/>
          <w:b w:val="false"/>
          <w:color w:val="000000"/>
          <w:sz w:val="24"/>
        </w:rPr>
        <w:t>. (a) The Administrative Agent or an Issuing Bank, as applicable, shall determine the Dollar Equivalent amounts of Term Benchmark Borrowings or RFR Borrowing or Letter of Credit extensions denominated in Foreign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an Issuing Bank, as applicable.</w:t>
      </w:r>
    </w:p>
    <w:p>
      <w:pPr>
        <w:pStyle w:val="TextBody"/>
        <w:bidi w:val="0"/>
        <w:spacing w:lineRule="auto" w:line="240" w:before="0" w:after="240"/>
        <w:ind w:left="0" w:right="0" w:firstLine="936"/>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Loan or Letter of Credit is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denominated in a Foreign Currency, such amount shall be the Dollar Equivalent of such amount (rounded to the nearest unit of such Foreign Currency, with 0.5 of a unit being rounded upward), as determined by the Administrative Agent or an Issuing Bank, as the case may be.</w:t>
      </w:r>
    </w:p>
    <w:p>
      <w:pPr>
        <w:pStyle w:val="TextBody"/>
        <w:bidi w:val="0"/>
        <w:spacing w:lineRule="auto" w:line="240" w:before="0" w:after="240"/>
        <w:jc w:val="center"/>
        <w:rPr/>
      </w:pPr>
      <w:r>
        <w:rPr>
          <w:rFonts w:ascii="Times New Roman;serif" w:hAnsi="Times New Roman;serif"/>
          <w:b w:val="false"/>
          <w:color w:val="000000"/>
          <w:sz w:val="24"/>
        </w:rPr>
        <w:t>Article II</w:t>
      </w:r>
      <w:r>
        <w:rPr>
          <w:rFonts w:ascii="Times New Roman;serif" w:hAnsi="Times New Roman;serif"/>
          <w:b w:val="false"/>
          <w:color w:val="000000"/>
          <w:sz w:val="24"/>
          <w:u w:val="single"/>
        </w:rPr>
        <w:br/>
        <w:br/>
        <w:t>The Credits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Commitments</w:t>
      </w:r>
      <w:r>
        <w:rPr>
          <w:rFonts w:ascii="Times New Roman;serif" w:hAnsi="Times New Roman;serif"/>
          <w:b w:val="false"/>
          <w:color w:val="000000"/>
          <w:sz w:val="24"/>
        </w:rPr>
        <w:t>. Subject to the terms and conditions set forth herein, (a) each Revolving Lender (severally and not jointly) agrees to make Revolving Loans to the Borrower in Dollars or in one or more Foreign Currencies from time to time during the Availability Period in an aggregate principal amount that will not result (after giving effect to any application of proceeds of such Borrowing pursuant to Section 2.10) in (i) the Dollar Equivalent of such Lender’s Revolving Credit Exposure exceeding such Lender’s Revolving Commitment or (ii) the Dollar Equivalent of the total outstanding Revolving Loans and LC Exposure, in each case denominated in Foreign Currencies, exceeding the Foreign Currency Sublimit, and (b) each Term Lender with a Term Loan Commitment (severally and not jointly) agrees to make a Term Loan to the Borrower in Dollars on the Effective Date, in an amount equal to such Lender’s Term Loan Commitment by making immediately available funds available to the Administrative Agent’s designated account, not later than the time specified by the Administrative Agent. Within the foregoing limits and subject to the terms and conditions set forth herein, the Borrower may borrow, prepay and reborrow Revolving Loans. Amounts repaid or prepaid in respect of Term Loans may not be reborrowed.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Loans and Borrowings</w:t>
      </w:r>
      <w:r>
        <w:rPr>
          <w:rFonts w:ascii="Times New Roman;serif" w:hAnsi="Times New Roman;serif"/>
          <w:b w:val="false"/>
          <w:color w:val="000000"/>
          <w:sz w:val="24"/>
        </w:rPr>
        <w:t xml:space="preserve">. (a) 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Commitments of the Lenders are several and no Lender shall be responsible for any other Lender’s failure to make Loans as required. Any Swingline Loan shall be made in accordance with the procedures set forth in Section 2.05. The Term Loans shall amortize as set forth in Section 2.10.</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Section 2.14, each Borrowing shall be comprised (A) in the case of Borrowings in Dollars, entirely of ABR Loans, Term Benchmark Loans or RFR Loans and (B) in the case of Borrowings in any other Agreed Currency, entirely of Term Benchmark Loans or RFR Loans, as applicable, in each case of the same Agreed Currency, as the Borrower may request in accordance herewith;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all Borrowings made on the Effective Date must be made as ABR Borrowings but may be converted into Term Benchmark Borrowings in accordance with Section 2.08 and each ABR Loan shall only be made in Dollars. Each Swingline Loan shall be an ABR Loan. Each Lender at its option may make any Term Benchmark Loan by causing any domestic or foreign branch or Affiliate of such Lender to make such Loan (and in the case of an Affiliate, the provisions of Sections 2.14, 2.15, 2.16 and 2.17 shall apply to such Affiliate to the same extent as to such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exercise of such option shall not affect the obligation of the Borrower to repay such Loan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 the commencement of each Interest Period for any Term Benchmark Revolving Borrowing, such Borrowing shall be in an aggregate amount that is an integral multiple of the Dollar Equivalent of $1,000,000 and not less than the Dollar Equivalent of $500,000. At the time that each ABR Revolving Borrowing and/or RFR Borrowing is made, such Borrowing shall be in an aggregate amount that is an integral multiple of the Dollar Equivalent of $1,000,000 and not less than the Dollar Equivalent of $500,000;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 ABR Revolving Borrowing may be in an aggregate amount that is equal to the entire unused balance of the total Revolving Commitments or that is required to finance the reimbursement of an LC Disbursement as contemplated by Section 2.06(e). Each Swingline Loan shall be in an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amount that is an integral multiple of $1,000,000 and not less than $500,000. Borrowings of more than one Type and Class may be outstanding at the same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there shall not at any time be more than a total of fifteen (15) Term Benchmark Revolving Borrowings or RFR Borrowings outstanding.</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 other provision of this Agreement, the Borrower shall not be entitled to request, or to elect to convert or continue, any Borrowing if the Interest Period requested with respect thereto would end after the Maturity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Requests for Borrowings</w:t>
      </w:r>
      <w:r>
        <w:rPr>
          <w:rFonts w:ascii="Times New Roman;serif" w:hAnsi="Times New Roman;serif"/>
          <w:b w:val="false"/>
          <w:color w:val="000000"/>
          <w:sz w:val="24"/>
        </w:rPr>
        <w:t xml:space="preserve">. To request a Borrowing, the Borrower shall notify the Administrative Agent of such request by submitting a Borrowing Request (a)(i)(x) in the case of a Term Benchmark Borrowing denominated in Dollars, not later than 11:00 a.m., New York City time, three U.S. Government Securities Business Days before the date of the proposed Borrowing or (y) in the case of an RFR Borrowing denominated in Dollars, not later than 11:00 a.m. New York City time, five U.S. Government Securities Business Days before the date of the proposed Borrowing, and (ii) in the case of a Term Benchmark Borrowing denominated in a Foreign Currency, not later than 11:00 a.m., New York City time, three Business Days before the date of the proposed Borrowing, or (b) in the case of an ABR Borrowing, not later than 11:00 a.m., New York City time, one (1) Business Day before the date of the proposed Borrowing;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notice of an ABR Revolving Borrowing to finance the reimbursement of an LC Disbursement as contemplated by Section 2.06(e) may be given not later than 10:00 a.m., New York City time, on the date of the proposed Borrowing. Each such Borrowing Request shall be irrevocable and shall be signed by a Responsible Officer of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Borrowing Request is submitted through an Approved Borrower Portal, the foregoing signature requirement may be waived at the sole discretion of the Administrative Agent. Each such Borrowing Request shall specify the following information in compliance with Section 2.02:</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Agreed Currency and aggregate amount of the requested Borrowing;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date of such Borrowing, which shall be a Business Day;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(iii)whether such Borrowing is to be an ABR Borrowing or a Term Benchmark Borrowing or an RFR Borrowing and whether such Borrowing is a Revolving Borrowing or a Term Loan Borrowing;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(iv)in the case of a Term Benchmark Borrowing, the initial Interest Period to be applicable thereto, which shall be a period contemplated by the definition of the term “Interest Period”;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location and number of the Borrower’s account to which funds are to be disbursed, which shall comply with the requirements of Section 2.07.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If no election as to the currency of a Borrowing is specified, then the requested Borrowing shall be made in Dollars. If no election as to the Type of Borrowing is specified, then the requested Borrowing shall be an ABR Borrowing made in Dollars. If no Interest Period is specified with respect to any requested Term Benchmark Revolving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 Notwithstanding the foregoing, in no event shall the Borrower be permitted to request pursuant to this Section 2.03, a CBR Loan or, prior to a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Transition Event and Benchmark Replacement Date with respect to the Term SOFR Rate, a Daily Simple SOFR Loan (it being understood and agreed that a Central Bank/Prime Rate and Daily Simple SOFR shall only apply to the extent provided in Sections 2.08(e) (solely with respect to the Central Bank/Prime Rate), 2.14(a) and 2.14(f)).</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2.04.</w:t>
      </w:r>
      <w:r>
        <w:rPr>
          <w:rFonts w:ascii="Times New Roman;serif" w:hAnsi="Times New Roman;serif"/>
          <w:b/>
          <w:color w:val="000000"/>
          <w:sz w:val="24"/>
          <w:u w:val="single"/>
        </w:rPr>
        <w:t>[</w:t>
      </w:r>
      <w:r>
        <w:rPr>
          <w:rFonts w:ascii="Times New Roman;serif" w:hAnsi="Times New Roman;serif"/>
          <w:b w:val="false"/>
          <w:color w:val="000000"/>
          <w:sz w:val="24"/>
          <w:u w:val="single"/>
        </w:rPr>
        <w:t>Reserved.</w:t>
      </w:r>
      <w:r>
        <w:rPr>
          <w:rFonts w:ascii="Times New Roman;serif" w:hAnsi="Times New Roman;serif"/>
          <w:b/>
          <w:color w:val="000000"/>
          <w:sz w:val="24"/>
          <w:u w:val="single"/>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Swingline Loans</w:t>
      </w:r>
      <w:r>
        <w:rPr>
          <w:color w:val="000000"/>
          <w:u w:val="single"/>
        </w:rPr>
        <w:t xml:space="preserve"> </w:t>
      </w:r>
      <w:r>
        <w:rPr>
          <w:rFonts w:ascii="Times New Roman;serif" w:hAnsi="Times New Roman;serif"/>
          <w:b w:val="false"/>
          <w:color w:val="000000"/>
          <w:sz w:val="24"/>
        </w:rPr>
        <w:t xml:space="preserve">(a) Subject to the terms and conditions set forth herein, from time to time during the Availability Period, each Swingline Lender severally may, but shall have no obligation to, make Swingline Loans in Dollars to the Borrower in an aggregate principal amount at any time outstanding that will not result in (i) the aggregate principal amount of outstanding Swingline Loans exceeding $20,000,000 or (ii) the Dollar Equivalent of the Swingline Lender’s Revolving Credit Exposure exceeding its Revolving Commitment;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Swingline Lender shall not be required to make a Swingline Loan to refinance an outstanding Swingline Loan. Within the foregoing limits and subject to the terms and conditions set forth herein, the Borrower may borrow, prepay and reborrow Swingline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To request a Swingline Loan, the Borrower shall submit a written notice to the Administrative Agent by telecopy or electronic mail (or transmit by electronic communication including an Approved Borrower Portal, if arrangements for such transmission have been approved by the Administrative Agent) not later than 12:00 noon, New York City time, on the day of a proposed Swingline Loan. Each such notice shall be in a form approved by the Administrative Agent, shall be irrevocable and shall specify the requested date (which shall be a Business Day) and amount of the requested Swingline Loan. The Administrative Agent will promptly advise the Swingline Lenders of any such notice received from the Borrower. The Swingline Lender shall make each Swingline Loan available to the Borrower by means of a credit to an account of the Borrower with the Administrative Agent designated for such purpose (or, in the case of a Swingline Loan made to finance the reimbursement of an LC Disbursement as provided in Section 2.06(e), by remittance to the Issuing Bank) by 3:00 p.m., New York City time, on the requested date of such Swingline Loan.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Swingline Lender may by written notice given to the Administrative Agent require the Revolving Lenders to acquire participations in all or a portion of its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Lender’s Applicable Percentage of such Swingline Loans. Each Revolving Lender hereby absolutely and unconditionally agrees, promptly upon receipt of such notice from the Administrative Agent (and in any event, if such notice is received by 12:00 noon, New York City time, on a Business Day no later than 5:00 p.m. New York City time on such Business Day and if received after 12:00 noon, New York City time, on a Business Day shall mean no later than 10:00 a.m. New York City time on the immediately succeeding Business Day), to pay to the Administrative Agent, for the account of the Swingline Lender, such Lender’s Applicable Percentage of such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2.07 with respect to Loans made by such Lender (and Section 2.07 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xml:space="preserve">, to the payment obligations of the Lenders), and the Administrative Agent shall promptly pay to the Swingline Lender the amounts so received by it from the Lenders. The Administrative Agent shall notify the Borrower of any participations in any Swingline Loan acquired pursuant to this paragraph, and thereafter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payments in respect of such Swingline Loan shall be made to the Administrative Agent and not to the Swingline Lender. Any amounts received by the Swingline Lender from the Borrower (or other party on behalf of the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payment so remitted shall be repaid to the Swingline Lender or to the Administrative Agent, as applicable, if and to the extent such payment is required to be refunded to the Borrower for any reason. The purchase of participations in a Swingline Loan pursuant to this paragraph shall not relieve the Borrower of any default in the payment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Swingline Lender may be replaced at any time by written agreement among the Borrower, the Administrative Agent, the replaced Swingline Lender and the successor Swingline Lender. The Administrative Agent shall notify the Lenders of any such replacement of the Swingline Lender. At the time any such replacement shall become effective, the Borrower shall pay all unpaid interest accrued for the account of the replaced Swingline Lender pursuant to Section 2.13(a).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Subject to the appointment and acceptance of a successor Swingline Lender, the Swingline Lender may resign as Swingline Lender at any time upon thirty days’ prior written notice to the Administrative Agent, the Borrower and the Lenders, in which case, the Swingline Lender shall be replaced in accordance with Section 2.05(d) 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Letters of Credit</w:t>
      </w:r>
      <w:r>
        <w:rPr>
          <w:color w:val="000000"/>
          <w:u w:val="single"/>
        </w:rPr>
        <w:t xml:space="preserve"> </w:t>
      </w:r>
      <w:r>
        <w:rPr>
          <w:rFonts w:ascii="Times New Roman;serif" w:hAnsi="Times New Roman;serif"/>
          <w:b w:val="false"/>
          <w:color w:val="000000"/>
          <w:sz w:val="24"/>
        </w:rPr>
        <w:t xml:space="preserve">(a) </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Subject to the terms and conditions set forth herein, the Borrower may request any Issuing Bank to issue Letters of Credit denominated in Agreed Currencies as the applicant thereof for the support of its or its Subsidiaries’ obligations, in a form reasonably acceptable to such Issuing Bank, at any time and from time to time during the Availability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that Bank of America, N.A. shall not be required to issue any new Letter of Credit pursuant to this Section 2.06 (but shall continue to act as Issuing Bank in respect of the Existing Letters of Credit until the stated maturity thereof as of the Effective Date, as listed on Schedule 2.06 hereto) unless and until the BANA Commitment Start Date has occurred. Each Existing Letter of Credit shall be deemed to constitute a Letter of Credit issued hereunder on the Effective Date.</w:t>
      </w:r>
    </w:p>
    <w:p>
      <w:pPr>
        <w:pStyle w:val="TextBody"/>
        <w:bidi w:val="0"/>
        <w:spacing w:lineRule="auto" w:line="288" w:before="0" w:after="240"/>
        <w:jc w:val="both"/>
        <w:rPr/>
      </w:pPr>
      <w:r>
        <w:rPr>
          <w:rFonts w:ascii="Times New Roman;serif" w:hAnsi="Times New Roman;serif"/>
          <w:b w:val="false"/>
          <w:color w:val="000000"/>
          <w:sz w:val="24"/>
        </w:rPr>
        <w:t>If (i) any letter of credit has been previously issued by an Issuing Bank, (ii) the reimbursement obligations of the account party (the “</w:t>
      </w:r>
      <w:r>
        <w:rPr>
          <w:rFonts w:ascii="Times New Roman;serif" w:hAnsi="Times New Roman;serif"/>
          <w:b/>
          <w:i/>
          <w:color w:val="000000"/>
          <w:sz w:val="24"/>
        </w:rPr>
        <w:t>Original Letter of Credit Account Party</w:t>
      </w:r>
      <w:r>
        <w:rPr>
          <w:color w:val="000000"/>
        </w:rPr>
        <w:t>”</w:t>
      </w:r>
      <w:r>
        <w:rPr>
          <w:rFonts w:ascii="Times New Roman;serif" w:hAnsi="Times New Roman;serif"/>
          <w:b w:val="false"/>
          <w:color w:val="000000"/>
          <w:sz w:val="24"/>
        </w:rPr>
        <w:t xml:space="preserve">) relating to such letter of credit have been or are assumed in writing by the Borrower pursuant to a Permitted Acquisition or other transaction, in each case, permitted under this Agreement, (iii) after giving effect to the inclusion of such letter of credit as a Letter of Credit hereunder, the provisions of Section 2.06(b) shall not be contravened, (iv) such letter of credit satisfies all of the requirements of a Letter of Credit hereunder, and (v) the conditions of Sections 4.01 and 4.02 are satisfied, then upon the written request (which request shall include a statement that the foregoing requirements (i) through (v), inclusive, have been satisfied) of the Borrower to such Issuing Bank (consented to in writing by such Issuing Bank) and the submission by the Borrower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Administrative Agent of a copy of such request bearing such consent, such letter of credit shall be (from the date of such consent of such Issuing Bank) deemed a Letter of Credit for all purposes of this Agreement and the other Loan Documents and considered issued hereunder pursuant to the terms hereof (the terms hereof and of the other Loan Documents shall govern and prevail in the case of any conflict with the provisions of the agreement(s) pursuant to which such letter of credit had been issued (such agreement(s), the “</w:t>
      </w:r>
      <w:r>
        <w:rPr>
          <w:rFonts w:ascii="Times New Roman;serif" w:hAnsi="Times New Roman;serif"/>
          <w:b/>
          <w:i/>
          <w:color w:val="000000"/>
          <w:sz w:val="24"/>
        </w:rPr>
        <w:t>Original Letter of Credit Agreements</w:t>
      </w:r>
      <w:r>
        <w:rPr>
          <w:color w:val="000000"/>
        </w:rPr>
        <w:t>”</w:t>
      </w:r>
      <w:r>
        <w:rPr>
          <w:rFonts w:ascii="Times New Roman;serif" w:hAnsi="Times New Roman;serif"/>
          <w:b w:val="false"/>
          <w:color w:val="000000"/>
          <w:sz w:val="24"/>
        </w:rPr>
        <w:t>), and such Issuing Bank shall be deemed to have released the Original Letter of Credit Account Party and the Borrower, as applicable, from the Original Letter of Credit Agreements to the extent of such conflict). Notwithstanding that any such assumed letter of credit is in support of any obligations of, or is for the account of, a Subsidiary, the Borrower agrees that it shall be obligated to reimburse the applicable Issuing Bank hereunder for any and all drawings under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 of Issuance, Amendment, Renewal, Extension; Certain Conditions</w:t>
      </w:r>
      <w:r>
        <w:rPr>
          <w:rFonts w:ascii="Times New Roman;serif" w:hAnsi="Times New Roman;serif"/>
          <w:b w:val="false"/>
          <w:color w:val="000000"/>
          <w:sz w:val="24"/>
        </w:rPr>
        <w:t>. To request the issuance of a Letter of Credit (or the amendment, renewal or extension of an outstanding Letter of Credit, it being acknowledged and agreed that the Existing Letters of Credit shall not be permitted to be extended or renewed), the Borrower shall hand deliver or telecopy (or transmit by electronic communication, including an Approved Borrower Portal, if arrangements for doing so have been approved by the respective Issuing Bank) to an Issuing Bank selected by it and to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or extension (which shall be a Business Day), the date on which such Letter of Credit is to expire (which shall comply with paragraph (c) of this Section), the amount of such Letter of Credit, the Agreed Currency applicable thereto, the name and address of the beneficiary thereof and such other information as shall be necessary to prepare, amend, renew or extend such Letter of Credit. In addition, as a condition to any such Letter of Credit issuance, the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Times New Roman;serif" w:hAnsi="Times New Roman;serif"/>
          <w:b/>
          <w:i/>
          <w:color w:val="000000"/>
          <w:sz w:val="24"/>
        </w:rPr>
        <w:t>Letter of Credit Agreement</w:t>
      </w:r>
      <w:r>
        <w:rPr>
          <w:color w:val="000000"/>
        </w:rPr>
        <w:t>”</w:t>
      </w:r>
      <w:r>
        <w:rPr>
          <w:rFonts w:ascii="Times New Roman;serif" w:hAnsi="Times New Roman;serif"/>
          <w:b w:val="false"/>
          <w:color w:val="000000"/>
          <w:sz w:val="24"/>
        </w:rPr>
        <w:t xml:space="preserve">). In the event of any conflict between the terms and conditions of this Agreement and the terms and conditions of any Letter of Credit Agreement, the terms and conditions of this Agreement shall control. A Letter of Credit shall be issued, amended, renewed or extended only if (and upon issuance, amendment, renewal or extension of each Letter of Credit the Borrower shall be deemed to represent and warrant that), after giving effect to such issuance, amendment, renewal or extension (i)  (x) the Dollar Equivalent of the aggregate undrawn amount of all outstanding Letters of Credit issued by any Issuing Bank at such time plus (y) the aggregate Dollar Equivalent of all LC Disbursements made by such Issuing Bank that have not yet been reimbursed by or on behalf of the Borrower at such time shall not exceed its Letter of Credit Commitment, (ii) the Dollar Equivalent of the LC Exposure shall not exceed the total Letter of Credit Commitments, (iii) no Lender’s Dollar Equivalent of Revolving Credit Exposure shall exceed its Revolving Commitment and (iv) the Dollar Equivalent of the total outstanding Revolving Loans and LC Exposure, in each case denominated in Foreign Currencies, shall not exceed the Foreign Currency Sublimit. The Borrower may, at any time and from time to time, reduce the Letter of Credit Commitment of any Issuing Bank with the consent of such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not reduce the Letter of Credit Commitment of any Issuing Bank if, after giving effect of such reduction, the conditions set forth in clauses (i) through (iv) above shall not be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 Issuing Bank shall not be under any obligation to issue any Letter of Credit if:</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order, judgment or decree of any Governmental Authority or arbitrator shall by its terms purport to enjoin or restrain such Issuing Bank from issuing such Letter of Credit, or request that such Issuing Bank refrain from issuing such Letter of Credit, or any law applicable to such Issuing Bank shall prohibit the issuance of letters of credit generally or such Letter of Credit in particular, or any such order, judgment or decree, or law shall impose upon such Issuing Bank with respect to such Letter of Credit any restriction, reserve or capital or liquidity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issuance of such Letter of Credit would violate one or more policies of such Issuing Bank applicable to letters of credit generally.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Expiration Date</w:t>
      </w:r>
      <w:r>
        <w:rPr>
          <w:rFonts w:ascii="Times New Roman;serif" w:hAnsi="Times New Roman;serif"/>
          <w:b w:val="false"/>
          <w:color w:val="000000"/>
          <w:sz w:val="24"/>
        </w:rPr>
        <w:t>. Each Letter of Credit shall expire (or be subject to termination by notice from the applicable Issuing Bank to the beneficiary thereof) at or prior to the close of business on the earlier of (i) the date one year after the date of the issuance of such Letter of Credit (or, in the case of any renewal or extension of the expiration date thereof, one year after such renewal or extension) and (ii) the date that is five (5) Business Days prior to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Participations</w:t>
      </w:r>
      <w:r>
        <w:rPr>
          <w:rFonts w:ascii="Times New Roman;serif" w:hAnsi="Times New Roman;serif"/>
          <w:b w:val="false"/>
          <w:color w:val="000000"/>
          <w:sz w:val="24"/>
        </w:rPr>
        <w:t>. By the issuance of a Letter of Credit (or an amendment to a Letter of Credit increasing the amount or extending the term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 on the date due as provided in paragraph (e) of this Section, or of any reimbursement payment required to be refunded to the Borrower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Reimbursement</w:t>
      </w:r>
      <w:r>
        <w:rPr>
          <w:rFonts w:ascii="Times New Roman;serif" w:hAnsi="Times New Roman;serif"/>
          <w:b w:val="false"/>
          <w:color w:val="000000"/>
          <w:sz w:val="24"/>
        </w:rPr>
        <w:t xml:space="preserve">. If an Issuing Bank shall make any LC Disbursement in respect of a Letter of Credit, the Borrower shall reimburse such LC Disbursement by paying to the Administrative Agent an amount in the currency of such LC Disbursement equal to such LC Disbursement not later than 12:00 noon, New York City time, on the date that such LC Disbursement is made, if the Borrower shall have received notice of such LC Disbursement prior to 10:00 a.m., New York City time, on such date, or, if such notice has not been received by the Borrower prior to such time on such date, then not later than 12:00 noon, New York City time, on the Business Day immediately following the day that the Borrower receives such notice, if such notice is not received prior to such time on the day of receipt;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if such LC Disbursement is denominated in Dollars and is not less than $1,000,000, the Borrower may, subject to the conditions to borrowing set forth herein, request in accordance with Section 2.03 or 2.05 that such payment be financed with an ABR Revolving Borrowing or Swingline Loan in an equivalent amount or (y) if such LC Disbursement is denominated in a Foreign Currency and the Dollar Equivalent thereof is not less than $1,000,000, the Borrower may, subject to the conditions to borrowings set forth herein, request in accordance with Section 2.03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payment be converted into an equivalent amount of an ABR Revolving Borrowing denominated in Dollars in an amount equal to the Dollar Equivalent of such Foreign Currency and, in each case, to the extent so financed, the Borrower’s obligation to make such payment shall be discharged and replaced by the resulting ABR Revolving Borrowing or Swingline Loan, as applicable. If the Borrower fails to make such payment when due, the Administrative Agent shall notify each Revolving Lender of the applicable LC Disbursement, the payment then due from the Borrower in respect thereof and such Lender’s Applicable Percentage thereof. Promptly following receipt of such notice, each Revolving Lender shall pay to the Administrative Agent its Applicable Percentage of the payment then due from the Borrower, in the same manner as provided in Section 2.07 with respect to Loans made by such Lender (and Section 2.07 shall apply, </w:t>
      </w:r>
      <w:r>
        <w:rPr>
          <w:rFonts w:ascii="Times New Roman;serif" w:hAnsi="Times New Roman;serif"/>
          <w:b w:val="false"/>
          <w:i/>
          <w:color w:val="000000"/>
          <w:sz w:val="24"/>
        </w:rPr>
        <w:t>mutatis mutandis</w:t>
      </w:r>
      <w:r>
        <w:rPr>
          <w:rFonts w:ascii="Times New Roman;serif" w:hAnsi="Times New Roman;serif"/>
          <w:b w:val="false"/>
          <w:color w:val="000000"/>
          <w:sz w:val="24"/>
        </w:rPr>
        <w:t>, to the payment obligations of the Revolving Lenders), and the Administrative Agent shall promptly pay to the respective Issuing Bank the amounts so received by it from the Revolving Lenders. Promptly following receipt by the Administrative Agent of any payment from the Borrower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ABR Revolving Loans or a Swingline Loan as contemplated above) shall not constitute a Loan and shall not relieve the Borrower of its obligation to reimburse such LC Disbursement. If the Borrower’s reimbursement of, or obligation to reimburse, any amounts in any Foreign Currency would subject the Administrative Agent, the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Issuing Bank or the relevant Lender or (y) reimburse each LC Disbursement made in such Foreign Currency in Dollars, in an amount equal to the Dollar Equivalent thereof, calculated using the applicable Exchange Rates, on the date such LC Disbursement is made, of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Obligations Absolute</w:t>
      </w:r>
      <w:r>
        <w:rPr>
          <w:rFonts w:ascii="Times New Roman;serif" w:hAnsi="Times New Roman;serif"/>
          <w:b w:val="false"/>
          <w:color w:val="000000"/>
          <w:sz w:val="24"/>
        </w:rPr>
        <w:t xml:space="preserve">. The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(ii) any draft or other document presented under a Letter of Credit proving to be forged, fraudulent or invalid in any respect or any statement therein being untrue or inaccurate in any respect, (iii) payment by the respective Issuing Bank under a Letter of Credit against presentation of a draft or other document that does not comply with the terms of such Letter of Credit, (iv) any other event or circumstance whatsoever, whether or not similar to any of the foregoing, that might, but for the provisions of this Section, constitute a legal or equitable discharge of, or provide a right of setoff against, the Borrower’s obligations hereunder or (v) any adverse change in the relevant exchange rates or in the availability of the relevant Foreign Currency to the Borrower or any Subsidiary or in the relevant currency markets generally.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document,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be construed to excuse an Issuing Bank from liability to the Borrower to the extent of any direct damages (as opposed to special, indirect,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Disbursement Procedures</w:t>
      </w:r>
      <w:r>
        <w:rPr>
          <w:rFonts w:ascii="Times New Roman;serif" w:hAnsi="Times New Roman;serif"/>
          <w:b w:val="false"/>
          <w:color w:val="000000"/>
          <w:sz w:val="24"/>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Borrower by telephone (confirmed by telecopy or electronic mail) of such demand for payment if such Issuing Bank has made or will make an LC Disbursement thereunder;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notice need not be given prior to payment by the Issuing Bank and any failure to give or delay in giving such notice shall not relieve the Borrower of its obligation to reimburse such Issuing Bank and the Revolving Lenders with respect to any such LC Disbursement.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Interim Interest</w:t>
      </w:r>
      <w:r>
        <w:rPr>
          <w:rFonts w:ascii="Times New Roman;serif" w:hAnsi="Times New Roman;serif"/>
          <w:b w:val="false"/>
          <w:color w:val="000000"/>
          <w:sz w:val="24"/>
        </w:rPr>
        <w:t xml:space="preserve">. If the Issuing Bank for any Letter of Credit shall make any LC Disbursement, then, unless the Borrower shall reimburse such LC Disbursement in full in the applicable currency on the date such LC Disbursement is made, the unpaid amount thereof shall bear interest, for each day from and including the date such LC Disbursement is made to but excluding the date that the reimbursement is due and payable at the rate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 xml:space="preserve">then applicable to ABR Revolving Loans and such interest shall be due and payable on the date when such reimbursement is payable;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Borrower fails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Replacement and Resignation of an Issuing Bank</w:t>
      </w:r>
      <w:r>
        <w:rPr>
          <w:rFonts w:ascii="Times New Roman;serif" w:hAnsi="Times New Roman;serif"/>
          <w:b w:val="false"/>
          <w:color w:val="000000"/>
          <w:sz w:val="24"/>
        </w:rPr>
        <w:t>. (i) An Issuing Bank may be replaced at any time by written agreement among the Borrower, the Administrative Agent, the replaced Issuing Bank and the successor Issuing Bank. The Administrative Agent shall notify the Revolving Lenders of any such replacement of an Issuing Bank. At the time any such replacement shall become effective, the Borrower shall pay all unpaid fees accrued for the account of the replaced Issuing Bank pursuant to Section 2.12(b). From and after the effective date of any such replacement, (x) the successor Issuing Bank shall have all the rights and obligations of an Issuing Bank under this Agreement with respect to Letters of Credit to be issued by it thereafter and (y)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(i)Subject to the appointment and acceptance of a successor Issuing Bank, any Issuing Bank may resign as an Issuing Bank at any time upon thirty days’ prior written notice to the Administrative Agent, the Borrower and the Lenders, in which case, such resigning Issuing Bank shall be replaced in accordance with Section 2.06(i)(i) above.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Cash Collateralization</w:t>
      </w:r>
      <w:r>
        <w:rPr>
          <w:rFonts w:ascii="Times New Roman;serif" w:hAnsi="Times New Roman;serif"/>
          <w:b w:val="false"/>
          <w:color w:val="000000"/>
          <w:sz w:val="24"/>
        </w:rPr>
        <w:t>. If any Event of Default shall occur and be continuing, on the Business Day that the Borrower receives notice from the Administrative Agent or the Required Lenders (or, if the maturity of the Loans has been accelerated, Revolving Lenders with LC Exposure representing greater than 50% of the total LC Exposure) demanding the deposit of cash collateral pursuant to this paragraph, the Borrower shall deposit in an account or accounts with the Administrative Agent, in the name of the Administrative Agent and for the benefit of the Revolving Lenders (the “</w:t>
      </w:r>
      <w:r>
        <w:rPr>
          <w:rFonts w:ascii="Times New Roman;serif" w:hAnsi="Times New Roman;serif"/>
          <w:b/>
          <w:i/>
          <w:color w:val="000000"/>
          <w:sz w:val="24"/>
        </w:rPr>
        <w:t>Collateral Account</w:t>
      </w:r>
      <w:r>
        <w:rPr>
          <w:color w:val="000000"/>
        </w:rPr>
        <w:t>”</w:t>
      </w:r>
      <w:r>
        <w:rPr>
          <w:rFonts w:ascii="Times New Roman;serif" w:hAnsi="Times New Roman;serif"/>
          <w:b w:val="false"/>
          <w:color w:val="000000"/>
          <w:sz w:val="24"/>
        </w:rPr>
        <w:t xml:space="preserve">), an amount in cash equal to 105% of the Dollar Equivalent amount of the LC Exposure in the applicable currencies as of such date plus any accrued and unpaid interest thereon;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obligation to deposit such cash collateral shall become effective immediately, and such deposit shall become immediately due and payable, without demand or other notice of any kind, upon the occurrence of any Event of Default with respect to the Borrower described in Section 7.01(f). The Borrower also shall deposit cash collateral pursuant to this paragraph as and to the extent required by Section 2.11(c). Such deposit shall be held by the Administrative Agent as collateral for the payment and performance of the obligations of the Borrower under this Agreement. In addition, and without limiting the foregoing or paragraph (c) of this Section, if any LC Exposure remain outstanding after the expiration date specified in said paragraph (c), the Borrower shall immediately deposit into the Collateral Account an amount in cash equal to 105% of such LC Exposure as of such date plus any accrued and unpaid interest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Administrative Agent shall have exclusive dominion and control, including the exclusive right of withdrawal, over such account and the Borrower hereby grants the Administrative Agent a security interest in the Collateral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greater than 50% of the total LC Exposure), be applied to satisfy other Secured Obligations. If the Borrower is required to provide an amount of cash collateral hereunder as a result of the occurrence of an Event of Default, such amount (to the extent not applied as aforesaid) shall be returned to the Borrower within three Business Days after all Events of Default have been cured or waived.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Letters of Credit Issued for Account of Subsidiaries</w:t>
      </w:r>
      <w:r>
        <w:rPr>
          <w:rFonts w:ascii="Times New Roman;serif" w:hAnsi="Times New Roman;serif"/>
          <w:b w:val="false"/>
          <w:color w:val="000000"/>
          <w:sz w:val="24"/>
        </w:rPr>
        <w:t xml:space="preserve">. Notwithstanding that a Letter of Credit issued or outstanding hereunder supports any obligations of, or is for the account of, a Subsidiary, or states that a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Borrower (i) shall reimburse, indemnify and compensate the applicable Issuing Bank hereunder for such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to reimburse any and all drawings thereunder) as if such Letter of Credit had been issued solely for the account of the Borrower and (ii) irrevocably waives any and all defenses that might otherwise be available to it as a guarantor or surety of any or all of the obligations of such Subsidiary in respect of such Letter of Credit. The Borrower hereby acknowledges that the issuance of such Letters of Credit for its Subsidiaries inures to the benefit of the Borrower, and that the Borrower’s business derives substantial benefits from the businesses of such Subsidiaries.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Issuing Bank Agreements</w:t>
      </w:r>
      <w:r>
        <w:rPr>
          <w:rFonts w:ascii="Times New Roman;serif" w:hAnsi="Times New Roman;serif"/>
          <w:b w:val="false"/>
          <w:color w:val="000000"/>
          <w:sz w:val="24"/>
        </w:rPr>
        <w:t>. Unless otherwise requested by the Administrative Agent, each Issuing Bank shall report in writing to the Administrative Agent (i) promptly following the end of each calendar month, the aggregate amount of Letters of Credit issued by it and outstanding at the end of such month, (ii) on or prior to each Business Day on which such Issuing Bank expects to issue, amend, renew or extend any Letter of Credit, the date of such issuance, amendment, renewal or extension, and the aggregate face amount of the Letter of Credit to be issued, amended, renewed or extended by it and outstanding after giving effect to such issuance, amendment, renewal or extension occurred (and whether the amount thereof changed), it being understood that such Issuing Bank shall not permit any issuance, renewal, extension or amendment resulting in an increase in the amount of any Letter of Credit to occur without first obtaining written confirmation from the Administrative Agent that it is then permitted under this Agreement, (iii) on each Business Day on which such Issuing Bank makes any payment under any Letter of Credit, the date of such payment under such Letter of Credit and the amount of such payment, (iv) on any Business Day on which the Borrower fails to reimburse any payment under any Letter of Credit required to be reimbursed to such Issuing Bank on such day, the date of such failure and the amount of such payment and (v) on any other Business Day, such other information as the Administrative Agent shall reasonably request.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2.07.</w:t>
      </w:r>
      <w:r>
        <w:rPr>
          <w:rFonts w:ascii="Times New Roman;serif" w:hAnsi="Times New Roman;serif"/>
          <w:b w:val="false"/>
          <w:color w:val="000000"/>
          <w:sz w:val="24"/>
          <w:u w:val="single"/>
        </w:rPr>
        <w:t>Funding of Borrowings</w:t>
      </w:r>
      <w:r>
        <w:rPr>
          <w:rFonts w:ascii="Times New Roman;serif" w:hAnsi="Times New Roman;serif"/>
          <w:b w:val="false"/>
          <w:color w:val="000000"/>
          <w:sz w:val="24"/>
        </w:rPr>
        <w:t xml:space="preserve">. (a) Each Lender shall make each Loan to be made by it hereunder on the proposed date thereof solely by wire transfer of immediately available funds (i) in the case of Loans denominated in Dollars, by 12:00 noon, New York City time, to the account of the Administrative Agent most recently designated by it for such purpose by notice to the Lenders and (ii) in the case of each Loan denominated in a Foreign Currency, by 12:00 noon, Local Time, in the city of the Administrative Agent’s Eurocurrency Payment Office for such currency and at such Eurocurrency Payment Office for such currency;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Term Loans shall be made as provided in Section 2.01(b) and (ii) Swingline Loans shall be made as provided in Section 2.05. Except in respect of the provisions of this Agreement covering the reimbursement of Letters of Credit, the Administrative Agent will make such Loans available to the Borrower by promptly crediting the funds so received in the aforesaid account of the Administrative Agent to (x) an account of the Borrower maintained with the Administrative Agent in New York City or Chicago and designated by the Borrower in the applicable Borrowing Request, in the case of Loans Denominated in Dollars and (y) an account of the Borrower in the relevant jurisdiction and designated by the Borrower in the applicable Borrowing Request, in the case of Loans denominated in a Foreign Currency;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ABR Revolving Loans made to finance the reimbursement of an LC Disbursement as provided in Section 2.06(e) shall be remitted by the Administrative Agent to the Issuing Bank.</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Administrative Agent, at (i) in the case of such Lender, the greater of the applicable Overnight Rate and a rate determined by the Administrative Agent in accordance with banking industry rules on interbank compensation or (ii) in the case of the Borrower, the interest rate applicable to ABR Loans, or in the case of Foreign Currencies, in accordance with such market practice, in each case, as applicable. If such Lender pays such amount to the Administrative Agent, then such amount shall constitute such Lender’s Loan included in such Borrowing.</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2.08.</w:t>
      </w:r>
      <w:r>
        <w:rPr>
          <w:rFonts w:ascii="Times New Roman;serif" w:hAnsi="Times New Roman;serif"/>
          <w:b w:val="false"/>
          <w:color w:val="000000"/>
          <w:sz w:val="24"/>
          <w:u w:val="single"/>
        </w:rPr>
        <w:t>Interest Elections</w:t>
      </w:r>
      <w:r>
        <w:rPr>
          <w:rFonts w:ascii="Times New Roman;serif" w:hAnsi="Times New Roman;serif"/>
          <w:b w:val="false"/>
          <w:color w:val="000000"/>
          <w:sz w:val="24"/>
        </w:rPr>
        <w:t>. (a) Each Borrowing initially shall be of the Type and Agreed Currency specified in the applicable Borrowing Request and, in the case of a Term Benchmark Revolving Borrowing, shall have an initial Interest Period as specified in such Borrowing Request. Thereafter, the Borrower may elect to convert such Borrowing to a different Type or to continue such Borrowing and, in the case of a Term Benchmark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which may not be converted or continued.</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make an election pursuant to this Section, the Borrower shall notify the Administrative Agent of such election by the time that a Borrowing Request would be required under Section 2.03 if the Borrower were requesting a Borrowing of the Type resulting from such election to be made on the effective date of such election. Each such Interest Election Request shall be irrevocable and shall be signed by a Responsible Officer of 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Interest Election Request is submitted through an Approved Borrower Portal, the foregoing signature requirement may be waived at the sole discretion of the Administrative Agent. Notwithstanding any contrary provision herein, this Section shall not be construed to permit the Borrower to (i) change the currency of any Borrowing, (ii) elect an Interest Period for Term Benchmark Loans that does not comply with Section 2.02(d) or (iii) convert any Borrowing to a Borrowing of a Type not available under the Class of Commitments pursuant to which such Borrowing was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Interest Election Request shall specify the following information in compliance with Section 2.02:</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Agreed Currency and principal amount of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effective date of the election made pursuant to such Interest Election Request, which shall be a Business Day;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(iii)whether the resulting Borrowing is to be an ABR Borrowing in the case of Borrowings denominated in Dollars, or a Term Benchmark Borrowing or an RFR Borrowing;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(iv)if the resulting Borrowing is a Term Benchmark Borrowing, the Interest Period and Agreed Currency to be applicable thereto after giving effect to such election, which Interest Period shall be a period contemplated by the definition of the term “</w:t>
      </w:r>
      <w:r>
        <w:rPr>
          <w:rFonts w:ascii="Times New Roman;serif" w:hAnsi="Times New Roman;serif"/>
          <w:b/>
          <w:i/>
          <w:color w:val="000000"/>
          <w:sz w:val="24"/>
        </w:rPr>
        <w:t>Interest Period</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any such Interest Election Request requests a Term Benchmark Borrowing but does not specify an Interest Period, then the Borrower shall be deemed to have selected an Interest Period of one month’s duration. Notwithstanding the foregoing, in no event shall the Borrower be permitted to request pursuant to this Section 2.08(c) a CBR Loan or, prior to a Benchmark Transition Event and Benchmark Replacement Date with respect to the Term SOFR Rate, a Daily Simple SOFR Loan (it being understood and agreed that a Central Bank/Prime Rate and Daily Simple SOFR shall only apply to the extent provided in Sections 2.08(e) (solely with respect to the Central Bank/Prime Rate), 2.14(a) and 2.14(f).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Promptly following receipt of an Interest Election Request, the Administrative Agent shall advise each Lender of the details thereof and of such Lender’s portion of each resulting Borrowing.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If the Borrower fails to deliver a timely Interest Election Request with respect to a Term Benchmark Revolving Borrowing in Dollars prior to the end of the Interest Period applicable thereto, then, unless such Borrowing is repaid as provided herein, at the end of such Interest Period such Borrowing shall be deemed to have an Interest Period that is one month. If the Borrower fails to deliver a timely and complete Interest Election Request with respect to a Term Benchmark Borrowing in a Foreign Currency prior to the end of the Interest Period therefor, then, unless such Term Benchmark Borrowing is repaid as provided herein, the Borrower shall be deemed to have selected that such Term Benchmark Borrowing shall automatically be continued as a Term Benchmark Borrowing in its original Agreed Currency with an Interest Period of one month at the end of such Interest Period.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Term Benchmark Borrowing and (ii) unless repaid, (x) each Term Benchmark Borrowing and each RFR Borrowing, in each case denominated in Dollars, shall be converted to an ABR Borrowing at the end of the Interest Period applicable thereto and (y) each Term Benchmark Borrowing and each RFR Borrowing, in each case denominated in a Foreign Currency shall bear interest at the Central Bank/Prime Rate for the applicable Agreed Currency plus the CBR Spread; provided that, if the Administrative Agent determines (which determination shall be conclusive and binding absent manifest error) that the Central Bank/Prime Rate for the applicable Agreed Currency cannot be determined, any outstanding affected Term Benchmark Loans denominated in any Agreed Currency other than Dollars shall either be (1) converted to an ABR Borrowing denominated in Dollars (in an amount equal to the Dollar Equivalent of such Foreign Currency) at the end of the Interest Period, as applicable, therefor or (2) prepaid at the end of the applicable Interest Period, as applicable, in full;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no election is made by the Borrower by the earlier of (A) the date that is three Business Days after receipt by the Borrower of such notice and (B) the last day of the current Interest Period for the applicable Term Benchmark Loan, the Borrower shall be deemed to have elected clause (1) 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2.09.</w:t>
      </w:r>
      <w:r>
        <w:rPr>
          <w:rFonts w:ascii="Times New Roman;serif" w:hAnsi="Times New Roman;serif"/>
          <w:b w:val="false"/>
          <w:color w:val="000000"/>
          <w:sz w:val="24"/>
          <w:u w:val="single"/>
        </w:rPr>
        <w:t>Termination and Reduction of Commitments</w:t>
      </w:r>
      <w:r>
        <w:rPr>
          <w:rFonts w:ascii="Times New Roman;serif" w:hAnsi="Times New Roman;serif"/>
          <w:b w:val="false"/>
          <w:color w:val="000000"/>
          <w:sz w:val="24"/>
        </w:rPr>
        <w:t>. (a) Unless previously terminated, (i) the Term Loan Commitments shall terminate at 3:00 p.m. (New York City time) on the Effective Date and (ii) all other Commitments shall terminate on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 may at any time terminate, or from time to time reduce, the Revolving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each reduction of the Revolving Commitments shall be in an amount that is an integral multiple of $100,000 and not less than $1,000,000 and (ii) the Borrower shall not terminate or reduce the Revolving Commitments if, after giving effect to any concurrent prepayment of the Loans in accordance with Section 2.11, the Dollar Equivalent amount of any Lender’s Revolving Credit Exposure would exceed its Revolving Commitment.</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 pursuant to this Section shall be irrevocable;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notice of termination of the Commitments delivered by the Borrower may state that such notice is conditioned upon the effectiveness of other credit facilities or other transactions specified therein,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2.10.</w:t>
      </w:r>
      <w:r>
        <w:rPr>
          <w:rFonts w:ascii="Times New Roman;serif" w:hAnsi="Times New Roman;serif"/>
          <w:b w:val="false"/>
          <w:color w:val="000000"/>
          <w:sz w:val="24"/>
          <w:u w:val="single"/>
        </w:rPr>
        <w:t>Repayment and Amortization of Loans; Evidence of Debt</w:t>
      </w:r>
      <w:r>
        <w:rPr>
          <w:rFonts w:ascii="Times New Roman;serif" w:hAnsi="Times New Roman;serif"/>
          <w:b w:val="false"/>
          <w:color w:val="000000"/>
          <w:sz w:val="24"/>
        </w:rPr>
        <w:t xml:space="preserve">. (a) The Borrower hereby unconditionally promises to pay (i) to the Administrative Agent for the account of each Revolving Lender the then unpaid principal amount of each Revolving Loan on the Maturity Date in the currency of such Loan, and (ii) to the Administrative Agent for the account of the Swingline Lenders the then unpaid principal amount of each Swingline Loan on the earlier of the Maturity Date and the fifth Business Days after such Swingline Loan is made;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on each date that a Revolving Borrowing is made, the Borrower shall repay all Swingline Loans then outstanding and the proceeds of any such Borrowing shall be applied by the Administrative Agent to repay any Swingline Loans outstanding. The Borrower shall repay Term Loans on each date set forth below in the aggregate principal amount set forth opposite such date (as adjusted from time to time pursuant to Section 2.11(a) and Section 2.11(f)):</w:t>
      </w:r>
    </w:p>
    <w:tbl>
      <w:tblPr>
        <w:tblW w:w="10205" w:type="dxa"/>
        <w:jc w:val="left"/>
        <w:tblInd w:w="0" w:type="dxa"/>
        <w:tblLayout w:type="fixed"/>
        <w:tblCellMar>
          <w:top w:w="28" w:type="dxa"/>
          <w:left w:w="28" w:type="dxa"/>
          <w:bottom w:w="28" w:type="dxa"/>
          <w:right w:w="28" w:type="dxa"/>
        </w:tblCellMar>
      </w:tblPr>
      <w:tblGrid>
        <w:gridCol w:w="1819"/>
        <w:gridCol w:w="1561"/>
        <w:gridCol w:w="1572"/>
        <w:gridCol w:w="1570"/>
        <w:gridCol w:w="1522"/>
        <w:gridCol w:w="2161"/>
      </w:tblGrid>
      <w:tr>
        <w:trPr/>
        <w:tc>
          <w:tcPr>
            <w:tcW w:w="18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r>
      <w:tr>
        <w:trPr/>
        <w:tc>
          <w:tcPr>
            <w:tcW w:w="495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Fiscal Quarters Ending</w:t>
            </w:r>
          </w:p>
        </w:tc>
        <w:tc>
          <w:tcPr>
            <w:tcW w:w="5253"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Principal Amount of Term Loans to be repaid Per Fiscal Quarter</w:t>
            </w:r>
          </w:p>
        </w:tc>
      </w:tr>
      <w:tr>
        <w:trPr/>
        <w:tc>
          <w:tcPr>
            <w:tcW w:w="495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September 30, 2022 through and including June 30, 2024</w:t>
            </w:r>
          </w:p>
        </w:tc>
        <w:tc>
          <w:tcPr>
            <w:tcW w:w="52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$1,562,500</w:t>
            </w:r>
          </w:p>
        </w:tc>
      </w:tr>
      <w:tr>
        <w:trPr/>
        <w:tc>
          <w:tcPr>
            <w:tcW w:w="4952"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September 30, 2024 through and including June 30, 2025</w:t>
            </w:r>
          </w:p>
        </w:tc>
        <w:tc>
          <w:tcPr>
            <w:tcW w:w="525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$2,343,750</w:t>
            </w:r>
          </w:p>
        </w:tc>
      </w:tr>
      <w:tr>
        <w:trPr/>
        <w:tc>
          <w:tcPr>
            <w:tcW w:w="4952"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September 30, 2025 through and including the Maturity Date</w:t>
            </w:r>
          </w:p>
        </w:tc>
        <w:tc>
          <w:tcPr>
            <w:tcW w:w="525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$3,125,000</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not previously repaid, all unpaid Term Loans shall be paid in full in Dollars by the Borrower on the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maintain accounts in which it shall record (i) the amount of each Loan made hereunder, the Class, Agreed Currency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entries made in the accounts maintained pursuant to paragraph (b) or (c) of this Section shall be </w:t>
      </w:r>
      <w:r>
        <w:rPr>
          <w:rFonts w:ascii="Times New Roman;serif" w:hAnsi="Times New Roman;serif"/>
          <w:b w:val="false"/>
          <w:i/>
          <w:color w:val="000000"/>
          <w:sz w:val="24"/>
        </w:rPr>
        <w:t xml:space="preserve">prima facie </w:t>
      </w:r>
      <w:r>
        <w:rPr>
          <w:rFonts w:ascii="Times New Roman;serif" w:hAnsi="Times New Roman;serif"/>
          <w:b w:val="false"/>
          <w:color w:val="000000"/>
          <w:sz w:val="24"/>
        </w:rPr>
        <w:t xml:space="preserve">evidence of the existence and amounts of the obligations recorded therein;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of any Lender or the Administrative Agent to maintain such accounts or any error therein shall not in any manner affect the obligation of the Borrower to repay the Loans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Lender may request that Loans made by it be evidenced by a promissory note. In such event, the Borrower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2.11.</w:t>
      </w:r>
      <w:r>
        <w:rPr>
          <w:rFonts w:ascii="Times New Roman;serif" w:hAnsi="Times New Roman;serif"/>
          <w:b w:val="false"/>
          <w:color w:val="000000"/>
          <w:sz w:val="24"/>
          <w:u w:val="single"/>
        </w:rPr>
        <w:t>Prepayment of Loans</w:t>
      </w:r>
      <w:r>
        <w:rPr>
          <w:rFonts w:ascii="Times New Roman;serif" w:hAnsi="Times New Roman;serif"/>
          <w:b w:val="false"/>
          <w:color w:val="000000"/>
          <w:sz w:val="24"/>
        </w:rPr>
        <w:t>. (a) The Borrower shall have the right at any time and from time to time to prepay any Borrowing in whole or in part, subject to prior notice in accordance with paragraph (b) of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 shall notify the Administrative Agent (and, in the case of prepayment of Swingline Loans, the Swingline Lenders) by telephone (confirmed by telecopy or electronic communication, including an Approved Borrower Portal, if arrangements for doing so have been approved by the Administrative Agent and, if relevant, the respective Swingline Lenders) of any prepayment hereunder (i) (w) in the case of prepayment of (1) a Term Benchmark Borrowing denominated in Dollars, not later than 11:00 a.m., New York City time, three Business Days before the date of prepayment or (2) an RFR Borrowing denominated in Dollars, not later than 11:00 a.m. New York City time, five Business Days before the date of prepayment, and (x) in the case of prepayment of a Term Benchmark Borrowing denominated in any a Foreign Currency, not later than 12:00 p.m., New York City time, three Business Days before the date of prepayment, (ii) in the case of prepayment of an ABR Borrowing, not later than 11:00 a.m., New York City time, one Business Day before the date of prepayment, or (iii) in the case of prepayment of a Swingline Loan, not later than 12:00 noon, New York City time, on the date of prepayment. Each such notice shall be irrevocable and shall specify the prepayment date and the principal amount of each Borrowing or portion thereof to be prepaid;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 notice of prepayment is given in connection with a conditional notice of termination of the Commitments as contemplated by Section 2.09, then such notice of prepayment may be revoked if such notice of termination is revoked in accordance with Section 2.09.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prepayment of a Revolving Borrowing shall be applied ratably to the Revolving Loans included in the prepaid Revolving Borrowing, each voluntary prepayment of a Term Loan Borrowing shall be applied ratably to the Term Loans included in the prepaid Term Loan Borrowing in such order of application as directed by the Borrower, and each mandatory prepayment of a Term Loan Borrowing shall be applied in accordance with Section 2.11(f) Prepayments shall be accompanied by accrued interest to the extent required by Section 2.13 and any break funding payments required by Section 2.16.</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the Administrative Agent notifies the Borrower at any time that, (i) other than as a result of fluctuations in currency exchange rates, (A) the sum of the aggregate principal Dollar Equivalent of all of the Revolving Credit Exposures (calculated, with respect to those Credit Events denominated in Foreign Currencies, as of the most recent Revaluation Date with respect to each such Credit Event) exceeds the aggregate Revolving Commitments or (B) the sum of the aggregate principal Dollar Equivalent of all of the outstanding Revolving Credit Exposures denominated in Foreign Currencies (the “</w:t>
      </w:r>
      <w:r>
        <w:rPr>
          <w:rFonts w:ascii="Times New Roman;serif" w:hAnsi="Times New Roman;serif"/>
          <w:b/>
          <w:i/>
          <w:color w:val="000000"/>
          <w:sz w:val="24"/>
        </w:rPr>
        <w:t>Foreign Currency Exposure</w:t>
      </w:r>
      <w:r>
        <w:rPr>
          <w:color w:val="000000"/>
        </w:rPr>
        <w:t>”</w:t>
      </w:r>
      <w:r>
        <w:rPr>
          <w:rFonts w:ascii="Times New Roman;serif" w:hAnsi="Times New Roman;serif"/>
          <w:b w:val="false"/>
          <w:color w:val="000000"/>
          <w:sz w:val="24"/>
        </w:rPr>
        <w:t xml:space="preserve">) (so calculated), as of the most recent Revaluation Date with respect to each such Credit Event, exceeds the Foreign Currency Sublimit or (ii) solely as a result of fluctuations in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exchange rates, (A) the sum of the aggregate principal Dollar Equivalent of all of the Revolving Credit Exposures (so calculated) exceeds 105% of the aggregate Revolving Commitments or (B) the Foreign Currency Exposure, as of the most recent Revaluation Date with respect to each such Credit Event, exceeds 105% of the Foreign Currency Sublimit, the Borrower shall in each case immediately repay Revolving Borrowings or cash collateralize LC Exposure in an account with the Administrative Agent pursuant to Section 2.06(j), as applicable, in an aggregate principal amount sufficient to cause (x) the aggregate Dollar Equivalent of all Revolving Credit Exposures (so calculated) to be less than or equal to the aggregate Revolving Commitments and (y) the Foreign Currency Exposure to be less than or equal to the Foreign Currency Sublimit,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and on each occasion that any Net Proceeds are received by or on behalf of the Borrower or any of its Subsidiaries in respect of any Prepayment Event, the Borrower shall, immediately after such Net Proceeds are received, prepay the Obligations as set forth in Section 2.11(f) below in an aggregate amount equal to the Repayment Percentage of such Net Proceeds;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Borrower shall deliver to the Administrative Agent a certificate of a Financial Officer to the effect that the Borrower or its relevant Subsidiaries intend to apply the Net Proceeds from such event (or a portion thereof specified in such certificate), within 18 months after receipt of such Net Proceeds, to acquire (or replace or rebuild) real property, equipment or other tangible assets (excluding inventory) to be used in the business of the Borrower and/or its Subsidiaries, and certifying that no Default has occurred and is continuing, then no prepayment shall be required pursuant to this paragraph in respect of the Net Proceeds specified in such certificate;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further</w:t>
      </w:r>
      <w:r>
        <w:rPr>
          <w:color w:val="000000"/>
        </w:rPr>
        <w:t xml:space="preserve"> </w:t>
      </w:r>
      <w:r>
        <w:rPr>
          <w:rFonts w:ascii="Times New Roman;serif" w:hAnsi="Times New Roman;serif"/>
          <w:b w:val="false"/>
          <w:color w:val="000000"/>
          <w:sz w:val="24"/>
        </w:rPr>
        <w:t>that to the extent of any such Net Proceeds therefrom that have not been so applied by the end of such 18 month period, at which time a prepayment shall be required in an amount equal to the Repayment Percentage of such Net Proceeds that have not been so applied. As used herein, “</w:t>
      </w:r>
      <w:r>
        <w:rPr>
          <w:rFonts w:ascii="Times New Roman;serif" w:hAnsi="Times New Roman;serif"/>
          <w:b/>
          <w:i/>
          <w:color w:val="000000"/>
          <w:sz w:val="24"/>
        </w:rPr>
        <w:t>Repayment Percentage</w:t>
      </w:r>
      <w:r>
        <w:rPr>
          <w:color w:val="000000"/>
        </w:rPr>
        <w:t xml:space="preserve">” </w:t>
      </w:r>
      <w:r>
        <w:rPr>
          <w:rFonts w:ascii="Times New Roman;serif" w:hAnsi="Times New Roman;serif"/>
          <w:b w:val="false"/>
          <w:color w:val="000000"/>
          <w:sz w:val="24"/>
        </w:rPr>
        <w:t>means (x) 100% if the Senior Secured Leverage Ratio (as of the most recent date of delivery of Financials) is greater than or equal to 3.50 to 1.00 or if a Default has occurred and is continuing, and (y) 0% if no Default has occurred and is continuing and the Senior Secured Leverage Ratio (as of the most recent date of delivery of Financials) is less than 3.50 to 1.00.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color w:val="000000"/>
          <w:sz w:val="24"/>
          <w:u w:val="single"/>
        </w:rPr>
        <w:t>[</w:t>
      </w:r>
      <w:r>
        <w:rPr>
          <w:rFonts w:ascii="Times New Roman;serif" w:hAnsi="Times New Roman;serif"/>
          <w:b w:val="false"/>
          <w:color w:val="000000"/>
          <w:sz w:val="24"/>
        </w:rPr>
        <w:t>Reserved</w:t>
      </w:r>
      <w:r>
        <w:rPr>
          <w:rFonts w:ascii="Times New Roman;serif" w:hAnsi="Times New Roman;serif"/>
          <w:b/>
          <w:color w:val="000000"/>
          <w:sz w:val="24"/>
          <w:u w:val="single"/>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All such amounts pursuant to Sections 2.11(d) shall be applied to prepay the Term Loans in the inverse order of maturity, with any excess remaining to applied to the then outstanding Revolving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prepayment of Revolving Loans pursuant to this Section 2.11(f) shall not reduce the Revolving Commitments.</w:t>
      </w:r>
    </w:p>
    <w:p>
      <w:pPr>
        <w:pStyle w:val="TextBody"/>
        <w:bidi w:val="0"/>
        <w:spacing w:lineRule="auto" w:line="240"/>
        <w:ind w:left="0" w:right="0" w:firstLine="720"/>
        <w:jc w:val="both"/>
        <w:rPr/>
      </w:pPr>
      <w:r>
        <w:rPr>
          <w:rFonts w:ascii="Times New Roman;serif" w:hAnsi="Times New Roman;serif"/>
          <w:b w:val="false"/>
          <w:color w:val="000000"/>
          <w:sz w:val="24"/>
        </w:rPr>
        <w:t>Section 2.12.</w:t>
      </w:r>
      <w:r>
        <w:rPr>
          <w:rFonts w:ascii="Times New Roman;serif" w:hAnsi="Times New Roman;serif"/>
          <w:b w:val="false"/>
          <w:color w:val="000000"/>
          <w:sz w:val="24"/>
          <w:u w:val="single"/>
        </w:rPr>
        <w:t>Fees</w:t>
      </w:r>
      <w:r>
        <w:rPr>
          <w:rFonts w:ascii="Times New Roman;serif" w:hAnsi="Times New Roman;serif"/>
          <w:b w:val="false"/>
          <w:color w:val="000000"/>
          <w:sz w:val="24"/>
        </w:rPr>
        <w:t xml:space="preserve">. (a) The Borrower agrees to pay to the Administrative Agent for the account of each Revolving Lender a commitment fee, which shall accrue at the Applicable Rate on the daily amount of the Available Revolving Commitment of such Lender during the period from and including the Effective Date to but excluding the date on which such Revolving Commitment terminates;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such Lender continues to have any Revolving Credit Exposure after its Revolving Commitment terminates, then such commitment fee shall continue to accrue on the daily amount of such Lender’s Revolving Credit Exposure from and including the date on which its Revolving Commitment terminates to but excluding the date on which such Lender ceases to have any Revolving Credit Exposure. Commitment fees accrued through and including the last day of March, June, September and December of each year shall be payable in arrears on the fifteenth day following such last day and on the date on which the Revolving Commitments terminate, commencing on the first such date to occur after the date 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commitment fees accruing after the date on which the Revolving Commitments terminate shall be payable on demand. All commitment fees shall be computed on the basis of a year of 360 days and shall be payable for the actual number of days elapsed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(including the first day and the last day of each period but excluding the date on which the Commitments terminate).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 agrees to pay (i) to the Administrative Agent for the account of each Revolving Lender a participation fee with respect to its participations in each outstanding Letter of Credit, which shall accrue on the Dollar Equivalent of the daily maximum stated amount then available to be drawn under such Letter of Credit at the same Applicable Rate used to determine the interest rate applicable to Term Benchmark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 xml:space="preserve">on the Dollar Equivalent of the daily maximum stated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with respect to the issuance, amendment or extension of any Letter of Credit and other processing fees, and other standard costs and charges, of such Issuing bank relating the Letters of Credit as from time to time in effect. Participation fees and fronting fees accrued through and including the last day of March, June, September and December of each year shall be payable on the fifteenth day following such last day, commencing on the first such date to occur after the Effective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Borrower agrees to pay to the Administrative Agent, for its own account, fees payable in the amounts and at the times separately agreed upon between the Borrower and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2.13.</w:t>
      </w:r>
      <w:r>
        <w:rPr>
          <w:rFonts w:ascii="Times New Roman;serif" w:hAnsi="Times New Roman;serif"/>
          <w:b w:val="false"/>
          <w:color w:val="000000"/>
          <w:sz w:val="24"/>
          <w:u w:val="single"/>
        </w:rPr>
        <w:t>Interest</w:t>
      </w:r>
      <w:r>
        <w:rPr>
          <w:color w:val="000000"/>
        </w:rPr>
        <w:t xml:space="preserve"> </w:t>
      </w:r>
      <w:r>
        <w:rPr>
          <w:rFonts w:ascii="Times New Roman;serif" w:hAnsi="Times New Roman;serif"/>
          <w:b w:val="false"/>
          <w:color w:val="000000"/>
          <w:sz w:val="24"/>
        </w:rPr>
        <w:t>. (a) The Loans comprising each ABR Borrowing (including each Swingline Loan) shall bear interest at the Alternate Base Rate plus 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Loans comprising each Term Benchmark Borrowing shall bear interest at the Adjusted Term SOFR Rate, the CDOR Rate, the Adjusted EURIBOR Rate or the Adjusted TIBOR Rate, as applicable, for the Interest Period in effect for such Borrowing plus 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RFR Loan shall bear interest at a rate per annum equal to the applicable Adjusted Daily Simple RFR plus the Applicable Rate.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Notwithstanding the foregoing, (i) during the occurrence and continuance of an Event of Default pursuant to clause (a), (f) or (g) of Section 7.01, all Loans shall bear interest at 2% plus the rate otherwise applicable to such Loans as provided in the preceding paragraphs of this Section and all Letter of Credit participation fees shall accrue at 2% plus the rate otherwise applicable to such fees hereunder, and (ii) if any principal of or interest on any Loan or any fee or other amount payable by the Borrower hereunder is not paid when due, whether at stated maturity, upon acceleration or otherwise, the Administrative Agent or the Required Lenders may,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at their option, by notice to the Borrower (which notice may be revoked at the option of the Required Lenders notwithstanding any provision of Section 9.02 requiring the consent of “each Lender directly affected thereby” for reductions in interest rates), declare that such overdue amount shall bear interest, after as well as before judgment, at a rate </w:t>
      </w:r>
      <w:r>
        <w:rPr>
          <w:rFonts w:ascii="Times New Roman;serif" w:hAnsi="Times New Roman;serif"/>
          <w:b w:val="false"/>
          <w:i/>
          <w:color w:val="000000"/>
          <w:sz w:val="24"/>
        </w:rPr>
        <w:t xml:space="preserve">per annum </w:t>
      </w:r>
      <w:r>
        <w:rPr>
          <w:rFonts w:ascii="Times New Roman;serif" w:hAnsi="Times New Roman;serif"/>
          <w:b w:val="false"/>
          <w:color w:val="000000"/>
          <w:sz w:val="24"/>
        </w:rPr>
        <w:t>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Accrued interest on each Loan shall be payable in arrears, in the same Agreed Currency as the applicable Loan, on each Interest Payment Date for such Loan and, in the case of Revolving Loans, upon termination of the Revolving Commitments;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Term Benchmark Revolving Loan prior to the end of the current Interest Period therefor, accrued interest on such Loan shall be payable on the effective date of such conversion.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Interest computed by reference to the Alternate Base Rate (except when based on the Prime Rate), the Term SOFR Rate, the EURIBOR Rate or Daily Simple RFR with respect to Dollars hereunder shall be computed on the basis of a year of 360 days. Interest computed by reference to the TIBOR Rate, the CDOR Rate or the Alternate Base Rate only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 A determination of the applicable Alternate Base Rate, Adjusted Term SOFR Rate, the CDOR Rate, Term SOFR Rate, or, Adjusted EURIBOR Rate, EURIBOR Rate, Adjusted TIBOR Rate, TIBOR Rate, Adjusted Daily Simple RFR or Daily Simple RFR shall be determined by the Administrative Agent, and such determination shall be conclusive absent manifest error.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2.14.</w:t>
      </w:r>
      <w:r>
        <w:rPr>
          <w:rFonts w:ascii="Times New Roman;serif" w:hAnsi="Times New Roman;serif"/>
          <w:b w:val="false"/>
          <w:color w:val="000000"/>
          <w:sz w:val="24"/>
          <w:u w:val="single"/>
        </w:rPr>
        <w:t>Alternate Rate of Interest</w:t>
      </w:r>
      <w:r>
        <w:rPr>
          <w:rFonts w:ascii="Times New Roman;serif" w:hAnsi="Times New Roman;serif"/>
          <w:b w:val="false"/>
          <w:color w:val="000000"/>
          <w:sz w:val="24"/>
        </w:rPr>
        <w:t>. (a) Subject to clauses (b) (c), (d), (e) and (f) of this Section 2.14, if:</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(i)the Administrative Agent determines (which determination shall be conclusive absent manifest error) (A) prior to the commencement of any Interest Period for a Term Benchmark Borrowing, that adequate and reasonable means do not exist for ascertaining the Adjusted Term SOFR Rate, the CDOR Rate, the Adjusted EURIBOR Rate, or the Adjusted TIBOR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for the applicable Agreed Currency; or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(ii)the Administrative Agent is advised by the Required Lenders that (A) prior to the commencement of any Interest Period for a Term Benchmark Borrowing, the Adjusted Term SOFR Rate, the CDOR Rate, the Adjusted EURIBOR Rate or the Adjusted TIBOR Rate for the applicable Agreed Currency and such Interest Period will not adequately and fairly reflect the cost to such Lenders of making or maintaining their Loans included in such Borrowing for the applicable Agreed Currency and such Interest Period or (B) at any time, the applicable Adjusted Daily Simple RFR or RFR for the applicable Agreed Currency will not adequately and fairly reflect the cost to such Lenders of making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maintaining their Loans included in such Borrowing for the applicable Agreed Currency;</w:t>
      </w:r>
    </w:p>
    <w:p>
      <w:pPr>
        <w:pStyle w:val="TextBody"/>
        <w:bidi w:val="0"/>
        <w:spacing w:lineRule="auto" w:line="288" w:before="0" w:after="240"/>
        <w:jc w:val="both"/>
        <w:rPr/>
      </w:pPr>
      <w:r>
        <w:rPr>
          <w:rFonts w:ascii="Times New Roman;serif" w:hAnsi="Times New Roman;serif"/>
          <w:b w:val="false"/>
          <w:color w:val="000000"/>
          <w:sz w:val="24"/>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Interest Election Request that requests the conversion of any Borrowing to, or continuation of any Borrowing as, a Term Benchmark Borrowing and any Borrowing Request that requests a Term Benchmark Revolving Borrowing shall instead be deemed to be an Interest Election Request or a Borrowing Request, as applicable, for (x) an RFR Borrowing denominated in Dollars so long as the Adjusted Daily Simple RFR for Dollar Borrowings is not also the subject of Section 2.14(a)(i) or (ii) above or (y) an ABR Borrowing if the Adjusted Daily Simple RFR for Dollar Borrowings also is the subject of Section 2.14(a)(i) or (ii) above and (2) any Borrowing Request that requests an RFR Borrowing shall instead be deemed to be a Borrowing Request, as applicable, for an ABR Borrowing and (B) for Loans denominated in a Foreign Currency, any Interest Election Request that requests the conversion of any Revolving Borrowing to, or continuation of any Revolving Borrowing as, a Term Benchmark Borrowing and any Borrowing Request that requests a Term Benchmark Revolving Borrowing or an RFR Borrowing, in each case, for the relevant Benchmark shall be ineffective;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circumstances giving rise to such notice affect only one Type of Borrowings, then all other Types of Borrowings shall be permitted. Furthermore, if any Term Benchmark Loan or RFR Loan in any Agreed Currency is outstanding on the date of the Borrower’s receipt of the notice from the Administrative Agent referred to in this Section 2.14(a) with respect to a Relevant Rate applicable to such Term Benchmark Loan or RFR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Section 2.08 or a new Borrowing Request in accordance with the terms of Section 2.03,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also the subject of Section 2.14(a)(i) or (ii) above or (y) an ABR Loan if the Adjusted Daily Simple RFR for Dollar Borrowings also is the subject of Section 2.14(a)(i) or (ii) above, on such day, and (2) any RFR Loan shall on and from such day be converted by the Administrative Agent to, and shall constitute an ABR Loan and (B) for Loans denominated in a Foreign Currency, (1) any Term Benchmark Loan shall, on the last day of the Interest Period applicable to such Loan bear interest at the Central Bank/Prime Rate for the applicable Foreign Currency plus the CBR Spread;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xml:space="preserve">, if the Administrative Agent determines (which determination shall be conclusive and binding absent manifest error) that the Central Bank/Prime Rate for the applicable Foreign Currency cannot be determined, any outstanding affected Term Benchmark Loans denominated in any Foreign Currency shall, at the Borrower’s election prior to such day: (A) be prepaid by the Borrower on such day or (B) solely for the purpose of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Bank/Prime Rate for the applicable Foreign Currency plus the CBR Spread;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if the Administrative Agent determines (which determination shall be conclusive and binding absent manifest error) that the Central Bank/Prime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anything to the contrary herein or in any other Loan Document , if a Benchmark Transition Event and its related Benchmark Replacement Date have occurred prior to the Reference Time in respect of any setting of the then-current Benchmark, then (x) if a Benchmark Replacement is determined in accordance with clause (1) of the definition of “Benchmark Replacement” with respect to Dollars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with respect to any Agreed Currency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(e)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anything to the contrary herein or in any other Loan Document, at any time (including in connection with the implementation of a Benchmark Replacement), (i) if the then-current Benchmark is a term rate (including the Term SOFR Rate, EURIBOR Rate, CDOR Rate or TIBOR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Upon the Borrower’s receipt of notice of the commencement of a Benchmark Unavailability Period, the Borrower may revoke any request for a Term Benchmark Borrowing or RFR Borrowing of, conversion to or continuation of Term Benchmark Loans or RFR Loans to be made, converted or continued during any Benchmark Unavailability Period and, failing that, either (x) the Borrower will be deemed to have converted any such request for (1) a Term Benchmark Borrowing denominated in Dollars into a request for a Borrowing of or conversion to (A) an RFR Borrowing denominated in Dollars so long as the Adjusted Daily Simple RFR for Dollar Borrowings is not the subject of a Benchmark Transition Event or (B) an ABR Borrowing if the Adjusted Daily Simple RFR for Dollar Borrowings is the subject of a Benchmark Transition Event or (y) any request relating to a Term Benchmark Borrowing or RFR Borrowing denominated in a Foreign Currency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Section 2.14, (A) for Loans denominated in Dollars, (1) any Term Benchmark Loan shall on the last day of the Interest Period applicable to such Loan, be converted by the Administrative Agent to, and shall constitute, (x) an RFR Borrowing denominated in Dollars so long as the Adjusted Daily Simple RFR for Dollar Borrowings is not the subject of a Benchmark Transition Event or (y) an ABR Loan if the Adjusted Daily Simple RFR for Dollar Borrowings is the subject of a Benchmark Transition Event, on such day and (2) any RFR Loan shall on and from such day, be converted by the Administrative Agent to, and shall constitute an ABR Loan and (B) for Loans denominated in any Foreign Currency, (1) any Term Benchmark Loan shall, on the last day of the Interest Period applicable to such Loan bear interest at the Central Bank/Prime Rate for the applicable Foreign Currency plus the CBR Spread;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 xml:space="preserve">if the Administrative Agent determines (which determination shall be conclusive and binding absent manifest error) that the Central Bank/Prime Rate for the applicable Foreign Currency cannot be determined, any outstanding affected Term Benchmark Loans denominated in any Foreign Currency shall, at the Borrower’s election prior to such day: (A) be prepaid by the Borrower on such day or (B) solely for the purpose of calculating the interest rate applicable to such Term Benchmark Loan, such Term Benchmark Loan denominated in any Foreign Currency shall be deemed to be a Term Benchmark Loan denominated in Dollars and shall accrue interest at the same interest rate applicable to Term Benchmark Loans denominated in Dollars at such time and (2) any RFR Loan shall bear interest at the Central Bank/Prime Rate for the applicable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Currency plus the CBR Spread;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if the Administrative Agent determines (which determination shall be conclusive and binding absent manifest error) that the Central Bank/Prime Rate for the applicable Foreign Currency cannot be determined, any outstanding affected RFR Loans denominated in any Foreign Currency, at the Borrower’s election, shall either (A) be converted into ABR Loans denominated in Dollars (in an amount equal to the Dollar Equivalent of such Foreign Currency) immediately or (B) be prepaid in full immediately.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2.15.</w:t>
      </w:r>
      <w:r>
        <w:rPr>
          <w:rFonts w:ascii="Times New Roman;serif" w:hAnsi="Times New Roman;serif"/>
          <w:b w:val="false"/>
          <w:color w:val="000000"/>
          <w:sz w:val="24"/>
          <w:u w:val="single"/>
        </w:rPr>
        <w:t>Increased Costs</w:t>
      </w:r>
      <w:r>
        <w:rPr>
          <w:color w:val="000000"/>
        </w:rPr>
        <w:t xml:space="preserve"> </w:t>
      </w:r>
      <w:r>
        <w:rPr>
          <w:rFonts w:ascii="Times New Roman;serif" w:hAnsi="Times New Roman;serif"/>
          <w:b w:val="false"/>
          <w:color w:val="000000"/>
          <w:sz w:val="24"/>
        </w:rPr>
        <w:t>. (a) If any Change in Law shall: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(i)impose, modify or deem applicable any reserve, special deposit, liquidity or similar requirement (including any compulsory loan requirement, insurance charge or other assessment) against assets of, deposits with or for the account of, or credit extended by, any Lender or Issuing Bank (except any such reserve requirement reflected in the Adjusted EURIBOR Rate, the CDOR Rate or the Adjusted TIBOR Rate, as applicable) or Issuing Bank;</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(ii)impose on any Lender or Issuing Bank or the applicable offshore interbank market for the applicable Agreed Currency any other condition, cost or expense (other than Taxes) affecting this Agreement or Loans made by such Lender or any Letter of Credit or participation therein;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result of any of the foregoing shall be to increase the cost to such Lender or such other Recipient of making, continuing, converting or maintaining any Loan (or of maintaining its obligation to make any such Loan) or to increase the cost to such Lender, such Issuing Bank or such other Recipient of participating in, issuing or maintaining any Letter of Credit or to reduce the amount of any sum received or receivable by such Lender, such Issuing Bank or such other Recipient hereunder (whether of principal, interest or otherwise), then the Borrower will pay to such Lender, such Issuing Bank or such other Recipient, as the case may be, such additional amount or amounts as will compensate such Lender, such Issuing Bank or such other Recipient, as the case may be, for such additional costs incurred or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If any Lender or Issuing Bank determines that any Change in Law regarding capital or liquidity requirements has or would have the effect of reducing the rate of return on such Lender’s or the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Borrower will pay to such Lender or Issuing Bank, as the case may be, such additional amount or amounts as will compensate such Lender or Issuing Bank or such Lender’s or Issuing Bank’s holding company for any such reduction suffered.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 certificate of a Lender or Issuing Bank setting forth the amount or amounts necessary to compensate such Lender or Issuing Bank or its holding company, as the case may be, as specified in paragraph (a) or (b) of this Section shall be delivered to the Borrower and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conclusive absent manifest error. The Borrower shall pay such Lender or Issuing Bank, as the case may be, the amount shown as due on any such certificate within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Failure or delay on the part of any Lender or Issuing Bank to demand compensation pursuant to this Section shall not constitute a waiver of such Lender’s or Issuing Bank’s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not be required to compensate a Lender or Issuing Bank pursuant to this Section for any increased costs or reductions incurred more than 270 days prior to the date that such Lender or Issuing Bank, as the case may be, notifies the Borrower of the Change in Law giving rise to such increased costs or reductions and of such Lender’s or Issuing Bank’s intention to claim compensation therefor;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if the Change in Law giving rise to such increased costs or reductions is retroactive, then the 270-day period referred to above shall be extended to include the period of retroactive effect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2.16.</w:t>
      </w:r>
      <w:r>
        <w:rPr>
          <w:rFonts w:ascii="Times New Roman;serif" w:hAnsi="Times New Roman;serif"/>
          <w:b w:val="false"/>
          <w:color w:val="000000"/>
          <w:sz w:val="24"/>
          <w:u w:val="single"/>
        </w:rPr>
        <w:t>Break Funding Payments</w:t>
      </w:r>
      <w:r>
        <w:rPr>
          <w:rFonts w:ascii="Times New Roman;serif" w:hAnsi="Times New Roman;serif"/>
          <w:b w:val="false"/>
          <w:color w:val="000000"/>
          <w:sz w:val="24"/>
        </w:rPr>
        <w:t>. (a) With respect to Loans that are not RFR Loans, in the event of (i) the payment of any principal of any Term Benchmark Loan other than on the last day of an Interest Period applicable thereto (including as a result of an Event of Default or an optional or mandatory prepayment of Loans), (ii) the conversion of any Term Benchmark Loan other than on the last day of the Interest Period applicable thereto, (iii) the failure to borrow, convert, continue or prepay any Term Benchmark Loan on the date specified in any notice delivered pursuant hereto (regardless of whether such notice may be revoked under Section 2.11(b) and is revoked in accordance therewith), (iv) the assignment of any Term Benchmark Loan other than on the last day of the Interest Period applicable thereto as a result of a request by the Borrower pursuant to Section 2.19 or (v) the failure by the Borrower to make any payment of any Loan or drawing under any Letter of Credit (or interest due thereon)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With respect to RFR Loans, in the event of (i) the payment of any principal of any RFR Loan other than on the Interest Payment Date applicable thereto (including as a result of an Event of Default or an optional or mandatory prepayment of Loans), (ii) the failure to borrow or prepay any RFR Loan on the date specified in any notice delivered pursuant hereto (regardless of whether such notice may be revoked under Section 2.11(b) and is revoked in accordance therewith), (iii) the assignment of any RFR Loan other than on the Interest Payment Date applicable thereto as a result of a request by the Borrower pursuant to Section 2.19 or (iv) the failure by the Borrower to make any payment of any Loan or drawing under any Letter of Credit (or interest due thereof) denominated in a Foreign Currency on its scheduled due date or any payment thereof in a different currency, then, in any such event, the Borrower shall compensate each Lender for the loss, cost and expense attributable to such event.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10 days after receipt thereof.</w:t>
      </w:r>
    </w:p>
    <w:p>
      <w:pPr>
        <w:pStyle w:val="TextBody"/>
        <w:bidi w:val="0"/>
        <w:spacing w:lineRule="auto" w:line="240"/>
        <w:ind w:left="0" w:right="0" w:firstLine="720"/>
        <w:jc w:val="both"/>
        <w:rPr/>
      </w:pPr>
      <w:r>
        <w:rPr>
          <w:rFonts w:ascii="Times New Roman;serif" w:hAnsi="Times New Roman;serif"/>
          <w:b w:val="false"/>
          <w:color w:val="000000"/>
          <w:sz w:val="24"/>
        </w:rPr>
        <w:t>Section 2.17.</w:t>
      </w:r>
      <w:r>
        <w:rPr>
          <w:rFonts w:ascii="Times New Roman;serif" w:hAnsi="Times New Roman;serif"/>
          <w:b w:val="false"/>
          <w:color w:val="000000"/>
          <w:sz w:val="24"/>
          <w:u w:val="single"/>
        </w:rPr>
        <w:t>Withholding of Taxes; Gross-Up</w:t>
      </w:r>
      <w:r>
        <w:rPr>
          <w:rFonts w:ascii="Times New Roman;serif" w:hAnsi="Times New Roman;serif"/>
          <w:b w:val="false"/>
          <w:color w:val="000000"/>
          <w:sz w:val="24"/>
        </w:rPr>
        <w:t xml:space="preserve">. (a) </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 of Other Taxes by the Borrower</w:t>
      </w:r>
      <w:r>
        <w:rPr>
          <w:rFonts w:ascii="Times New Roman;serif" w:hAnsi="Times New Roman;serif"/>
          <w:b w:val="false"/>
          <w:color w:val="000000"/>
          <w:sz w:val="24"/>
        </w:rPr>
        <w:t>. The Loan Parties shall timely pay to the relevant Governmental Authority in accordance with applicable law, or at the option of the Administrative Agent timely reimburse it for, Other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Indemnification by the Loan Parties</w:t>
      </w:r>
      <w:r>
        <w:rPr>
          <w:rFonts w:ascii="Times New Roman;serif" w:hAnsi="Times New Roman;serif"/>
          <w:b w:val="false"/>
          <w:color w:val="000000"/>
          <w:sz w:val="24"/>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(i)Without limiting the generality of the foregoing, in the event that the Borrower is a U.S. Person,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executed copy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(1)in the case of a Foreign Lender claiming the benefits of an income tax treaty to which the United States is a party (x) with respect to payments of interest under any Loan Document, an executed copy of IRS Form W-8BEN-E or IRS Form W-8BEN establishing an exemption from, or reduction of, U.S. federal withholding Tax pursuant to the “interest” article of such tax treaty and (y) with respect to any other applicable payments under any Loan Document, IRS Form W-8BEN-E or IRS Form W-8BEN establishing an exemption from, or reduction of, U.S. federal withholding Tax pursuant to the “business profits” or “other income” article of such tax treaty;</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(2)in the case of a Foreign Lender claiming that its extension of credit will generate U.S. effectively connected income, an executed copy of IRS Form W-8ECI;</w:t>
      </w:r>
    </w:p>
    <w:p>
      <w:pPr>
        <w:pStyle w:val="TextBody"/>
        <w:bidi w:val="0"/>
        <w:spacing w:lineRule="auto" w:line="240" w:before="0" w:after="240"/>
        <w:jc w:val="both"/>
        <w:rPr/>
      </w:pPr>
      <w:r>
        <w:rPr>
          <w:rFonts w:ascii="Times New Roman;serif" w:hAnsi="Times New Roman;serif"/>
          <w:b w:val="false"/>
          <w:color w:val="000000"/>
          <w:sz w:val="24"/>
        </w:rPr>
        <w:t>(3)in the case of a Foreign Lender claiming the benefits of the exemption for portfolio interest under Section 881(c) of the Code, (x) a certificate substantially in the form of Exhibit G-1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serif" w:hAnsi="Times New Roman;serif"/>
          <w:b/>
          <w:i/>
          <w:color w:val="000000"/>
          <w:sz w:val="24"/>
        </w:rPr>
        <w:t>U.S. Tax Compliance Certificate</w:t>
      </w:r>
      <w:r>
        <w:rPr>
          <w:color w:val="000000"/>
        </w:rPr>
        <w:t>”</w:t>
      </w:r>
      <w:r>
        <w:rPr>
          <w:rFonts w:ascii="Times New Roman;serif" w:hAnsi="Times New Roman;serif"/>
          <w:b w:val="false"/>
          <w:color w:val="000000"/>
          <w:sz w:val="24"/>
        </w:rPr>
        <w:t>) and (y) an executed copy of IRS Form W-8BEN-E or IRS Form W-8BEN; or</w:t>
      </w:r>
    </w:p>
    <w:p>
      <w:pPr>
        <w:pStyle w:val="TextBody"/>
        <w:bidi w:val="0"/>
        <w:spacing w:lineRule="auto" w:line="240" w:before="0" w:after="240"/>
        <w:jc w:val="both"/>
        <w:rPr/>
      </w:pPr>
      <w:r>
        <w:rPr>
          <w:rFonts w:ascii="Times New Roman;serif" w:hAnsi="Times New Roman;serif"/>
          <w:b w:val="false"/>
          <w:color w:val="000000"/>
          <w:sz w:val="24"/>
        </w:rPr>
        <w:t xml:space="preserve">(4)to the extent a Foreign Lender is not the beneficial owner, an executed copy of IRS Form W-8IMY, accompanied by IRS Form W-8ECI, IRS Form W-8BEN-E, IRS Form W-8BEN, a U.S. Tax Compliance Certificate substantially in the form of Exhibit G-2 or Exhibit G-3, 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w:t>
      </w:r>
      <w:r>
        <w:rPr>
          <w:rFonts w:ascii="Times New Roman;serif" w:hAnsi="Times New Roman;serif"/>
          <w:b w:val="false"/>
          <w:color w:val="000000"/>
          <w:sz w:val="24"/>
          <w:u w:val="single"/>
        </w:rPr>
        <w:t>Survival</w:t>
      </w:r>
      <w:r>
        <w:rPr>
          <w:rFonts w:ascii="Times New Roman;serif" w:hAnsi="Times New Roman;serif"/>
          <w:b w:val="false"/>
          <w:color w:val="000000"/>
          <w:sz w:val="24"/>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w:t>
      </w:r>
      <w:r>
        <w:rPr>
          <w:rFonts w:ascii="Times New Roman;serif" w:hAnsi="Times New Roman;serif"/>
          <w:b w:val="false"/>
          <w:color w:val="000000"/>
          <w:sz w:val="24"/>
          <w:u w:val="single"/>
        </w:rPr>
        <w:t>Defined Terms</w:t>
      </w:r>
      <w:r>
        <w:rPr>
          <w:rFonts w:ascii="Times New Roman;serif" w:hAnsi="Times New Roman;serif"/>
          <w:b w:val="false"/>
          <w:color w:val="000000"/>
          <w:sz w:val="24"/>
        </w:rPr>
        <w:t>. For purposes of this Section 2.17, the term “</w:t>
      </w:r>
      <w:r>
        <w:rPr>
          <w:rFonts w:ascii="Times New Roman;serif" w:hAnsi="Times New Roman;serif"/>
          <w:b/>
          <w:i/>
          <w:color w:val="000000"/>
          <w:sz w:val="24"/>
        </w:rPr>
        <w:t>Lender</w:t>
      </w:r>
      <w:r>
        <w:rPr>
          <w:color w:val="000000"/>
        </w:rPr>
        <w:t xml:space="preserve">” </w:t>
      </w:r>
      <w:r>
        <w:rPr>
          <w:rFonts w:ascii="Times New Roman;serif" w:hAnsi="Times New Roman;serif"/>
          <w:b w:val="false"/>
          <w:color w:val="000000"/>
          <w:sz w:val="24"/>
        </w:rPr>
        <w:t>includes any Issuing Bank and the term “</w:t>
      </w:r>
      <w:r>
        <w:rPr>
          <w:rFonts w:ascii="Times New Roman;serif" w:hAnsi="Times New Roman;serif"/>
          <w:b/>
          <w:i/>
          <w:color w:val="000000"/>
          <w:sz w:val="24"/>
        </w:rPr>
        <w:t>applicable law</w:t>
      </w:r>
      <w:r>
        <w:rPr>
          <w:color w:val="000000"/>
        </w:rPr>
        <w:t xml:space="preserve">” </w:t>
      </w:r>
      <w:r>
        <w:rPr>
          <w:rFonts w:ascii="Times New Roman;serif" w:hAnsi="Times New Roman;serif"/>
          <w:b w:val="false"/>
          <w:color w:val="000000"/>
          <w:sz w:val="24"/>
        </w:rPr>
        <w:t>includes FATCA.</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2.18.</w:t>
      </w:r>
      <w:r>
        <w:rPr>
          <w:rFonts w:ascii="Times New Roman;serif" w:hAnsi="Times New Roman;serif"/>
          <w:b w:val="false"/>
          <w:color w:val="000000"/>
          <w:sz w:val="24"/>
          <w:u w:val="single"/>
        </w:rPr>
        <w:t>Payments Generally; Pro Rata Treatment; Sharing of Setoffs</w:t>
      </w:r>
      <w:r>
        <w:rPr>
          <w:rFonts w:ascii="Times New Roman;serif" w:hAnsi="Times New Roman;serif"/>
          <w:b w:val="false"/>
          <w:color w:val="000000"/>
          <w:sz w:val="24"/>
        </w:rPr>
        <w:t>. (a) Except with respect to principal of and interest on Loans denominated in a Foreign Currency, the Borrower shall make each payment or prepayment required to be made by it hereunder (whether of principal, interest, fees or reimbursement of LC Disbursements, or of amounts payable under Section 2.15, 2.16 or 2.17, or otherwise) in Dollars prior to 12:00 noon, New York City time, on the date when due or the date fixed for any prepayment hereunder and all payments with respect to principal and interest on Loans denominated in a Foreign Currency shall be made in such Foreign Currency not later than the Applicable Time specified by the Administrative Agent on the dates specified herein, in each case,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383 Madison Avenue, New York, New York except payments to be made directly to Issuing Banks or Swingline Lenders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Without limiting the generality of the foregoing, the Administrative Agent may require that any payments due under this Agreement be made in the United States. If, for any reason, the Borrower is prohibited by any law from making any required payment hereunder in a Foreign Currency, the Borrower shall make such payment in Dollars in the Dollar Equivalent of the Foreign Currency payment amount.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At any time that payments are not required to be applied in the manner required by Section 7.03, if at any time (x) insufficient funds are received by and available to the Administrative Agent to pay fully all amounts of principal, unreimbursed LC Disbursements, interest and fees then due hereunder not constituting (i) a specific payment of principal, interest, fees or other sum payable under the Loan Documents (which shall be applied as specified by the Borrower or (ii) a mandatory prepayment (which shall be applied in accordance with Section 2.11) or (y) any funds are received by the Administrative Agent as proceeds of Collateral, such funds shall be applied ratably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 any fees, indemnities, or expense reimbursements (other than those described in the next clause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including amounts then due to the Administrative Agent and each Issuing Bank from the Borrower, </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pay any fees or expense reimbursements then due to the Lenders from the Borrower, </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pay interest then due and payable on the Loans ratably, </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prepay principal on the Loans and unreimbursed LC Disbursements and any other amounts owing with respect to Banking Services Obligations and Swap Obligations ratably, </w:t>
      </w:r>
      <w:r>
        <w:rPr>
          <w:rFonts w:ascii="Times New Roman;serif" w:hAnsi="Times New Roman;serif"/>
          <w:b w:val="false"/>
          <w:color w:val="000000"/>
          <w:sz w:val="24"/>
          <w:u w:val="single"/>
        </w:rPr>
        <w:t>fifth</w:t>
      </w:r>
      <w:r>
        <w:rPr>
          <w:rFonts w:ascii="Times New Roman;serif" w:hAnsi="Times New Roman;serif"/>
          <w:b w:val="false"/>
          <w:color w:val="000000"/>
          <w:sz w:val="24"/>
        </w:rPr>
        <w:t xml:space="preserve">, to pay an amount to the Administrative Agent equal to one hundred five percent (105%) of the aggregate undrawn face amount of all outstanding Letters of Credit and the aggregate amount of any unpaid LC Disbursements, to be held as cash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for such Obligations and </w:t>
      </w:r>
      <w:r>
        <w:rPr>
          <w:rFonts w:ascii="Times New Roman;serif" w:hAnsi="Times New Roman;serif"/>
          <w:b w:val="false"/>
          <w:color w:val="000000"/>
          <w:sz w:val="24"/>
          <w:u w:val="single"/>
        </w:rPr>
        <w:t>sixth</w:t>
      </w:r>
      <w:r>
        <w:rPr>
          <w:rFonts w:ascii="Times New Roman;serif" w:hAnsi="Times New Roman;serif"/>
          <w:b w:val="false"/>
          <w:color w:val="000000"/>
          <w:sz w:val="24"/>
        </w:rPr>
        <w:t>, to the payment of any other Secured Obligation due to the Administrative Agent or any Lender by the Borrower. Notwithstanding the foregoing, amounts received from any Loan Party shall not be applied to any Excluded Swap Obligation of such Loan Party. Notwithstanding anything to the contrary contained in this Agreement, unless so directed by the Borrower, or unless a Default is in existence, none of the Administrative Agent or any Lender shall apply any payment which it receives to any Term Benchmark Loan of a Class, except (a) on the expiration date of the Interest Period applicable to any such Term Benchmark Loan or (b) in the event, and only to the extent, that there are no outstanding ABR Loans of the same Class and, in any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At the election of the Administrative Agent, all payments of principal, interest, LC Disbursements, fees, premiums, reimbursable expenses (including, without limitation, all reimbursement for fees and expenses pursuant to Section 9.03), and other sums payable under the Loan Documents, may be paid from the proceeds of Borrowings made hereunder whether made following a request by the Borrower pursuant to Section 2.03 or a deemed request as provided in this Section or may be deducted from any deposit account of the Borrower maintained with the Administrative Agent. The Borrower hereby irrevocably authorizes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that all such Borrowings shall be deemed to have been requested pursuant to Sections 2.03 or 2.05, as applicable and (ii) the Administrative Agent to charge any deposit account of the Borrower maintained with the Administrative Agent for each payment of principal, interest and fees as it becomes due hereunder or any other amount due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If, except as expressly provided herein,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and Swingline Loans to any assignee or participant, other than to the Borrower or any Subsidiary or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Unless the Administrative Agent shall have received, prior to any date on which any payment is due to the Administrative Agent for the account of the Lenders or the Issuing Banks pursuant to the terms hereof or any other Loan Document (including any date that is fixed for prepayment by notice from the Borrower to the Administrative Agent pursuant to Section 2.11(b)), notice from the Borrower that the Borrower will not make such payment or prepayment,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2.19.</w:t>
      </w:r>
      <w:r>
        <w:rPr>
          <w:rFonts w:ascii="Times New Roman;serif" w:hAnsi="Times New Roman;serif"/>
          <w:b w:val="false"/>
          <w:color w:val="000000"/>
          <w:sz w:val="24"/>
          <w:u w:val="single"/>
        </w:rPr>
        <w:t>Mitigation Obligations; Replacement of Lenders</w:t>
      </w:r>
      <w:r>
        <w:rPr>
          <w:rFonts w:ascii="Times New Roman;serif" w:hAnsi="Times New Roman;serif"/>
          <w:b w:val="false"/>
          <w:color w:val="000000"/>
          <w:sz w:val="24"/>
        </w:rPr>
        <w:t>.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Sections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Lender requests compensation under Section 2.15, or if the Borrower is required to pay any Indemnified Taxes or additional amounts to any Lender or any Governmental Authority for the account of any Lender pursuant to Section 2.17, or if any Lender becomes Defaulting Lender, or if any Lender does not consent to any proposed amendment, supplement, modification, consent or waiver of any provision of this Agreement or any other Loan Document that requires the consent of each of the Lenders or each of the Lenders affected thereby (so long as the consent of the Required Lenders (with the percentage in such definition being deemed to be 50% for this purpose) has been obtained),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this Agreement and the other Loan Documents to an assignee that shall assume such obligations (which assignee may be another Lender, if a Lender accepts such assignment);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Borrower shall have received the prior written consent of the Administrative Agent (and if a Revolving Commitment is being assigned, the Issuing Banks and Swingline Lenders),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 Each party hereto agrees that (i) an assignment required pursuant to this paragraph may be effected pursuant to an Assignment and Assumption executed by the Borrower, the Administrative Agent and the assignee (or, to the extent applicable, an agreement incorporating an Assignment and Assumption by reference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pursuant to an Approved Electronic Platform as to which the Administrative Agent and such parties are participants), and (ii) the Lender required to make such assignment need not be a party thereto in order for such assignment to be effective and shall be deemed to have consented to an be bound by the terms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following the effectiveness of any such assignment, the other parties to such assignment agree to execute and deliver such documents necessary to evidence such assignment as reasonably requested by the applicable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documents shall be without recourse to or warranty by the parties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2.20.</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fees shall cease to accrue on the unfunded portion of the Commitment of such Defaulting Lender pursuant to Section 2.12(a);</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payment of principal, interest, fees or other amounts received by the Administrative Agent for the account of such Defaulting Lender (whether voluntary or mandatory, at maturity, pursuant to Section 7.03 or otherwise) or received by the Administrative Agent from a Defaulting Lender pursuant to Section 9.08 shall be applied at such time or times as may be determined by the Administrative Agent as follows: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payment of any amounts owing by such Defaulting Lender to the Administrative Agent hereunder;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payment on a pro rata basis of any amounts owing by such Defaulting Lender to any Issuing Bank or Swingline Lender hereunder;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cash collateralize LC Exposure with respect to such Defaulting Lender in accordance with this Section; </w:t>
      </w:r>
      <w:r>
        <w:rPr>
          <w:rFonts w:ascii="Times New Roman;serif" w:hAnsi="Times New Roman;serif"/>
          <w:b w:val="false"/>
          <w:i/>
          <w:color w:val="000000"/>
          <w:sz w:val="24"/>
        </w:rPr>
        <w:t>fourth</w:t>
      </w:r>
      <w:r>
        <w:rPr>
          <w:rFonts w:ascii="Times New Roman;serif" w:hAnsi="Times New Roman;serif"/>
          <w:b w:val="false"/>
          <w:color w:val="000000"/>
          <w:sz w:val="24"/>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4"/>
        </w:rPr>
        <w:t>fifth</w:t>
      </w:r>
      <w:r>
        <w:rPr>
          <w:rFonts w:ascii="Times New Roman;serif" w:hAnsi="Times New Roman;serif"/>
          <w:b w:val="false"/>
          <w:color w:val="000000"/>
          <w:sz w:val="24"/>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the payment of any amounts owing to the Lenders, the Issuing Banks or Swingline Lenders as a result of any judgment of a court of competent jurisdiction obtained by any Lender, the Issuing Banks or Swingline Lenders against such Defaulting Lender as a result of such Defaulting Lender’s breach of its obligations under this Agreement or under any other Loan Document; </w:t>
      </w:r>
      <w:r>
        <w:rPr>
          <w:rFonts w:ascii="Times New Roman;serif" w:hAnsi="Times New Roman;serif"/>
          <w:b w:val="false"/>
          <w:i/>
          <w:color w:val="000000"/>
          <w:sz w:val="24"/>
        </w:rPr>
        <w:t>seventh</w:t>
      </w:r>
      <w:r>
        <w:rPr>
          <w:rFonts w:ascii="Times New Roman;serif" w:hAnsi="Times New Roman;serif"/>
          <w:b w:val="false"/>
          <w:color w:val="000000"/>
          <w:sz w:val="24"/>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or under any other Loan Document; and </w:t>
      </w:r>
      <w:r>
        <w:rPr>
          <w:rFonts w:ascii="Times New Roman;serif" w:hAnsi="Times New Roman;serif"/>
          <w:b w:val="false"/>
          <w:i/>
          <w:color w:val="000000"/>
          <w:sz w:val="24"/>
        </w:rPr>
        <w:t>eighth</w:t>
      </w:r>
      <w:r>
        <w:rPr>
          <w:rFonts w:ascii="Times New Roman;serif" w:hAnsi="Times New Roman;serif"/>
          <w:b w:val="false"/>
          <w:color w:val="000000"/>
          <w:sz w:val="24"/>
        </w:rPr>
        <w:t xml:space="preserve">, to such Defaulting Lender or as otherwise directed by a court of competent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Commitments and Credit Exposure of such Defaulting Lender shall not be included in determining whether the Required Lenders have taken or may take any action hereunder (including any consent to any amendment, waiver or other modification pursuant to Section 9.02);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except as otherwise provided in Section 9.02, this clause (c) shall not apply to the vote of a Defaulting Lender in the case of an amendment, waiver or other modification requiring the consent of such Lender or each Lender directly affected thereby; </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any Swingline Exposure or LC Exposure exists at the time such Lender becomes a Defaulting Lender then: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(i)all or any part of the Swingline Exposure and LC Exposure of such Defaulting Lender (other than, in the case of a Defaulting Lender that is a Swingline Lender, the portion of such Swingline Exposure referred to in clause (b) of the definition of such term) shall be reallocated among the non-Defaulting Lenders in accordance with their respective Applicable Percentages but only to the extent that such reallocation does not, as to any non-Defaulting Lender, cause the Dollar Equivalent of such non-Defaulting Lender’s Revolving Credit Exposure to exceed its Revolving Commitment;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(ii)if the reallocation described in clause (i) above cannot, or can only partially, be effected, the Borrower shall within one Business Day following notice by the Administrative Agent (x) first, prepay such Swingline Exposure and (y) second, cash collateralize for the benefit of the Issuing Banks only the Borrower’s obligations corresponding to such Defaulting Lender’s LC Exposure (after giving effect to any partial reallocation pursuant to clause (i) above) in accordance with the procedures set forth in Section 2.06(j) for so long as such LC Exposure is outstanding;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(iii)if the Borrower cash collateralizes any portion of such Defaulting Lender’s LC Exposure pursuant to clause (ii) above, the Borrower shall not be required to pay any fees to such Defaulting Lender pursuant to Section 2.12(b) with respect to such Defaulting Lender’s LC Exposure during the period such Defaulting Lender’s LC Exposure is cash collateralized;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(iv)if the LC Exposure of the non-Defaulting Lenders is reallocated pursuant to clause (i) above, then the fees payable to the Lenders pursuant to Sections 2.12(a) and 2.12(b)</w:t>
      </w:r>
      <w:r>
        <w:rPr>
          <w:color w:val="000000"/>
        </w:rPr>
        <w:t xml:space="preserve"> </w:t>
      </w:r>
      <w:r>
        <w:rPr>
          <w:rFonts w:ascii="Times New Roman;serif" w:hAnsi="Times New Roman;serif"/>
          <w:b w:val="false"/>
          <w:color w:val="000000"/>
          <w:sz w:val="24"/>
        </w:rPr>
        <w:t>shall be adjusted in accordance with such non-Defaulting Lenders’ Applicable Percentages;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(v)if all or any portion of such Defaulting Lender’s LC Exposure is neither reallocated nor cash collateralized pursuant to clause (i) or (ii) above, then, without prejudice to any rights or remedies of any Issuing Bank or any other Lender hereunder, all commitment fees that otherwise would have been payable to such Defaulting Lender (solely with respect to the portion of such Defaulting Lender’s Commitment that was utilized by such LC Exposure) and letter of credit fees payable under Section 2.12(b) with respect to such Defaulting Lender’s LC Exposure shall be payable to the Issuing Banks until and to the extent that such LC Exposure is reallocated and/or cash collateralized;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so long as such Lender is a Defaulting Lender, no Swingline Lenders shall be required to fund any Swingline Loan and no Issuing Bank shall be required to issue, amend or increase any Letter of Credit, unless it is satisfied that the related exposure and the Defaulting Lender’s then outstanding LC Exposure will be 100% covered by the Revolving Commitments of the non-Defaulting Lenders and/or cash collateral will be provided by the Borrower in accordance with Section 2.20(d), and Swingline Exposure related to any newly made Swingline Loan or LC Exposure related to any newly issued or increased Letter of Credit shall be allocated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among non-Defaulting Lenders in a manner consistent with Section 2.20(d)(i) (and such Defaulting Lender shall not participate therein).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(i) a Bankruptcy Event or a Bail-In Action with respect to a Lender Parent shall occur following the date hereof and for so long as such event shall continue or (ii) any Swingline Lender or Issuing Bank has a good faith belief that any Lender has defaulted in fulfilling its obligations under one or more other agreements in which such Lender commits to extend credit, no Swingline Lender shall be required to fund any Swingline Loan and no Issuing Bank shall be required to issue, amend or increase any Letter of Credit, unless the Swingline Lenders or the Issuing Banks, as the case may be, shall have entered into arrangements with the Borrower or such Lender, satisfactory to such Swingline Lender or Issuing Bank, as the case may be, to defease any risk to it in respect of such Lender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that each of the Administrative Agent, the Borrower, each Swingline Lender and each Issuing Bank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2.21.</w:t>
      </w:r>
      <w:r>
        <w:rPr>
          <w:rFonts w:ascii="Times New Roman;serif" w:hAnsi="Times New Roman;serif"/>
          <w:b/>
          <w:color w:val="000000"/>
          <w:sz w:val="24"/>
          <w:u w:val="single"/>
        </w:rPr>
        <w:t>[</w:t>
      </w:r>
      <w:r>
        <w:rPr>
          <w:rFonts w:ascii="Times New Roman;serif" w:hAnsi="Times New Roman;serif"/>
          <w:b w:val="false"/>
          <w:color w:val="000000"/>
          <w:sz w:val="24"/>
          <w:u w:val="single"/>
        </w:rPr>
        <w:t>Reserved</w:t>
      </w:r>
      <w:r>
        <w:rPr>
          <w:rFonts w:ascii="Times New Roman;serif" w:hAnsi="Times New Roman;serif"/>
          <w:b/>
          <w:color w:val="000000"/>
          <w:sz w:val="24"/>
          <w:u w:val="single"/>
        </w:rPr>
        <w:t>]</w:t>
      </w:r>
      <w:r>
        <w:rPr>
          <w:color w:val="000000"/>
        </w:rPr>
        <w:t xml:space="preserve"> </w:t>
      </w:r>
      <w:r>
        <w:rPr>
          <w:rFonts w:ascii="Times New Roman;serif" w:hAnsi="Times New Roman;serif"/>
          <w:b w:val="false"/>
          <w:color w:val="000000"/>
          <w:sz w:val="24"/>
        </w:rPr>
        <w:t xml:space="preserve">. </w:t>
      </w:r>
    </w:p>
    <w:p>
      <w:pPr>
        <w:pStyle w:val="TextBody"/>
        <w:bidi w:val="0"/>
        <w:spacing w:lineRule="auto" w:line="240"/>
        <w:ind w:left="0" w:right="0" w:firstLine="720"/>
        <w:jc w:val="both"/>
        <w:rPr/>
      </w:pPr>
      <w:r>
        <w:rPr>
          <w:rFonts w:ascii="Times New Roman;serif" w:hAnsi="Times New Roman;serif"/>
          <w:b w:val="false"/>
          <w:color w:val="000000"/>
          <w:sz w:val="24"/>
        </w:rPr>
        <w:t>Section 2.22.</w:t>
      </w:r>
      <w:r>
        <w:rPr>
          <w:rFonts w:ascii="Times New Roman;serif" w:hAnsi="Times New Roman;serif"/>
          <w:b w:val="false"/>
          <w:color w:val="000000"/>
          <w:sz w:val="24"/>
          <w:u w:val="single"/>
        </w:rPr>
        <w:t>Expansion Option</w:t>
      </w:r>
      <w:r>
        <w:rPr>
          <w:rFonts w:ascii="Times New Roman;serif" w:hAnsi="Times New Roman;serif"/>
          <w:b w:val="false"/>
          <w:color w:val="000000"/>
          <w:sz w:val="24"/>
        </w:rPr>
        <w:t>. The Borrower may from time to time elect to increase the Revolving Commitments or enter into one or more tranches of term loans (each an “</w:t>
      </w:r>
      <w:r>
        <w:rPr>
          <w:rFonts w:ascii="Times New Roman;serif" w:hAnsi="Times New Roman;serif"/>
          <w:b/>
          <w:i/>
          <w:color w:val="000000"/>
          <w:sz w:val="24"/>
        </w:rPr>
        <w:t>Incremental Term Loan</w:t>
      </w:r>
      <w:r>
        <w:rPr>
          <w:color w:val="000000"/>
        </w:rPr>
        <w:t>”</w:t>
      </w:r>
      <w:r>
        <w:rPr>
          <w:rFonts w:ascii="Times New Roman;serif" w:hAnsi="Times New Roman;serif"/>
          <w:b w:val="false"/>
          <w:color w:val="000000"/>
          <w:sz w:val="24"/>
        </w:rPr>
        <w:t>), in each case in minimum increments of $25,000,000 so long as, after giving effect thereto, the aggregate amount of such increases and all such Incremental Term Loans does not exceed $75,000,000. The Borrower may arrange for any such increase or tranche to be provided by one or more Lenders (each Lender so agreeing to an increase in its Revolving Commitment, or to participate in such Incremental Term Loans, an “</w:t>
      </w:r>
      <w:r>
        <w:rPr>
          <w:rFonts w:ascii="Times New Roman;serif" w:hAnsi="Times New Roman;serif"/>
          <w:b/>
          <w:i/>
          <w:color w:val="000000"/>
          <w:sz w:val="24"/>
        </w:rPr>
        <w:t>Increasing Lender</w:t>
      </w:r>
      <w:r>
        <w:rPr>
          <w:color w:val="000000"/>
        </w:rPr>
        <w:t>”</w:t>
      </w:r>
      <w:r>
        <w:rPr>
          <w:rFonts w:ascii="Times New Roman;serif" w:hAnsi="Times New Roman;serif"/>
          <w:b w:val="false"/>
          <w:color w:val="000000"/>
          <w:sz w:val="24"/>
        </w:rPr>
        <w:t>), or by one or more new banks, financial institutions or other entities (each such new bank, financial institution or other entity, an “</w:t>
      </w:r>
      <w:r>
        <w:rPr>
          <w:rFonts w:ascii="Times New Roman;serif" w:hAnsi="Times New Roman;serif"/>
          <w:b/>
          <w:i/>
          <w:color w:val="000000"/>
          <w:sz w:val="24"/>
        </w:rPr>
        <w:t>Augmenting Lender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Ineligible Institution may be an Augmenting Lender), which agree to increase their existing Revolving Commitments, or to participate in such Incremental Term Loans, or provide new Revolving Commitments, as the case may be;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each Augmenting Lender, shall be subject to the approval of the Borrower, the Administrative Agent and each Issuing Bank and Swingline Lender to the extent the consent of the Issuing Bank or the Swingline Lender would be required to effect an assignment under Section 9.04(b), and (ii) (x) in the case of an Increasing Lender, the Borrower and such Increasing Lender execute an agreement substantially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 xml:space="preserve">hereto, and (y) in the case of an Augmenting Lender, the Borrower and such Augmenting Lender execute an agreement substantially in the form of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 xml:space="preserve">hereto. No consent of any Lender (other than the Lenders participating in the increase or any Incremental Term Loan) shall be required for any increase in Revolving Commitments or Incremental Term Loan pursuant to this Section 2.22. Increases and new Revolving Commitments and Incremental Term Loans created pursuant to this Section 2.22 shall become effective on the date agreed by the Borrower, the Administrative Agent and the relevant Increasing Lenders or Augmenting Lenders, and the Administrative Agent shall notify each Lender thereof. Notwithstanding the foregoing, no increase in the Revolving Commitments (or in the Revolving Commitment of any Lender) or tranche of Incremental Term Loans shall become effective under this paragraph unless (subject to the next sentence of this Section 2.22 in respect of Limited Condition Transactions), (i) on the proposed date of the effectiveness of such increase or Incremental Term Loans, (A) the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40"/>
        <w:jc w:val="both"/>
        <w:rPr/>
      </w:pPr>
      <w:r>
        <w:rPr>
          <w:rFonts w:ascii="Times New Roman;serif" w:hAnsi="Times New Roman;serif"/>
          <w:b w:val="false"/>
          <w:color w:val="000000"/>
          <w:sz w:val="24"/>
        </w:rPr>
        <w:t>conditions set forth in paragraphs (a) and (b) of Section 4.02 shall be satisfied or waived by the Required Lenders and the Administrative Agent shall have received a certificate to that effect dated such date and executed by a Financial Officer of the Borrower and (B) the Borrower shall be in compliance (on a pro forma basis) with the covenants contained in Section 5.12 and (ii) the Administrative Agent shall have received documents and opinions consistent with those delivered on the Effective Date as to the organizational power and authority of the Borrower to borrow hereunder after giving effect to such increase. Notwithstanding the foregoing, with respect to any Incremental Term Loans incurred for the purpose of financing a Limited Condition Transaction (such Incremental Term Loans, “</w:t>
      </w:r>
      <w:r>
        <w:rPr>
          <w:rFonts w:ascii="Times New Roman;serif" w:hAnsi="Times New Roman;serif"/>
          <w:b/>
          <w:i/>
          <w:color w:val="000000"/>
          <w:sz w:val="24"/>
        </w:rPr>
        <w:t>Specified Incremental Term Loans</w:t>
      </w:r>
      <w:r>
        <w:rPr>
          <w:color w:val="000000"/>
        </w:rPr>
        <w:t>”</w:t>
      </w:r>
      <w:r>
        <w:rPr>
          <w:rFonts w:ascii="Times New Roman;serif" w:hAnsi="Times New Roman;serif"/>
          <w:b w:val="false"/>
          <w:color w:val="000000"/>
          <w:sz w:val="24"/>
        </w:rPr>
        <w:t xml:space="preserve">), to the extent the Borrower has made an LCT Election in connection therewith, (x) clause (i)(A) of the immediately sentence shall be deemed to have been satisfied so long as (1) as of the applicable LCT Test Date, no Default or Event of Default shall have occurred and be continuing or would result from entry into the definitive documentation in respect of the applicable Limited Condition Transaction, (2) as of the date of the borrowing of such Specified Incremental Term Loans, no Event of Default under clause (a), (f) or (g) of Section 7.01 is in existence immediately before or immediately after giving effect (including on a pro forma basis) to such borrowing and to any concurrent transactions and any substantially concurrent use of proceeds thereof, (3) the representations and warranties set forth in Article III shall be true and correct in all material respects (except that any representation and warranty that is qualified by materiality or Material Adverse Effect shall be true and correct in all respects) as of the applicable LCT Test Date, except to the extent any such representation and warranty specifically refers to an earlier date, in which case such representation and warranty shall be true and correct in all material respects (or, with respect to any representation and warranty that is qualified by materiality or Material Adverse Effect, in all respects) as of such earlier date and (4) as of the date of the borrowing of such Specified Incremental Term Loans, customary “Sungard” representations and warranties (with such representations and warranties to be reasonably determined by the Lenders providing such Specified Incremental Term Loans) shall be true and correct in all material respects (except that any representation and warranty that is qualified by materiality or Material Adverse Effect shall be true and correct in all respects) immediately prior to, and immediately after giving effect to, the incurrence of such Specified Incremental Term Loans, except to the extent any such representation and warranty specifically refers to an earlier date, in which case such representation and warranty shall be true and correct in all material respects (or, with respect to any representation and warranty that is qualified by materiality or Material Adverse Effect, in all respects) as of such earlier date and (y) clause (i)(B) of the immediately preceding sentence shall be deemed to have been satisfied so long as the Company shall be in compliance (on a pro forma basis) with the covenants contained in Section 5.12 as of the applicable LCT Test Date. On the effective date of any increase in the Revolving Commitments or any Incremental Term Loans being made, (i) each relevant Increasing Lender and Augmenting Lender shall make available to the Administrative Agent such amounts in immediately available funds as the Administrative Agent shall determine, for the benefit of the other Lenders, as being required in order to cause, after giving effect to such increase and the use of such amounts to make payments to such other Lenders, each Lender’s portion of the outstanding Revolving Loans of all the Lenders to equal its Applicable Percentage of such outstanding Revolving Loans, and (ii) except in the case of any Incremental Term Loans, the Borrower shall be deemed to have repaid and reborrowed all outstanding Revolving Loans as of the date of any increase in the Revolving Commitments (with such reborrowing to consist of the Types of Revolving Loans, with related Interest Periods if applicable, specified in a notice delivered by the Borrower in accordance with the requirements of Section 2.03). The deemed payments made pursuant to clause (ii) of the immediately preceding sentence shall be accompanied by payment of all accrued interest on the amount prepaid and, in respect of each Term Benchmark Loan, shall be subject to indemnification by the Borrower pursuant to the provisions of Section 2.16 if the deemed payment occurs other than on the last day of the related Interest Periods. The Incremental Term Loans (a) shall rank pari passu in right of payment with the Revolving Loans and the initial Term Loans, (b) shall not mature earlier than the Maturity Date (but may have amortization prior to such date) and (c)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treated substantially the same as (and in any event no more favorably than) the Revolving Loans and the initial Term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terms and conditions applicable to any tranche of Incremental Term Loans maturing after the Maturity Date may provide for material additional or different financial or other covenants or prepayment requirements applicable only during periods after the Maturity Date and (ii) the Incremental Term Loans may be priced differently than the Revolving Loans and the initial Term Loans. Incremental Term Loans may be made hereunder pursuant to an amendment or restatement (an “</w:t>
      </w:r>
      <w:r>
        <w:rPr>
          <w:rFonts w:ascii="Times New Roman;serif" w:hAnsi="Times New Roman;serif"/>
          <w:b/>
          <w:i/>
          <w:color w:val="000000"/>
          <w:sz w:val="24"/>
        </w:rPr>
        <w:t>Incremental Term Loan Amendment</w:t>
      </w:r>
      <w:r>
        <w:rPr>
          <w:color w:val="000000"/>
        </w:rPr>
        <w:t>”</w:t>
      </w:r>
      <w:r>
        <w:rPr>
          <w:rFonts w:ascii="Times New Roman;serif" w:hAnsi="Times New Roman;serif"/>
          <w:b w:val="false"/>
          <w:color w:val="000000"/>
          <w:sz w:val="24"/>
        </w:rPr>
        <w:t>) of this Agreement and, as appropriate, the other Loan Documents, executed by the Borrower, each Increasing Lender participating in such tranche, each Augmenting Lender participating in such tranche, if any, and the Administrative Agent. The Incremental Term Loan Amendment may, without the consent of any other Lenders, effect such amendments to this Agreement and the other Loan Documents as may be necessary or appropriate, in the reasonable opinion of the Administrative Agent, to effect the provisions of this Section 2.22. Nothing contained in this Section 2.22 shall constitute, or otherwise be deemed to be, a commitment on the part of any Lender to increase its Revolving Commitment hereunder, or provide Incremental Term Loans, at any time. In connection with any increase of the Revolving Commitments or Incremental Term Loans pursuant to this Section 2.22, any Augmenting Lender becoming a party hereto shall (1) execute such documents and agreements as the Administrative Agent may reasonably request and (2) in the case of any Augmenting Lender that is organized under the laws of a jurisdiction outside of the United States of America, provide to the Administrative Agent, its name, address, tax identification number and/or such other information as shall be necessary for the Administrative Agent to comply with “know your customer” and anti-money laundering rules and regulations, including without limitation, the Patriot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2.23.</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erif" w:hAnsi="Times New Roman;serif"/>
          <w:b/>
          <w:i/>
          <w:color w:val="000000"/>
          <w:sz w:val="24"/>
        </w:rPr>
        <w:t>Judgment Currency</w:t>
      </w:r>
      <w:r>
        <w:rPr>
          <w:color w:val="000000"/>
        </w:rPr>
        <w:t>”</w:t>
      </w:r>
      <w:r>
        <w:rPr>
          <w:rFonts w:ascii="Times New Roman;serif" w:hAnsi="Times New Roman;serif"/>
          <w:b w:val="false"/>
          <w:color w:val="000000"/>
          <w:sz w:val="24"/>
        </w:rPr>
        <w:t>) other than that in which such sum is denominated in accordance with the applicable provisions of this Agreement (the “</w:t>
      </w:r>
      <w:r>
        <w:rPr>
          <w:rFonts w:ascii="Times New Roman;serif" w:hAnsi="Times New Roman;serif"/>
          <w:b/>
          <w:i/>
          <w:color w:val="000000"/>
          <w:sz w:val="24"/>
        </w:rPr>
        <w:t>Agreement Currency</w:t>
      </w:r>
      <w:r>
        <w:rPr>
          <w:color w:val="000000"/>
        </w:rPr>
        <w:t>”</w:t>
      </w:r>
      <w:r>
        <w:rPr>
          <w:rFonts w:ascii="Times New Roman;serif" w:hAnsi="Times New Roman;serif"/>
          <w:b w:val="false"/>
          <w:color w:val="000000"/>
          <w:sz w:val="24"/>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lineRule="auto" w:line="240" w:before="0" w:after="240"/>
        <w:jc w:val="center"/>
        <w:rPr/>
      </w:pPr>
      <w:r>
        <w:rPr>
          <w:rFonts w:ascii="Times New Roman;serif" w:hAnsi="Times New Roman;serif"/>
          <w:b w:val="false"/>
          <w:color w:val="000000"/>
          <w:sz w:val="24"/>
        </w:rPr>
        <w:t>Article III</w:t>
      </w:r>
      <w:r>
        <w:rPr>
          <w:rFonts w:ascii="Times New Roman;serif" w:hAnsi="Times New Roman;serif"/>
          <w:b w:val="false"/>
          <w:color w:val="000000"/>
          <w:sz w:val="24"/>
          <w:u w:val="single"/>
        </w:rPr>
        <w:b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Borrower represents and warrants to the Lenders that:</w:t>
      </w:r>
    </w:p>
    <w:p>
      <w:pPr>
        <w:pStyle w:val="TextBody"/>
        <w:bidi w:val="0"/>
        <w:spacing w:lineRule="auto" w:line="240"/>
        <w:ind w:left="0" w:right="0" w:firstLine="72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Existence, Qualification and Power</w:t>
      </w:r>
      <w:r>
        <w:rPr>
          <w:rFonts w:ascii="Times New Roman;serif" w:hAnsi="Times New Roman;serif"/>
          <w:b w:val="false"/>
          <w:color w:val="000000"/>
          <w:sz w:val="24"/>
        </w:rPr>
        <w:t xml:space="preserve">. Each Loan Party (a) is duly organized or formed, validly existing and, as applicable, in good standing under the Laws of the jurisdiction of its incorporation or organization, (b) has all requisite power and authority and all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serif" w:hAnsi="Times New Roman;serif"/>
          <w:b w:val="false"/>
          <w:color w:val="000000"/>
          <w:sz w:val="24"/>
          <w:u w:val="single"/>
        </w:rPr>
        <w:t>clauses (b)(i)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above, to the extent that failure to do so could not reasonably be expected to have a Material Adverse Effect. The copy of the Organization Documents of each Loan Party provided to the Administrative Agent pursuant to the terms of this Agreement is a true and correct copy of each such document, each of which is valid and in full force and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Authorization; No Contravention</w:t>
      </w:r>
      <w:r>
        <w:rPr>
          <w:rFonts w:ascii="Times New Roman;serif" w:hAnsi="Times New Roman;serif"/>
          <w:b w:val="false"/>
          <w:color w:val="000000"/>
          <w:sz w:val="24"/>
        </w:rPr>
        <w:t xml:space="preserve">.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(or the requirement to create) any Lien under, or require any payment to be made under (i) any Contractual Obligation to which such Person is a party or affecting such Person or the properties of such Person or any of its Subsidiaries or (ii) any order, injunction, writ or decree of any Governmental Authority or any arbitral award to which such Person or its property is subject; or (c) violate any applicable Law except in the case of </w:t>
      </w:r>
      <w:r>
        <w:rPr>
          <w:rFonts w:ascii="Times New Roman;serif" w:hAnsi="Times New Roman;serif"/>
          <w:b w:val="false"/>
          <w:color w:val="000000"/>
          <w:sz w:val="24"/>
          <w:u w:val="single"/>
        </w:rPr>
        <w:t>subsections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where such breach, contravention or payment could not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Governmental Authorization; Other Consents</w:t>
      </w:r>
      <w:r>
        <w:rPr>
          <w:rFonts w:ascii="Times New Roman;serif" w:hAnsi="Times New Roman;serif"/>
          <w:b w:val="false"/>
          <w:color w:val="000000"/>
          <w:sz w:val="24"/>
        </w:rPr>
        <w:t>. 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in any case, other than (i) authorizations, approvals, actions, notices and filings which have been duly obtained and (ii) filings to perfect the Liens created by the Collateral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Binding Effect</w:t>
      </w:r>
      <w:r>
        <w:rPr>
          <w:rFonts w:ascii="Times New Roman;serif" w:hAnsi="Times New Roman;serif"/>
          <w:b w:val="false"/>
          <w:color w:val="000000"/>
          <w:sz w:val="24"/>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Financial Statements; No Material Adverse Effect; No Internal Control Event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The Audited Financial Statements (i) were prepared in accordance with GAAP consistently applied throughout the period covered thereby, except as otherwise expressly noted therein; (ii) fairly present the Consolidated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on a Consolidated basis as of the date thereof, including liabilities for taxes, material commitments and Indebtedness.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unaudited Consolidated balance sheets of the Borrower and its Subsidiaries dated June 30, 2022, and the related Consolidated statements of income or operations, shareholders’ equity and cash flows for the fiscal quarter ended on that date (i) were prepared in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accordance with GAAP consistently applied throughout the period covered thereby, except as otherwise expressly noted therein, and (ii) fairly present the Consolidated financial condition of the Borrower and its Subsidiaries as of the date thereof and their results of operations for the period covered thereby, subject, in the case of clauses (i) and (ii), to the absence of footnotes and to normal year-end audit adjustments.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Since the date of the Audited Financial Statements and except as disclosed in the quarterly financial statements referenced in Section 5.05(b), there has been no event or circumstance, either individually or in the aggregate, that has had or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To the best knowledge of the Borrower, no Internal Control Event exists or has occurred since the date of the Audited Financial Statements that has resulted in or could reasonably be expected to result in a misstatement in any material respect, in any financial information delivered or to be delivered to the Administrative Agent or the Lenders, of (i) covenant compliance calculations provided hereunder or (ii) the assets, liabilities, financial condition or results of operations of the Borrower and its Subsidiaries on a Consolidated basis.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forecasted balance sheet and statements of income and cash flows of the Borrower and its Subsidiaries on a Consolidated basis delivered pursuant to Section 5.01(c) were prepared in good faith on the basis of the assumptions stated therein, which assumptions were fair in light of the conditions existing at the time of delivery of such forecasts, and represented, at the time of delivery, the Borrower’s best estimate of its future financial condition and performance.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are no actions, suits, proceedings, claims or disputes pending or, to the knowledge of the Borrower after due and diligent investigation, threatened or contemplated, at law, in equity, in arbitration or before any Governmental Authority, by or against the Borrower or any of its Subsidiaries or against any of their properties or revenues that (a) purport to affect or pertain to this Agreement or any other Loan Document, or any of the transactions contemplated hereby, or (b) except as specifically disclosed in Schedule 3.06, either individually or in the aggregate, if determined adversely, could reasonably be expected to have a Material Adverse Effect, and there has been no adverse change in the status, or financial effect on any Loan Party or any Subsidiary thereof, of the matters described on Schedule 3.06.</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3.07.</w:t>
      </w:r>
      <w:r>
        <w:rPr>
          <w:rFonts w:ascii="Times New Roman;serif" w:hAnsi="Times New Roman;serif"/>
          <w:b w:val="false"/>
          <w:color w:val="000000"/>
          <w:sz w:val="24"/>
          <w:u w:val="single"/>
        </w:rPr>
        <w:t>No Default</w:t>
      </w:r>
      <w:r>
        <w:rPr>
          <w:rFonts w:ascii="Times New Roman;serif" w:hAnsi="Times New Roman;serif"/>
          <w:b w:val="false"/>
          <w:color w:val="000000"/>
          <w:sz w:val="24"/>
        </w:rPr>
        <w:t>. Neither any Loan Party nor any Subsidiary thereof is in default under or with respect to any Contractual Obligation 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3.08.</w:t>
      </w:r>
      <w:r>
        <w:rPr>
          <w:rFonts w:ascii="Times New Roman;serif" w:hAnsi="Times New Roman;serif"/>
          <w:b w:val="false"/>
          <w:color w:val="000000"/>
          <w:sz w:val="24"/>
          <w:u w:val="single"/>
        </w:rPr>
        <w:t>Ownership of Property; Liens</w:t>
      </w:r>
      <w:r>
        <w:rPr>
          <w:rFonts w:ascii="Times New Roman;serif" w:hAnsi="Times New Roman;serif"/>
          <w:b w:val="false"/>
          <w:color w:val="000000"/>
          <w:sz w:val="24"/>
        </w:rPr>
        <w:t>. Each of the Borrower and each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Borrower and its Subsidiaries is subject to no Liens, other than Liens permitted by Section 6.01, including Liens listed on Schedule 6.01.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3.09.</w:t>
      </w:r>
      <w:r>
        <w:rPr>
          <w:rFonts w:ascii="Times New Roman;serif" w:hAnsi="Times New Roman;serif"/>
          <w:b w:val="false"/>
          <w:color w:val="000000"/>
          <w:sz w:val="24"/>
          <w:u w:val="single"/>
        </w:rPr>
        <w:t>Environmental Compliance</w:t>
      </w:r>
      <w:r>
        <w:rPr>
          <w:rFonts w:ascii="Times New Roman;serif" w:hAnsi="Times New Roman;serif"/>
          <w:b w:val="false"/>
          <w:color w:val="000000"/>
          <w:sz w:val="24"/>
        </w:rPr>
        <w:t>. The Borrower and its Subsidiaries conduct in the ordinary course of business a review of the effect of existing Environmental Laws and claims alleging potential liability or responsibility for violation of any Environmental Law on their respective businesses, operations and properties, and as a result thereof the Borrower has reasonably concluded that, except as specifically disclosed in Schedule 3.09, such Environmental Laws and claims could not, individually or in the aggregate, reasonably be expected to have a Material Adverse Effect.</w:t>
      </w:r>
    </w:p>
    <w:p>
      <w:pPr>
        <w:pStyle w:val="TextBody"/>
        <w:bidi w:val="0"/>
        <w:spacing w:lineRule="auto" w:line="240"/>
        <w:ind w:left="0" w:right="0" w:firstLine="720"/>
        <w:jc w:val="both"/>
        <w:rPr/>
      </w:pPr>
      <w:r>
        <w:rPr>
          <w:rFonts w:ascii="Times New Roman;serif" w:hAnsi="Times New Roman;serif"/>
          <w:b w:val="false"/>
          <w:color w:val="000000"/>
          <w:sz w:val="24"/>
        </w:rPr>
        <w:t>Section 3.10.</w:t>
      </w:r>
      <w:r>
        <w:rPr>
          <w:rFonts w:ascii="Times New Roman;serif" w:hAnsi="Times New Roman;serif"/>
          <w:b w:val="false"/>
          <w:color w:val="000000"/>
          <w:sz w:val="24"/>
          <w:u w:val="single"/>
        </w:rPr>
        <w:t>Insurance</w:t>
      </w:r>
      <w:r>
        <w:rPr>
          <w:rFonts w:ascii="Times New Roman;serif" w:hAnsi="Times New Roman;serif"/>
          <w:b w:val="false"/>
          <w:color w:val="000000"/>
          <w:sz w:val="24"/>
        </w:rPr>
        <w:t xml:space="preserve">. The properties of the Borrower and its Subsidiaries are insured with financially sound and reputable insurance companies not Affiliates of Borrower, in such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amounts (after giving effect to any self-insurance compatible with the following standards), with such deductibles and covering such risks as the Borrower reasonably believes appropriate. All insurance with respect to the Collateral shall (a) contain a breach of warranty clause in favor of the Administrative Agent, (b) provide that no cancellation, reduction in amount or change in coverage thereof shall be effective until at least ten (10) days after receipt by the Administrative Agent of written notice thereof (thirty (30) days for nonpayment of premium) and (c) be reasonably satisfactory in all material respects to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3.11.</w:t>
      </w:r>
      <w:r>
        <w:rPr>
          <w:rFonts w:ascii="Times New Roman;serif" w:hAnsi="Times New Roman;serif"/>
          <w:b w:val="false"/>
          <w:color w:val="000000"/>
          <w:sz w:val="24"/>
          <w:u w:val="single"/>
        </w:rPr>
        <w:t>Taxes</w:t>
      </w:r>
      <w:r>
        <w:rPr>
          <w:rFonts w:ascii="Times New Roman;serif" w:hAnsi="Times New Roman;serif"/>
          <w:b w:val="false"/>
          <w:color w:val="000000"/>
          <w:sz w:val="24"/>
        </w:rPr>
        <w:t>. The Borrower and its Subsidiaries have filed all foreign and domestic Federal, state and other material tax returns and reports required to be filed, and have paid all foreign and domestic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nor is there any tax sharing agreement applicable to the Borrower or any Subsidiary.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3.12.</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Plan is in compliance with the applicable provisions of ERISA, the Code and other Federal or state laws </w:t>
      </w:r>
      <w:r>
        <w:rPr>
          <w:rFonts w:ascii="Times New Roman;serif" w:hAnsi="Times New Roman;serif"/>
          <w:b w:val="false"/>
          <w:color w:val="191919"/>
          <w:sz w:val="24"/>
        </w:rPr>
        <w:t>except for any failure to comply which, either individually or in the aggregate, could not reasonably be expected to result in a Material Adverse Effect</w:t>
      </w:r>
      <w:r>
        <w:rPr>
          <w:rFonts w:ascii="Times New Roman;serif" w:hAnsi="Times New Roman;serif"/>
          <w:b w:val="false"/>
          <w:color w:val="000000"/>
          <w:sz w:val="24"/>
        </w:rPr>
        <w:t>.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best knowledge of the Borrower, nothing has occurred that would prevent or cause the loss of such tax-qualified status.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Except as set forth and described on Schedule 3.12(c) attached hereto and made a part hereof, (i) no ERISA Event has occurred, and neither the Borrower nor any ERISA Affiliate is aware of any fact, event or circumstance that could reasonably be expected to constitute or result in an ERISA Event with respect to any Pension Plan; (ii) the Borrower and each ERISA Affiliate has met all applicable requirements under the Pension Funding Rules in respect of each Pension Plan, and no waiver of the minimum funding standards under the Pension Funding Rules has been applied for or obtained in respect of any Pension Plan; (iii) as of the most recent valuation date for any Pension Plan, the funding target attainment percentage (as defined in Section 430(d)(2) of the Code) is 60% or higher and neither the Borrower nor any ERISA Affiliate knows of any facts or circumstances that could reasonably be expected to cause the funding target attainment percentage for any such plan to drop below 60% as of the most recent valuation date; (iv) neither the Borrower nor any ERISA Affiliate has incurred any liability to the PBGC other than for the payment of premiums, and there are no premium payments which have become due that are unpaid; (v) neither the Borrower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Neither the Borrower nor any ERISA Affiliate maintains or contributes to, or has any unsatisfied obligation to contribute to, or liability under, any active or terminated Pension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Plan other than those listed on Schedule 3.12(d) attached hereto, and neither the execution, delivery nor performance of the Transactions, including the making of any Loan and the issuance of any Letter of Credit hereunder, will give rise to a non-exempt prohibited transaction under Section 406 of ERISA or Section 4975 of the Code.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Borrower is not and will not be using “plan assets” (within the meaning of 29 CFR § 2510.3-101, as modified by Section 3(42) of ERISA) of one or more Benefit Plans in connection with the Loans, the Letters of Credit or the Commitments.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3.13.</w:t>
      </w:r>
      <w:r>
        <w:rPr>
          <w:rFonts w:ascii="Times New Roman;serif" w:hAnsi="Times New Roman;serif"/>
          <w:b w:val="false"/>
          <w:color w:val="000000"/>
          <w:sz w:val="24"/>
          <w:u w:val="single"/>
        </w:rPr>
        <w:t>Subsidiaries; Equity Interests</w:t>
      </w:r>
      <w:r>
        <w:rPr>
          <w:rFonts w:ascii="Times New Roman;serif" w:hAnsi="Times New Roman;serif"/>
          <w:b w:val="false"/>
          <w:color w:val="000000"/>
          <w:sz w:val="24"/>
        </w:rPr>
        <w:t>. As of the Effective Date, the Borrower has no Subsidiaries other than those specifically disclosed in Part (a) of Schedule 3.13, and the outstanding Equity Interests in such Subsidiaries have been validly issued, are fully paid and nonassessable and are owned by a Loan Party in the amounts specified on Part (a) of Schedule 3.13 free and clear of all Liens. Borrower has no equity investments in any other corporation or entity other than those specifically disclosed in Part (b) of Schedule 3.13.</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3.14.</w:t>
      </w:r>
      <w:r>
        <w:rPr>
          <w:rFonts w:ascii="Times New Roman;serif" w:hAnsi="Times New Roman;serif"/>
          <w:b w:val="false"/>
          <w:color w:val="000000"/>
          <w:sz w:val="24"/>
          <w:u w:val="single"/>
        </w:rPr>
        <w:t>Margin Regulations; Investment Company Act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Neither the Borrower nor any Subsidiary is engaged or will engage, principally or as one of its important activities, in the business of purchasing or carrying margin stock (within the meaning of Regulation U issued by the Federal Reserve Board), or extending credit for the purpose of purchasing or carrying margin stock. Following the application of the proceeds of each Borrowing or drawing under each Letter of Credit, not more than 25% of the value of the assets (either of Borrower individually or of the Borrower and its Subsidiaries on a Consolidated basis) are or will be margin stock.</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None of the Borrower, any Person Controlling the Borrower, or any Subsidiary is or is required to be registered as an “investment company” under the Investment Company Act of 1940.</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3.15.</w:t>
      </w:r>
      <w:r>
        <w:rPr>
          <w:rFonts w:ascii="Times New Roman;serif" w:hAnsi="Times New Roman;serif"/>
          <w:b w:val="false"/>
          <w:color w:val="000000"/>
          <w:sz w:val="24"/>
          <w:u w:val="single"/>
        </w:rPr>
        <w:t>Disclosure</w:t>
      </w:r>
      <w:r>
        <w:rPr>
          <w:rFonts w:ascii="Times New Roman;serif" w:hAnsi="Times New Roman;serif"/>
          <w:b w:val="false"/>
          <w:color w:val="000000"/>
          <w:sz w:val="24"/>
        </w:rPr>
        <w:t xml:space="preserve">. The Borrower has disclosed to the Administrative Agent and the Lenders all agreements, instruments and corporate or other restrictions to which it or any of its Subsidiaries is subject, and all other matters known to it, that, individually or in the aggregate, could reasonably be expected to result in a Material Adverse Effect. No report, financial statement, certificate or other information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with respect to projected financial information, the Borrower represents only that such information was prepared in good faith based upon assumptions believed to be reasonable at the time. The information included in the Beneficial Ownership Certification most recently provided to each Lender, if applicable, is true and correct in all respects.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3.16.</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 Each Loan Party and each Subsidiary thereof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3.17.</w:t>
      </w:r>
      <w:r>
        <w:rPr>
          <w:rFonts w:ascii="Times New Roman;serif" w:hAnsi="Times New Roman;serif"/>
          <w:b w:val="false"/>
          <w:color w:val="000000"/>
          <w:sz w:val="24"/>
          <w:u w:val="single"/>
        </w:rPr>
        <w:t>Taxpayer Identification Number</w:t>
      </w:r>
      <w:r>
        <w:rPr>
          <w:rFonts w:ascii="Times New Roman;serif" w:hAnsi="Times New Roman;serif"/>
          <w:b w:val="false"/>
          <w:color w:val="000000"/>
          <w:sz w:val="24"/>
        </w:rPr>
        <w:t>. The Borrower’s true and correct U.S. taxpayer identification number is set forth is set forth in Section 9.01.</w:t>
      </w:r>
    </w:p>
    <w:p>
      <w:pPr>
        <w:pStyle w:val="TextBody"/>
        <w:bidi w:val="0"/>
        <w:spacing w:lineRule="auto" w:line="240"/>
        <w:ind w:left="0" w:right="0" w:firstLine="720"/>
        <w:jc w:val="both"/>
        <w:rPr/>
      </w:pPr>
      <w:r>
        <w:rPr>
          <w:rFonts w:ascii="Times New Roman;serif" w:hAnsi="Times New Roman;serif"/>
          <w:b w:val="false"/>
          <w:color w:val="000000"/>
          <w:sz w:val="24"/>
        </w:rPr>
        <w:t>Section 3.18.</w:t>
      </w:r>
      <w:r>
        <w:rPr>
          <w:rFonts w:ascii="Times New Roman;serif" w:hAnsi="Times New Roman;serif"/>
          <w:b w:val="false"/>
          <w:color w:val="000000"/>
          <w:sz w:val="24"/>
          <w:u w:val="single"/>
        </w:rPr>
        <w:t>Intellectual Property; Licenses, Etc</w:t>
      </w:r>
      <w:r>
        <w:rPr>
          <w:rFonts w:ascii="Times New Roman;serif" w:hAnsi="Times New Roman;serif"/>
          <w:b w:val="false"/>
          <w:color w:val="000000"/>
          <w:sz w:val="24"/>
        </w:rPr>
        <w:t xml:space="preserve">. The Borrower and its Subsidiaries own, or possess the right to use, all of the trademarks, service marks, trade names, copyrights, </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patents, patent rights, franchises, licenses and other intellectual property rights that are reasonably necessary for the operation of their respective businesses, without conflict with the rights of any other Person. To the best knowledge of the Borrower, no trademark, service mark, copyright, patent, slogan or other advertising device, product, process, method, substance, part or other material now employed, or now contemplated to be employed, by the Borrower or any Subsidiary infringes upon any rights held by any other Person. No claim or litigation regarding any of the foregoing is pending or, to the best knowledge of Borrower, threatened, which, either individually or in the aggregate, could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3.19.</w:t>
      </w:r>
      <w:r>
        <w:rPr>
          <w:rFonts w:ascii="Times New Roman;serif" w:hAnsi="Times New Roman;serif"/>
          <w:b w:val="false"/>
          <w:color w:val="000000"/>
          <w:sz w:val="24"/>
          <w:u w:val="single"/>
        </w:rPr>
        <w:t>Rights in Collateral; Priority of Liens</w:t>
      </w:r>
      <w:r>
        <w:rPr>
          <w:rFonts w:ascii="Times New Roman;serif" w:hAnsi="Times New Roman;serif"/>
          <w:b w:val="false"/>
          <w:color w:val="000000"/>
          <w:sz w:val="24"/>
        </w:rPr>
        <w:t>. The Borrower and each other Loan Party own the property granted by it as Collateral under the Collateral Documents, free and clear of any and all Liens in favor of third parties, other than Liens permitted under Section 6.01, including Liens set forth on Schedule 6.01. Upon the proper filing of UCC financing statements and copyright, trademark and patent assignment notices, the Liens granted pursuant to the Collateral Documents will constitute valid and enforceable first, prior and perfected Liens in favor of the Administrative Agent, for the ratable benefit of the Secured Parties on all collateral on which a lien may be perfected by the filing of such UCC financing statements and copyright, trademark and patent assignment notices, subject only to the Liens set forth on Schedule 7.01.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3.20.</w:t>
      </w:r>
      <w:r>
        <w:rPr>
          <w:rFonts w:ascii="Times New Roman;serif" w:hAnsi="Times New Roman;serif"/>
          <w:b w:val="false"/>
          <w:color w:val="000000"/>
          <w:sz w:val="24"/>
          <w:u w:val="single"/>
        </w:rPr>
        <w:t>Sanctions Concerns and Anti-Corruption Laws</w:t>
      </w:r>
      <w:r>
        <w:rPr>
          <w:rFonts w:ascii="Times New Roman;serif" w:hAnsi="Times New Roman;serif"/>
          <w:b w:val="false"/>
          <w:color w:val="000000"/>
          <w:sz w:val="24"/>
        </w:rPr>
        <w:t xml:space="preserve">.The Borrower has implemented and maintains in effect policies and procedures designed to ensure compliance by the Borrower, its Subsidiaries and their respective directors, officers, employees and agents with Anti-Corruption Laws and applicable Sanctions, and the Borrower, its Subsidiaries and their respective officers and directors and to the knowledge of the Borrower, its employees and agents, are in compliance with Anti-Corruption Laws and applicable Sanctions in all material respects and are not knowingly engaged in any activity that could reasonably be expected to result in the Borrower being designated as a Sanctioned Person. None of (a) the Borrower, any Subsidiary, any of their respective directors or officers or to the knowledge of the Borrower or such Subsidiary, employees, or (b) to the knowledge of the Borrower, any agent of the Borrower or any Subsidiary that will act in any capacity in connection with or benefit from the credit facilities established hereby, is a Sanctioned Person. No Borrowing or Letter of Credit, use of proceeds or other Transactions will violate any Anti-Corruption Law or applicable Sanctions.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3.21.</w:t>
      </w:r>
      <w:r>
        <w:rPr>
          <w:rFonts w:ascii="Times New Roman;serif" w:hAnsi="Times New Roman;serif"/>
          <w:b w:val="false"/>
          <w:color w:val="000000"/>
          <w:sz w:val="24"/>
          <w:u w:val="single"/>
        </w:rPr>
        <w:t>Solvency</w:t>
      </w:r>
      <w:r>
        <w:rPr>
          <w:color w:val="000000"/>
        </w:rPr>
        <w:t xml:space="preserve"> </w:t>
      </w:r>
      <w:r>
        <w:rPr>
          <w:rFonts w:ascii="Times New Roman;serif" w:hAnsi="Times New Roman;serif"/>
          <w:b w:val="false"/>
          <w:color w:val="000000"/>
          <w:sz w:val="24"/>
        </w:rPr>
        <w:t>. Each Loan Party is, individually and together with its Subsidiaries on a Consolidated basis, Solvent.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3.22.</w:t>
      </w:r>
      <w:r>
        <w:rPr>
          <w:rFonts w:ascii="Times New Roman;serif" w:hAnsi="Times New Roman;serif"/>
          <w:b w:val="false"/>
          <w:color w:val="000000"/>
          <w:sz w:val="24"/>
          <w:u w:val="single"/>
        </w:rPr>
        <w:t>Casualty, Etc</w:t>
      </w:r>
      <w:r>
        <w:rPr>
          <w:rFonts w:ascii="Times New Roman;serif" w:hAnsi="Times New Roman;serif"/>
          <w:b w:val="false"/>
          <w:color w:val="000000"/>
          <w:sz w:val="24"/>
        </w:rPr>
        <w:t>. Neither the businesses nor the properties of any Loan Party or any of its Subsidiaries are 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3.23.</w:t>
      </w:r>
      <w:r>
        <w:rPr>
          <w:rFonts w:ascii="Times New Roman;serif" w:hAnsi="Times New Roman;serif"/>
          <w:b w:val="false"/>
          <w:color w:val="000000"/>
          <w:sz w:val="24"/>
          <w:u w:val="single"/>
        </w:rPr>
        <w:t>Responsible Officers</w:t>
      </w:r>
      <w:r>
        <w:rPr>
          <w:rFonts w:ascii="Times New Roman;serif" w:hAnsi="Times New Roman;serif"/>
          <w:b w:val="false"/>
          <w:color w:val="000000"/>
          <w:sz w:val="24"/>
        </w:rPr>
        <w:t>. Set forth on Schedule 3.23 attached hereto are Responsible Officers, holding the offices indicated next to their respective names, as of the Effective Date and as of the last date such Schedule was required to be updated in accordance with Sections 5.02(a), 5.13 and 5.15 and such Responsible Officers are the duly elected and qualified officers of such Loan Party and are duly authorized to execute and deliver, on behalf of the respective Loan Party, this Agreement, the Notes and the other Loan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3.24.</w:t>
      </w:r>
      <w:r>
        <w:rPr>
          <w:color w:val="000000"/>
          <w:u w:val="single"/>
        </w:rPr>
        <w:t xml:space="preserve"> </w:t>
      </w:r>
      <w:r>
        <w:rPr>
          <w:rFonts w:ascii="Times New Roman;serif" w:hAnsi="Times New Roman;serif"/>
          <w:b w:val="false"/>
          <w:color w:val="000000"/>
          <w:sz w:val="24"/>
          <w:u w:val="single"/>
        </w:rPr>
        <w:t>Collateral Representations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Collateral Documents</w:t>
      </w:r>
      <w:r>
        <w:rPr>
          <w:rFonts w:ascii="Times New Roman;serif" w:hAnsi="Times New Roman;serif"/>
          <w:b w:val="false"/>
          <w:color w:val="000000"/>
          <w:sz w:val="24"/>
        </w:rPr>
        <w:t xml:space="preserve">. The provisions of the Collateral Documents are effective to create in favor of the Administrative Agent for the benefit of the Secured Parties a legal, valid and enforceable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priority Lien (subject to Liens permitted pursuant to Section 6.01 below) on all rights, title and interests of the respective Loan Parties in the Collateral described therein. Except for filings completed prior to the Effective Date and as contemplated hereby and by the Collateral Documents, no filing or other action will be necessary to perfect or protect such Liens.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Intellectual Property</w:t>
      </w:r>
      <w:r>
        <w:rPr>
          <w:rFonts w:ascii="Times New Roman;serif" w:hAnsi="Times New Roman;serif"/>
          <w:b w:val="false"/>
          <w:color w:val="000000"/>
          <w:sz w:val="24"/>
        </w:rPr>
        <w:t xml:space="preserve">. Set forth on Schedule 3.24(b), as of the Effective Date and as of the last date such Schedule was required to be updated in accordance with Sections 5.02(a), 5.13 and 5.15, is a list of all intellectual property registered in the United States of America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all registered copyrights, patents and trademarks and any applications for registration and issuance thereof) owned by each of the Loan Parties or that each of the Loan Parties has the right to (including the name/title, current owner, registration or application number, and registration or application date and such other information as reasonably requested by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Documents, Instruments, and Tangible Chattel Paper</w:t>
      </w:r>
      <w:r>
        <w:rPr>
          <w:rFonts w:ascii="Times New Roman;serif" w:hAnsi="Times New Roman;serif"/>
          <w:b w:val="false"/>
          <w:color w:val="000000"/>
          <w:sz w:val="24"/>
        </w:rPr>
        <w:t xml:space="preserve">. Set forth on </w:t>
      </w:r>
      <w:r>
        <w:rPr>
          <w:rFonts w:ascii="Times New Roman;serif" w:hAnsi="Times New Roman;serif"/>
          <w:b w:val="false"/>
          <w:color w:val="000000"/>
          <w:sz w:val="24"/>
          <w:u w:val="single"/>
        </w:rPr>
        <w:t>Schedule 3.24(c</w:t>
      </w:r>
      <w:r>
        <w:rPr>
          <w:rFonts w:ascii="Times New Roman;serif" w:hAnsi="Times New Roman;serif"/>
          <w:b w:val="false"/>
          <w:color w:val="000000"/>
          <w:sz w:val="24"/>
        </w:rPr>
        <w:t xml:space="preserve">), as of the Effective Date and as of the last date such </w:t>
      </w:r>
      <w:r>
        <w:rPr>
          <w:rFonts w:ascii="Times New Roman;serif" w:hAnsi="Times New Roman;serif"/>
          <w:b w:val="false"/>
          <w:color w:val="000000"/>
          <w:sz w:val="24"/>
          <w:u w:val="single"/>
        </w:rPr>
        <w:t>Schedule 3.24(c</w:t>
      </w:r>
      <w:r>
        <w:rPr>
          <w:rFonts w:ascii="Times New Roman;serif" w:hAnsi="Times New Roman;serif"/>
          <w:b w:val="false"/>
          <w:color w:val="000000"/>
          <w:sz w:val="24"/>
        </w:rPr>
        <w:t xml:space="preserve">) was required to be updated in accordance with </w:t>
      </w:r>
      <w:r>
        <w:rPr>
          <w:rFonts w:ascii="Times New Roman;serif" w:hAnsi="Times New Roman;serif"/>
          <w:b w:val="false"/>
          <w:color w:val="000000"/>
          <w:sz w:val="24"/>
          <w:u w:val="single"/>
        </w:rPr>
        <w:t>Sections </w:t>
      </w:r>
      <w:r>
        <w:rPr>
          <w:rFonts w:ascii="Times New Roman;serif" w:hAnsi="Times New Roman;serif"/>
          <w:b w:val="false"/>
          <w:color w:val="000000"/>
          <w:sz w:val="24"/>
        </w:rPr>
        <w:t>5.02(a), 5.13 and 5.15, is a description of each “Document,” “Instrument,” and “Tangible Chattel Paper” (each as defined in the UCC) of the Loan Parties, in each case, in an amount in excess of $5,000,000 individually or $10,000,000 in the aggregate (including the Loan Party owning such Document, Instrument and Tangible Chattel Paper and such other information as reasonably requested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Deposit Accounts, Electronic Chattel Paper, Letter of Credit Rights and Securities Accounts</w:t>
      </w:r>
      <w:r>
        <w:rPr>
          <w:rFonts w:ascii="Times New Roman;serif" w:hAnsi="Times New Roman;serif"/>
          <w:b w:val="false"/>
          <w:color w:val="000000"/>
          <w:sz w:val="24"/>
        </w:rPr>
        <w:t xml:space="preserve">.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(i)Set forth on Schedule 3.24(d), as of the Effective Date and as of the last date such Schedule was required to be updated in accordance with Sections 5.02(a), 5.13 and 5.15, is a description of all “Deposit Accounts” and “Securities Accounts” (as each of the foregoing terms is defined in the UCC) of the Loan Parties in the United States of America, including the name of (A) the applicable Loan Party, and (B) in the case of a Deposit Account, the depository institution and average amount held in such Deposit Account and whether such account is a zero balance account or a payroll account.</w:t>
      </w:r>
    </w:p>
    <w:p>
      <w:pPr>
        <w:pStyle w:val="TextBody"/>
        <w:bidi w:val="0"/>
        <w:spacing w:lineRule="auto" w:line="240" w:before="0" w:after="240"/>
        <w:jc w:val="both"/>
        <w:rPr/>
      </w:pPr>
      <w:r>
        <w:rPr>
          <w:rFonts w:ascii="Times New Roman;serif" w:hAnsi="Times New Roman;serif"/>
          <w:b w:val="false"/>
          <w:color w:val="000000"/>
          <w:sz w:val="24"/>
        </w:rPr>
        <w:t xml:space="preserve">(ii)Set forth on </w:t>
      </w:r>
      <w:r>
        <w:rPr>
          <w:rFonts w:ascii="Times New Roman;serif" w:hAnsi="Times New Roman;serif"/>
          <w:b w:val="false"/>
          <w:color w:val="000000"/>
          <w:sz w:val="24"/>
          <w:u w:val="single"/>
        </w:rPr>
        <w:t>Schedule 3.24(d)(ii)</w:t>
      </w:r>
      <w:r>
        <w:rPr>
          <w:rFonts w:ascii="Times New Roman;serif" w:hAnsi="Times New Roman;serif"/>
          <w:b w:val="false"/>
          <w:color w:val="000000"/>
          <w:sz w:val="24"/>
        </w:rPr>
        <w:t xml:space="preserve">, as of the Effective Date and as of the last date such </w:t>
      </w:r>
      <w:r>
        <w:rPr>
          <w:rFonts w:ascii="Times New Roman;serif" w:hAnsi="Times New Roman;serif"/>
          <w:b w:val="false"/>
          <w:color w:val="000000"/>
          <w:sz w:val="24"/>
          <w:u w:val="single"/>
        </w:rPr>
        <w:t>Schedule 3.24(d)(ii</w:t>
      </w:r>
      <w:r>
        <w:rPr>
          <w:rFonts w:ascii="Times New Roman;serif" w:hAnsi="Times New Roman;serif"/>
          <w:b w:val="false"/>
          <w:color w:val="000000"/>
          <w:sz w:val="24"/>
        </w:rPr>
        <w:t xml:space="preserve">) was required to be updated in accordance with </w:t>
      </w:r>
      <w:r>
        <w:rPr>
          <w:rFonts w:ascii="Times New Roman;serif" w:hAnsi="Times New Roman;serif"/>
          <w:b w:val="false"/>
          <w:color w:val="000000"/>
          <w:sz w:val="24"/>
          <w:u w:val="single"/>
        </w:rPr>
        <w:t>Sections </w:t>
      </w:r>
      <w:r>
        <w:rPr>
          <w:rFonts w:ascii="Times New Roman;serif" w:hAnsi="Times New Roman;serif"/>
          <w:b w:val="false"/>
          <w:color w:val="000000"/>
          <w:sz w:val="24"/>
        </w:rPr>
        <w:t>5.02(a), 5.13 and 5.15, is a description of all “Electronic Chattel Paper” and “Letter-of-Credit Rights” (each as defined in the UCC) of the Loan Parties, in each case, in an amount in excess of $5,000,000 individually or $10,000,000 in the aggregate, including the name of (A) the applicable Loan Party, (B) in the case of Electronic Chattel Paper (as defined in the UCC), the account debtor and (C) in the case of Letter-of-Credit Rights (as defined in the UCC), the issuer or nominated person,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Commercial Tort Claims</w:t>
      </w:r>
      <w:r>
        <w:rPr>
          <w:rFonts w:ascii="Times New Roman;serif" w:hAnsi="Times New Roman;serif"/>
          <w:b w:val="false"/>
          <w:color w:val="000000"/>
          <w:sz w:val="24"/>
        </w:rPr>
        <w:t xml:space="preserve">. Set forth on </w:t>
      </w:r>
      <w:r>
        <w:rPr>
          <w:rFonts w:ascii="Times New Roman;serif" w:hAnsi="Times New Roman;serif"/>
          <w:b w:val="false"/>
          <w:color w:val="000000"/>
          <w:sz w:val="24"/>
          <w:u w:val="single"/>
        </w:rPr>
        <w:t>Schedule 5.21(e</w:t>
      </w:r>
      <w:r>
        <w:rPr>
          <w:rFonts w:ascii="Times New Roman;serif" w:hAnsi="Times New Roman;serif"/>
          <w:b w:val="false"/>
          <w:color w:val="000000"/>
          <w:sz w:val="24"/>
        </w:rPr>
        <w:t xml:space="preserve">), as of the Closing Date and as of the last date such </w:t>
      </w:r>
      <w:r>
        <w:rPr>
          <w:rFonts w:ascii="Times New Roman;serif" w:hAnsi="Times New Roman;serif"/>
          <w:b w:val="false"/>
          <w:color w:val="000000"/>
          <w:sz w:val="24"/>
          <w:u w:val="single"/>
        </w:rPr>
        <w:t>Schedule 3.24(e</w:t>
      </w:r>
      <w:r>
        <w:rPr>
          <w:rFonts w:ascii="Times New Roman;serif" w:hAnsi="Times New Roman;serif"/>
          <w:b w:val="false"/>
          <w:color w:val="000000"/>
          <w:sz w:val="24"/>
        </w:rPr>
        <w:t xml:space="preserve">) was required to be updated in accordance with </w:t>
      </w:r>
      <w:r>
        <w:rPr>
          <w:rFonts w:ascii="Times New Roman;serif" w:hAnsi="Times New Roman;serif"/>
          <w:b w:val="false"/>
          <w:color w:val="000000"/>
          <w:sz w:val="24"/>
          <w:u w:val="single"/>
        </w:rPr>
        <w:t>Sections </w:t>
      </w:r>
      <w:r>
        <w:rPr>
          <w:rFonts w:ascii="Times New Roman;serif" w:hAnsi="Times New Roman;serif"/>
          <w:b w:val="false"/>
          <w:color w:val="000000"/>
          <w:sz w:val="24"/>
        </w:rPr>
        <w:t>5.02(a), 5.13 and 5.15, is a description of each “Commercial Tort Claim” (as defined in the UCC) of the Loan Parties in an amount in excess of $5,000,000 individually or $10,000,000 in the aggregate (detailing such Commercial Tort Claim in such detail as reasonably requested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Pledged Equity Interests</w:t>
      </w:r>
      <w:r>
        <w:rPr>
          <w:rFonts w:ascii="Times New Roman;serif" w:hAnsi="Times New Roman;serif"/>
          <w:b w:val="false"/>
          <w:color w:val="000000"/>
          <w:sz w:val="24"/>
        </w:rPr>
        <w:t>. Set forth on Schedule 3.24(f), as of the Effective Date and as of the last date such Schedule was required to be updated in accordance with Sections 5.02(a), 5.13 and 5.15, is a list of all Equity Interests pledged or required to be pledged to the Administrative Agent pursuant to this Agreement and/or the Collateral Documents, in each case, detailing the owner/pledgor, the Person whose Equity Interests are pledged, the number of shares of each class of Equity Interests, the certificate number and percentage ownership of outstanding shares of each class of Equity Interests and the class or nature of such Equity Interests (i.e. voting, non-voting, preferred, etc.).</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Properties</w:t>
      </w:r>
      <w:r>
        <w:rPr>
          <w:rFonts w:ascii="Times New Roman;serif" w:hAnsi="Times New Roman;serif"/>
          <w:b w:val="false"/>
          <w:color w:val="000000"/>
          <w:sz w:val="24"/>
        </w:rPr>
        <w:t xml:space="preserve">. Set forth on Schedule 3.24(g), as of the Effective Date and as of the last date such Schedule was required to be updated in accordance with Sections 5.02(a), 5.13 and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5.15, is a list of (i) each principal place of business or chief executive office of the Loan Parties, and (ii) each location where any personal property Collateral is located at any premises owned or leased by a Loan Party with a Collateral value in excess of $5,000,000 individually or $10,000,000 in the aggregate (in each case, including (1) an indication if such location is leased or owned, (2) if leased, the name of the lessor, and if owned, the name of the Loan Party owning such property, (3) the address of such property (including, the city, county, state and zip code).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3.25.</w:t>
      </w:r>
      <w:r>
        <w:rPr>
          <w:rFonts w:ascii="Times New Roman;serif" w:hAnsi="Times New Roman;serif"/>
          <w:b w:val="false"/>
          <w:color w:val="000000"/>
          <w:sz w:val="24"/>
          <w:u w:val="single"/>
        </w:rPr>
        <w:t>Affected Financial Institution</w:t>
      </w:r>
      <w:r>
        <w:rPr>
          <w:rFonts w:ascii="Times New Roman;serif" w:hAnsi="Times New Roman;serif"/>
          <w:b w:val="false"/>
          <w:color w:val="000000"/>
          <w:sz w:val="24"/>
        </w:rPr>
        <w:t>. No Loan Party is an Affected Financial Institution.</w:t>
      </w:r>
    </w:p>
    <w:p>
      <w:pPr>
        <w:pStyle w:val="TextBody"/>
        <w:bidi w:val="0"/>
        <w:spacing w:lineRule="auto" w:line="240" w:before="0" w:after="240"/>
        <w:jc w:val="center"/>
        <w:rPr/>
      </w:pPr>
      <w:r>
        <w:rPr>
          <w:rFonts w:ascii="Times New Roman;serif" w:hAnsi="Times New Roman;serif"/>
          <w:b w:val="false"/>
          <w:color w:val="000000"/>
          <w:sz w:val="24"/>
        </w:rPr>
        <w:t>Article IV</w:t>
      </w:r>
      <w:r>
        <w:rPr>
          <w:rFonts w:ascii="Times New Roman;serif" w:hAnsi="Times New Roman;serif"/>
          <w:b w:val="false"/>
          <w:color w:val="000000"/>
          <w:sz w:val="24"/>
          <w:u w:val="single"/>
        </w:rPr>
        <w:br/>
        <w:br/>
        <w:t>Conditions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Effective Date</w:t>
      </w:r>
      <w:r>
        <w:rPr>
          <w:rFonts w:ascii="Times New Roman;serif" w:hAnsi="Times New Roman;serif"/>
          <w:b w:val="false"/>
          <w:color w:val="000000"/>
          <w:sz w:val="24"/>
        </w:rPr>
        <w:t>. The obligations of the Lenders to make Loans and of the Issuing Banks to issue Letters of Credit hereunder shall not become effective until the date on which each of the following conditions is satisfied (or waived in accordance with Section 9.02):</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(or its counsel) shall have received from each party hereto a counterpart of this Agreement signed on behalf of such party (which, subject to Section 9.06(b), may include any Electronic Signatures transmitted by telecopy, emailed pdf, or any other electronic means that reproduces an image of an actual executed signature page.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have received a favorable written opinion (addressed to the Administrative Agent and the Lenders and dated the Effective Date) of Kramer Levin Naftalis &amp; Frankel, counsel for the Loan Parties, and Pennsylvania local counsel to the Loan Parties (which counsel shall be reasonably acceptable to the Administrative Agent), covering such matters relating to the Loan Parties, the Loan Documents or the Transactions as the Administrative Agent shall reasonably request. The Borrower hereby requests such counsel to deliver such opinion.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shall have received such documents and certificates as the Administrative Agent or its counsel may reasonably request relating to the organization, existence and good standing of the initial Loan Parties, the authorization of the Transactions and any other legal matters relating to the Loan Parties, the Loan Documents or the Transactions, all in form and substance satisfactory to the Administrative Agent and its counsel and as further described in the list of closing documents attached as Exhibit 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Administrative Agent shall have received a certificate, dated the Effective Date and signed by the President, a Vice President or a Financial Officer of the Borrower, confirming compliance with the conditions set forth in paragraphs (a) and (b) of Section 4.02.</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Administrative Agent shall have received, to the extent invoiced, all fees and other amounts due and payable on or prior to the Effective Date, including reimbursement or payment of all out-of-pocket expenses required to be reimbursed or paid by the Borrower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Administrative Agent shall have received (i) satisfactory audited consolidated financial statements of the Borrower for the fiscal years ended December 31, 2020 and December 31, 2021, (ii) satisfactory unaudited interim consolidated financial statements of the Borrower for the fiscal quarter ended March 31, 2022, (iii) satisfactory preliminary consolidated financial statements of the Borrower for the fiscal quarter ended June 30, 2022, and (iv) satisfactory financial statement projections through and including the Borrower’s 2026 fiscal year, together with such information as the Administrative Agent and the Lenders shall reasonably request (including, without limitation, a detailed description of the assumptions used in preparing such projections).</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(i) The Administrative Agent shall have received, at least five days prior to the Effective Date, all documentation and other information regarding the Borrower requested in connection with applicable “know your customer” and anti-money laundering rules and regulations, including the Patriot Act, to the extent requested in writing of the Borrower at least 10 days prior to the Effective Date and (ii) to the extent the Borrower qualifies as a “legal entity customer” under the Beneficial Ownership Regulation, at least five days prior to the Effective Date, any Lender that has requested, in a written notice to the Borrower at least 10 days prior to the Effective Date, a Beneficial Ownership Certification in relation to the Borrower shall have received such Beneficial Ownership Certification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upon the execution and delivery by such Lender of its signature page to this Agreement, the condition set forth in this clause (ii) shall be deemed to be satisfied).</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All UCC financing statements and, subject to Section 5.19, federal intellectual property filings, pledged instruments and allonges and stock certificates (with related stock powers) required by the Collateral Documents or under law or reasonably requested by the Administrative Agent to be filed, registered, recorded or delivered on the Effective Date in order to create in favor of the Administrative Agent, for the benefit of the Secured Parties, a perfected Lien on the Collateral described therein, prior and superior in right to any other Person (other than with respect to Liens expressly permitted by Section 6.02 to the extent any such Liens would have priority over the Liens in favor of the Administrative Agent pursuant to any applicable law), shall be in proper form for filing, registration, recordation or delivery.</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The Administrative Agent shall have received such other documents as the Administrative Agent or the Required Lenders (through the Administrative Agent) may reasonably request (including the additional documents and deliverables described in the list of closing documents attached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Administrative Agent shall have received evidence satisfactory to it that the credit facility evidenced by the Existing Credit Agreement shall have been terminated and cancelled and all indebtedness thereunder shall have been fully repaid (except to the extent being so repaid with the initial Loans and except for Existing Letters of Credit) and any and all Liens thereunder shall have been terminated (unless otherwise permitted pursuant to Section 5.19).</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Administrative Agent shall notify the Borrower and the Lenders of the Effective Date, and such notice shall be conclusive and binding.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Each Credit Event</w:t>
      </w:r>
      <w:r>
        <w:rPr>
          <w:color w:val="000000"/>
        </w:rPr>
        <w:t xml:space="preserve"> </w:t>
      </w:r>
      <w:r>
        <w:rPr>
          <w:rFonts w:ascii="Times New Roman;serif" w:hAnsi="Times New Roman;serif"/>
          <w:b w:val="false"/>
          <w:color w:val="000000"/>
          <w:sz w:val="24"/>
        </w:rPr>
        <w:t>. The obligation of each Lender to make a Loan on the occasion of any Borrowing, and of each Issuing Bank to issue, amend, renew or extend any Letter of Credit, is subject to the satisfaction of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representations and warranties of the Borrower set forth in this Agreement shall be true and correct in all material respects (except that any representation and warranty that is qualified by materiality or Material Adverse Effect shall be true and correct in all respects) on and as of the date of such Borrowing or the date of issuance, amendment, renewal or extension of such Letter of Credit,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At the time of and immediately after giving effect to such Borrowing or the issuance, amendment, renewal or extension of such Letter of Credit, as applicable, no Default or Event of Default shall have occurred and be continuing.</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Borrowing and each issuance, amendment, renewal or extension of a Letter of Credit shall be deemed to constitute a representation and warranty by the Borrower on the date thereof as to the matters specified in paragraphs (a) and (b)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V</w:t>
      </w:r>
      <w:r>
        <w:rPr>
          <w:rFonts w:ascii="Times New Roman;serif" w:hAnsi="Times New Roman;serif"/>
          <w:b w:val="false"/>
          <w:color w:val="000000"/>
          <w:sz w:val="24"/>
          <w:u w:val="single"/>
        </w:rPr>
        <w:b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the Commitments have expired or been terminated and the principal of and interest on each Loan and all fees payable hereunder shall have been paid in full and all Letters of Credit shall have expired or terminated, in each case, without any pending draw, and all LC Disbursements shall have been reimbursed, the Borrower covenants and agrees with the Lenders that it will and will cause it Subsidiaries 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Financial Statements and Other Information</w:t>
      </w:r>
      <w:r>
        <w:rPr>
          <w:rFonts w:ascii="Times New Roman;serif" w:hAnsi="Times New Roman;serif"/>
          <w:b w:val="false"/>
          <w:color w:val="000000"/>
          <w:sz w:val="24"/>
        </w:rPr>
        <w:t>. Furnish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promptly after being filed with the SEC, but in any event within seventy-five (75) days after the end of each fiscal year of Borrower (or within such shorter time period as the Borrower may be required to file the foregoing with the SEC), a Consolidated balance sheet of Borrower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opinion of KPMG US LLP or another independent certified public accounting firm of recognized standing reasonably acceptable to the Administrative Agent, which report and opinion shall be prepared in accordance with generally accepted auditing standards and applicable Securities Laws and shall not be subject to any “going concern” or like qualification or exception or any qualification or exception as to the scope of such audit or with respect to the absence of any material misstatement;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promptly after being filed with the SEC, but in any event within forty-five (45) days after the end of each of the first three fiscal quarters of each fiscal year of Borrower, a Consolidated balance sheet of the Borrower and its Subsidiaries as at the end of such fiscal quarter, and the related Consolidated statements of income or operations, shareholders’ equity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such Consolidated statements to be certified by the chief executive officer, chief financial officer, treasurer or controller of the Borrower as fairly presenting the financial condition, results of operations, shareholders’ equity and cash flows of the Borrower and its Subsidiaries in accordance with GAAP, subject only to normal year-end audit adjustments and the absence of footnotes;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as soon as available, but in any event at least fifteen (15) days before the end of each fiscal year of the Borrower, forecasts prepared by management of the Borrower, in form satisfactory to the Administrative Agent and the Required Lenders, of Consolidated balance sheets and statements of income or operations of the Borrower and its Subsidiaries for the immediately following fiscal year (including the fiscal year in which the Maturity Date occurs), prepared on an annual basis.</w:t>
      </w:r>
    </w:p>
    <w:p>
      <w:pPr>
        <w:pStyle w:val="TextBody"/>
        <w:bidi w:val="0"/>
        <w:spacing w:lineRule="auto" w:line="276" w:before="0" w:after="240"/>
        <w:jc w:val="both"/>
        <w:rPr/>
      </w:pPr>
      <w:r>
        <w:rPr>
          <w:rFonts w:ascii="Times New Roman;serif" w:hAnsi="Times New Roman;serif"/>
          <w:b w:val="false"/>
          <w:color w:val="000000"/>
          <w:sz w:val="24"/>
        </w:rPr>
        <w:t>(d)</w:t>
      </w:r>
      <w:r>
        <w:rPr>
          <w:rFonts w:ascii="Times New Roman;serif" w:hAnsi="Times New Roman;serif"/>
          <w:b w:val="false"/>
          <w:color w:val="000000"/>
          <w:sz w:val="24"/>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the SEC’s electronic data gathering and retrieval system (“</w:t>
      </w:r>
      <w:r>
        <w:rPr>
          <w:rFonts w:ascii="Times New Roman;serif" w:hAnsi="Times New Roman;serif"/>
          <w:b/>
          <w:i/>
          <w:color w:val="000000"/>
          <w:sz w:val="24"/>
        </w:rPr>
        <w:t>EDGAR</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5.02.</w:t>
      </w:r>
      <w:r>
        <w:rPr>
          <w:rFonts w:ascii="Times New Roman;serif" w:hAnsi="Times New Roman;serif"/>
          <w:b w:val="false"/>
          <w:color w:val="000000"/>
          <w:sz w:val="24"/>
          <w:u w:val="single"/>
        </w:rPr>
        <w:t>Certificates; Other Information</w:t>
      </w:r>
      <w:r>
        <w:rPr>
          <w:rFonts w:ascii="Times New Roman;serif" w:hAnsi="Times New Roman;serif"/>
          <w:b w:val="false"/>
          <w:color w:val="000000"/>
          <w:sz w:val="24"/>
        </w:rPr>
        <w:t>. Deliver to Administrative Agent a sufficient number of copies for delivery by Administrative Agent to each Lender, in form and detail satisfactory to Administrative Agent and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concurrently with the delivery of the financial statements referred to in Sections 5.01(a) and (b), a duly completed Compliance Certificate signed by the chief financial officer or president of the Borrower and, concurrently with the delivery of the financial statements referred to in Section 5.01(a), on an annual basis, the following updated Schedules to this Agreement (which may be attached to the Compliance Certificate) to the extent required to make the representation related to such Schedule true and correct as of the date of such Compliance Certificate: Schedules 3.12(d), 3.13, 3.23, 3.24(b), 3.24(c), 3.24(d)(i), 3.24(d)(ii), 3.24(e), 3.24(f), and 3.24(g) and Schedules to the Security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promptly after any request by Administrative Agent or any Lender,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promptly after the same are available, copies of each annual report, proxy or financial statement, reporting notice, or other report or communication sent to the stockholders of Borrower, and copies of any annual, regular, periodic and special reports and registration statements which Borrower may file or be required to file with the SEC under Section 13 or 15(d) of the Securities Exchange Act of 1934, and not otherwise required to be delivered to Administrative Agent pursuant 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promptly after the furnishing thereof, copies of any statement or report furnished to any holder of debt securities of any Loan Party or any Subsidiary thereof pursuant to the terms of any indenture, loan or credit or similar agreement and not otherwise required to be furnished to the Lenders pursuant to any other clause of this </w:t>
      </w:r>
      <w:r>
        <w:rPr>
          <w:rFonts w:ascii="Times New Roman;serif" w:hAnsi="Times New Roman;serif"/>
          <w:b w:val="false"/>
          <w:color w:val="000000"/>
          <w:sz w:val="24"/>
          <w:u w:val="single"/>
        </w:rPr>
        <w:t>Section 5.01</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promptly, and in any event within five (5) Business Days after receipt thereof by any Loan Party or any Subsidiary thereof, copies of each notice or other correspondence received from the Securities and Exchange Commission (or comparable agency in any applicable non-U.S. jurisdiction) concerning any investigation or possible investigation or other inquiry by such agency regarding financial or other operational results of any Loan Party or any Subsidiary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promptly following any request therefor, provide information and documentation reasonably requested by Administrative Agent or any Lender for purposes of compliance with applicable “know your customer” and anti-money-laundering rules and regulations, including, without limitation, the PATRIOT Act and the Beneficial Ownership Regulation;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promptly, such additional information regarding the business, financial or corporate affairs of the Borrower or any Subsidiary, or compliance with the terms of the Loan Documents, as Administrative Agent or any Lender may from time to time reasonably request.</w:t>
      </w:r>
    </w:p>
    <w:p>
      <w:pPr>
        <w:pStyle w:val="TextBody"/>
        <w:bidi w:val="0"/>
        <w:spacing w:lineRule="auto" w:line="276" w:before="0" w:after="240"/>
        <w:jc w:val="both"/>
        <w:rPr/>
      </w:pPr>
      <w:r>
        <w:rPr>
          <w:rFonts w:ascii="Times New Roman;serif" w:hAnsi="Times New Roman;serif"/>
          <w:b w:val="false"/>
          <w:color w:val="000000"/>
          <w:sz w:val="24"/>
        </w:rPr>
        <w:t>(h)</w:t>
      </w:r>
      <w:r>
        <w:rPr>
          <w:rFonts w:ascii="Times New Roman;serif" w:hAnsi="Times New Roman;serif"/>
          <w:b w:val="false"/>
          <w:color w:val="000000"/>
          <w:sz w:val="24"/>
        </w:rPr>
        <w:t>Notwithstanding the foregoing provisions of this Section to the contrary, the Borrower shall not be obligated to provide to the Administrative Agent and the Lenders any financial statements, reports or other information required herein which has been filed with or furnished to the SEC and which is publicly available through EDGAR.</w:t>
      </w:r>
    </w:p>
    <w:p>
      <w:pPr>
        <w:pStyle w:val="TextBody"/>
        <w:bidi w:val="0"/>
        <w:spacing w:lineRule="auto" w:line="240"/>
        <w:ind w:left="0" w:right="0" w:firstLine="720"/>
        <w:jc w:val="both"/>
        <w:rPr/>
      </w:pPr>
      <w:r>
        <w:rPr>
          <w:rFonts w:ascii="Times New Roman;serif" w:hAnsi="Times New Roman;serif"/>
          <w:b w:val="false"/>
          <w:color w:val="000000"/>
          <w:sz w:val="24"/>
        </w:rPr>
        <w:t>Section 5.03.</w:t>
      </w:r>
      <w:r>
        <w:rPr>
          <w:rFonts w:ascii="Times New Roman;serif" w:hAnsi="Times New Roman;serif"/>
          <w:b w:val="false"/>
          <w:color w:val="000000"/>
          <w:sz w:val="24"/>
          <w:u w:val="single"/>
        </w:rPr>
        <w:t>Notices of Material Events</w:t>
      </w:r>
      <w:r>
        <w:rPr>
          <w:rFonts w:ascii="Times New Roman;serif" w:hAnsi="Times New Roman;serif"/>
          <w:b w:val="false"/>
          <w:color w:val="000000"/>
          <w:sz w:val="24"/>
        </w:rPr>
        <w:t>. Promptly, but in any event within five (5) Business Days, notify the Administrative Agent and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of the occurrence of any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of any matter that has resulted or could reasonably be expected to result in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of the occurrence of any ERISA Event;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of any material change in accounting policies or financial reporting practices by the Borrower or any Subsidiary;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of the Borrower’s determination at any time of the occurrence or existence of any Internal Control Event;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of any change in the Beneficial Ownership Certification most recently provided to each Lender.</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notice pursuant to this Section 5.03 shall be accompanied by a statement of a Responsible Officer of the Borrower setting forth details of the occurrence referred to therein and, to the extent applicable, stating what action the Borrower has taken and proposes to take with respect thereto. Each notice pursuant to Section 5.03(a) shall describe with particularity any and all provisions of this Agreement and any other Loan Document that have been breached.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5.04.</w:t>
      </w:r>
      <w:r>
        <w:rPr>
          <w:rFonts w:ascii="Times New Roman;serif" w:hAnsi="Times New Roman;serif"/>
          <w:b w:val="false"/>
          <w:color w:val="000000"/>
          <w:sz w:val="24"/>
          <w:u w:val="single"/>
        </w:rPr>
        <w:t>Payment of Obligations</w:t>
      </w:r>
      <w:r>
        <w:rPr>
          <w:rFonts w:ascii="Times New Roman;serif" w:hAnsi="Times New Roman;serif"/>
          <w:b w:val="false"/>
          <w:color w:val="000000"/>
          <w:sz w:val="24"/>
        </w:rPr>
        <w:t>. Pay and discharge as the same shall become due and payable, its obligations and liabilities in excess of $500,000,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and (c) all Indebtedness, as and when due and payable, but subject to any subordination provisions contained in any instrument or agreement evidencing such Indebtedness.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5.05.</w:t>
      </w:r>
      <w:r>
        <w:rPr>
          <w:rFonts w:ascii="Times New Roman;serif" w:hAnsi="Times New Roman;serif"/>
          <w:b w:val="false"/>
          <w:color w:val="000000"/>
          <w:sz w:val="24"/>
          <w:u w:val="single"/>
        </w:rPr>
        <w:t>Preservation of Existence, Etc</w:t>
      </w:r>
      <w:r>
        <w:rPr>
          <w:rFonts w:ascii="Times New Roman;serif" w:hAnsi="Times New Roman;serif"/>
          <w:b w:val="false"/>
          <w:color w:val="000000"/>
          <w:sz w:val="24"/>
        </w:rPr>
        <w:t>. Preserve, renew and maintain in full force and effect its legal existence and good standing under the Laws of the jurisdiction of its organization except in a transaction permitted by Section 6.04 or 6.05;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any registered patents, trademarks, trade names and service marks, the non-preservation of which could reasonably be expected to have a Material Adverse Effect.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5.06.</w:t>
      </w:r>
      <w:r>
        <w:rPr>
          <w:rFonts w:ascii="Times New Roman;serif" w:hAnsi="Times New Roman;serif"/>
          <w:b w:val="false"/>
          <w:color w:val="000000"/>
          <w:sz w:val="24"/>
          <w:u w:val="single"/>
        </w:rPr>
        <w:t>Maintenance of Properties</w:t>
      </w:r>
      <w:r>
        <w:rPr>
          <w:rFonts w:ascii="Times New Roman;serif" w:hAnsi="Times New Roman;serif"/>
          <w:b w:val="false"/>
          <w:color w:val="000000"/>
          <w:sz w:val="24"/>
        </w:rPr>
        <w:t>. Maintain, preserve and protect all of its material properties and equipment necessary in the operation of its business in good working order and condition, ordinary wear and tear excepted; and (b) make all necessary repairs thereto and renewals and replacements thereof except where the failure to do so could not reasonably be expected to have a Material Adverse Effect.</w:t>
      </w:r>
    </w:p>
    <w:p>
      <w:pPr>
        <w:pStyle w:val="TextBody"/>
        <w:bidi w:val="0"/>
        <w:spacing w:lineRule="auto" w:line="240"/>
        <w:ind w:left="0" w:right="0" w:firstLine="720"/>
        <w:jc w:val="both"/>
        <w:rPr/>
      </w:pPr>
      <w:r>
        <w:rPr>
          <w:rFonts w:ascii="Times New Roman;serif" w:hAnsi="Times New Roman;serif"/>
          <w:b w:val="false"/>
          <w:color w:val="000000"/>
          <w:sz w:val="24"/>
        </w:rPr>
        <w:t>Section 5.07.</w:t>
      </w:r>
      <w:r>
        <w:rPr>
          <w:rFonts w:ascii="Times New Roman;serif" w:hAnsi="Times New Roman;serif"/>
          <w:b w:val="false"/>
          <w:color w:val="000000"/>
          <w:sz w:val="24"/>
          <w:u w:val="single"/>
        </w:rPr>
        <w:t>Maintenance of Insurance</w:t>
      </w:r>
      <w:r>
        <w:rPr>
          <w:color w:val="000000"/>
        </w:rPr>
        <w:t xml:space="preserve"> </w:t>
      </w:r>
      <w:r>
        <w:rPr>
          <w:rFonts w:ascii="Times New Roman;serif" w:hAnsi="Times New Roman;serif"/>
          <w:b w:val="false"/>
          <w:color w:val="000000"/>
          <w:sz w:val="24"/>
        </w:rPr>
        <w:t xml:space="preserve">.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(after giving effect to any self-insurance compatible with the following standards) as are customarily carried under similar circumstances by such other Persons and providing for not less than ten (10) days’ prior notice to the Administrative Agent of termination, lapse or cancellation of such insurance (thirty (30) days for nonpayment of premium). The Borrower shall cause its carriers to name the Administrative Agent as additional insured and, in the case of property or casualty insurance for all tangible Collateral, first loss payee, and shall provide the Administrative Agent with a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certificate or certificates evidencing such coverages and the payment of premiums therefore, on or before the Effective Date and at such times as the insurance in question is modified or renewed.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5.08.</w:t>
      </w:r>
      <w:r>
        <w:rPr>
          <w:rFonts w:ascii="Times New Roman;serif" w:hAnsi="Times New Roman;serif"/>
          <w:b w:val="false"/>
          <w:color w:val="000000"/>
          <w:sz w:val="24"/>
          <w:u w:val="single"/>
        </w:rPr>
        <w:t>Compliance with Laws</w:t>
      </w:r>
      <w:r>
        <w:rPr>
          <w:color w:val="000000"/>
        </w:rPr>
        <w:t xml:space="preserve"> </w:t>
      </w:r>
      <w:r>
        <w:rPr>
          <w:rFonts w:ascii="Times New Roman;serif" w:hAnsi="Times New Roman;serif"/>
          <w:b w:val="false"/>
          <w:color w:val="000000"/>
          <w:sz w:val="24"/>
        </w:rPr>
        <w:t>. (a) Comply in all material respects with the requirements of all Laws and all orders, writs, injunctions and decrees applicable to it or to its business or property, except in such instances in which (i) such requirement of Law or order, writ, injunction or decree is being contested in good faith by appropriate proceedings diligently conducted or (ii) the failure to comply therewith could not reasonably be expected to have a Material Adverse Effect; and (b) maintain in effect and enforce policies and procedures designed to ensure compliance by the Borrower, its Subsidiaries and their respective directors, officers, employees and agents with Anti-Corruption Laws and applicable Sanctions.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5.09.</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Maintain (a) proper books of record and account, in which full, true and correct entries in conformity with GAAP consistently applied shall be made of all financial transactions and matters involving the assets and business of the Borrower or such Subsidiary, as the case may be and (b) such books of record and account in material conformity with all applicable requirements of any Governmental Authority having regulatory jurisdiction over Borrower or such Subsidiary, as the case may be. The Borrower shall maintain at all times books and records pertaining to the Collateral in such detail, form and scope as the Administrative Agent or any Lender shall reasonably require.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5.10.</w:t>
      </w:r>
      <w:r>
        <w:rPr>
          <w:rFonts w:ascii="Times New Roman;serif" w:hAnsi="Times New Roman;serif"/>
          <w:b w:val="false"/>
          <w:color w:val="000000"/>
          <w:sz w:val="24"/>
          <w:u w:val="single"/>
        </w:rPr>
        <w:t>Inspection Rights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all at the expense of Borrower and at such reasonable times during normal business hours and as often as may be reasonably desired, upon reasonable advance notice to the Borrower;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when an Event of Default exists the Administrative Agent or any Lender (or any of their respective representatives or independent contractors) may do any of the foregoing at the expense of Borrower at any time during normal business hours and without advance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requested by the Administrative Agent in its sole discretion, permit the Administrative Agent and its representatives, upon reasonable advance notice to the Borrower, to conduct, at the expense of the Borrower, an annual (i.e., not more frequently than once per twelve (12) month period) field exam on the accounts receivable, inventory, payables, controls and systems of the Borrower and its Subsidiaries;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at any time while an Event of Default has occurred and is continuing, the Administrative Agent shall not be limited to one such field exam per twelve (12) month period.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5.11.</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The proceeds of the Loans and Letter of Credit will be used only to finance the working capital and other lawful corporate purposes of the Borrower and its Subsidiaries, including, without limitation, refinancing Indebtedness under the Existing Credit Agreement and financing Permitted Acquisitions. No part of the proceeds of any Loan will be used, whether directly or indirectly, for any purpose that entails a violation of any of the regulations of the Federal Reserve Board, including Regulations T, U and X. The Borrower will not request any Borrowing or Letter of Credit, and the Borrower shall not use the proceeds of any Borrowing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except to the extent permitted for a Person required to comply with Sanctions, or (C) in any manner that would result in the violation of any Sanctions applicable to any party 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5.12.</w:t>
      </w:r>
      <w:r>
        <w:rPr>
          <w:rFonts w:ascii="Times New Roman;serif" w:hAnsi="Times New Roman;serif"/>
          <w:b w:val="false"/>
          <w:color w:val="000000"/>
          <w:sz w:val="24"/>
          <w:u w:val="single"/>
        </w:rPr>
        <w:t>Financial Covenants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Senior Secured Leverage Ratio</w:t>
      </w:r>
      <w:r>
        <w:rPr>
          <w:rFonts w:ascii="Times New Roman;serif" w:hAnsi="Times New Roman;serif"/>
          <w:b w:val="false"/>
          <w:color w:val="000000"/>
          <w:sz w:val="24"/>
        </w:rPr>
        <w:t xml:space="preserve">. The Borrower shall maintain, on a Consolidated basis as of the end of each of the Borrower’s fiscal quarters, commencing with the fiscal quarter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ending September 30, 2022, a Senior Secured Leverage Ratio not exceeding (i) 4.00 to 1.00, determined as of the end of each of its fiscal quarters ending on September 30, 2022, December 31, 2022, March 31, 2023 and June 30, 2023, and (ii) 3.75 to 1.00, for each fiscal quarter ending thereafter;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at any time the Senior Secured Leverage Ratio is required to not exceed 3.75 to 1.00 pursuant to the preceding clause (ii), following a Permitted Acquisition for which the aggregate consideration in respect thereof equals or exceeds $25,000,000, the Borrower may, not more than one (1) time during the term of this Agreement, elect (an “</w:t>
      </w:r>
      <w:r>
        <w:rPr>
          <w:rFonts w:ascii="Times New Roman;serif" w:hAnsi="Times New Roman;serif"/>
          <w:b/>
          <w:i/>
          <w:color w:val="000000"/>
          <w:sz w:val="24"/>
        </w:rPr>
        <w:t>Acquisition Holiday Election</w:t>
      </w:r>
      <w:r>
        <w:rPr>
          <w:color w:val="000000"/>
        </w:rPr>
        <w:t>”</w:t>
      </w:r>
      <w:r>
        <w:rPr>
          <w:rFonts w:ascii="Times New Roman;serif" w:hAnsi="Times New Roman;serif"/>
          <w:b w:val="false"/>
          <w:color w:val="000000"/>
          <w:sz w:val="24"/>
        </w:rPr>
        <w:t>) to increase the maximum Senior Secured Leverage Ratio permitted under this Section 5.12(a) to 4.25 to 1.00 for a period of four (4) consecutive fiscal quarters in connection with, and commencing with the first fiscal quarter ending after, an Acquisition (the “</w:t>
      </w:r>
      <w:r>
        <w:rPr>
          <w:rFonts w:ascii="Times New Roman;serif" w:hAnsi="Times New Roman;serif"/>
          <w:b/>
          <w:i/>
          <w:color w:val="000000"/>
          <w:sz w:val="24"/>
        </w:rPr>
        <w:t>Acquisition Holiday Election Quarter</w:t>
      </w:r>
      <w:r>
        <w:rPr>
          <w:color w:val="000000"/>
        </w:rPr>
        <w:t>”</w:t>
      </w:r>
      <w:r>
        <w:rPr>
          <w:rFonts w:ascii="Times New Roman;serif" w:hAnsi="Times New Roman;serif"/>
          <w:b w:val="false"/>
          <w:color w:val="000000"/>
          <w:sz w:val="24"/>
        </w:rPr>
        <w:t>) (it being understood that the Senior Secured Leverage Ratio shall return to less than or equal to 3.75 to 1.00 no later than the fifth fiscal quarter following the Acquisition Holiday Election Quarter).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Minimum Consolidated Fixed Charge Coverage Ratio</w:t>
      </w:r>
      <w:r>
        <w:rPr>
          <w:rFonts w:ascii="Times New Roman;serif" w:hAnsi="Times New Roman;serif"/>
          <w:b w:val="false"/>
          <w:color w:val="000000"/>
          <w:sz w:val="24"/>
        </w:rPr>
        <w:t>. The Borrower shall maintain, on a Consolidated basis, as of the end of each of the Borrower’s fiscal quarters commencing with the fiscal quarter ended December 31, 2023, a Fixed Charge Coverage Ratio of not less than (x) with respect to the fiscal quarters ended December 31, 2023 and ending March 31, 2024, not less than 1.10 to 1, and (y) with respect to the fiscal quarters ending June 30, 2024 and thereafter, 1.25 to 1.</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5.13.</w:t>
      </w:r>
      <w:r>
        <w:rPr>
          <w:rFonts w:ascii="Times New Roman;serif" w:hAnsi="Times New Roman;serif"/>
          <w:b w:val="false"/>
          <w:color w:val="000000"/>
          <w:sz w:val="24"/>
          <w:u w:val="single"/>
        </w:rPr>
        <w:t>Additional Guarantors; Pledges of Stock; Security Interests</w:t>
      </w:r>
      <w:r>
        <w:rPr>
          <w:rFonts w:ascii="Times New Roman;serif" w:hAnsi="Times New Roman;serif"/>
          <w:b w:val="false"/>
          <w:color w:val="000000"/>
          <w:sz w:val="24"/>
        </w:rPr>
        <w:t>. Notify the Administrative Agent within thirty (30) days after the delivery of the financial statements referred to in Section 5.01(a) or (b), on an quarterly basis, if any Person becomes a Material Domestic Subsidiary or a Pledge Subsidiary and, promptly thereafter (and in any event within thirty (30) days, or such later date as may be agreed to by the Administrative Agent in its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cause any such Person that becomes a Material Domestic Subsidiary (i) to become a Subsidiary Guarantor by executing and delivering to the Administrative Agent a joinder to the Subsidiary Guaranty or such other document as the Administrative Agent may reasonably request for such purpose, (ii) to subject all of its tangible and intangible personal property now owned or hereafter acquired by it to a first priority, perfected Lien (subject to Liens permitted under the terms of Section 6.01 and the other Loan Documents) in favor of the Administrative Agent for the benefit of the Secured Parties to secure the Obligations pursuant to the terms and conditions of the Collateral Documents, and (iii) to deliver to the Administrative Agent (1) documents of the types referred to in clauses (iii) and (iv) of Section 4.01(a), (2) to the extent reasonably requested by the Administrative Agent, favorable opinions of counsel to such Person (which opinions shall cover, among other things, the legality, validity, binding effect and enforceability of the documentation referred to in the foregoing clause (i)), and (3) updated Schedules 3.12(d), 3.13, 3.23, 3.24(b), 3.24(c), 3.24(d)(i), 3.24(d)(ii), 3.24(e), 3.24(f), and 3.24(g) and Schedules to the Security Agreement, all in form, content and scope reasonably satisfactory to the Administrative Agent; and/or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take such action, and cause the appropriate Subsidiaries to take such action, from time to time as shall be necessary to ensure that one hundred percent (100%) (or, if such Subsidiary is a First Tier Foreign Subsidiary and a pledge of 100% of the voting Equity Interests of such Subsidiary would give rise to material adverse tax consequences for the Borrower and its Subsidiaries, sixty-five percent (65%) of the voting Equity Interests and one hundred percent (100%) of the non-voting Equity Interests in any such Person that becomes a Pledge Subsidiary shall be pledged, directly (if such Pledge Subsidiary is owned by a domestic Person) or indirectly (if such Pledge Subsidiary is owned by a foreign Person), to the Administrative Agent, for the benefit of the Lenders, (i) by executing and delivering to the Administrative Agent a pledge agreement (in the case of a First Tier Foreign Subsidiary, governed by local law upon the Administrative Agent’s request), supplement to the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Agreement, or such other document as the Administrative Agent shall deem appropriate for such purpose, and (ii) by delivering to the Administrative Agent (1) documents of the types referred to in clauses (iii) and (iv) of Section 4.01(a) with respect to such Pledge Subsidiary, (2) to the extent reasonably requested by the Administrative Agent, favorable opinions of counsel to such Pledge Subsidiary and to such pledging Borrower or Subsidiary (which shall cover, among other things, the legality, validity, binding effect and enforceability of the documentation referred to in the foregoing </w:t>
      </w:r>
      <w:r>
        <w:rPr>
          <w:rFonts w:ascii="Times New Roman;serif" w:hAnsi="Times New Roman;serif"/>
          <w:b w:val="false"/>
          <w:color w:val="000000"/>
          <w:sz w:val="24"/>
          <w:u w:val="single"/>
        </w:rPr>
        <w:t>clause (i)</w:t>
      </w:r>
      <w:r>
        <w:rPr>
          <w:rFonts w:ascii="Times New Roman;serif" w:hAnsi="Times New Roman;serif"/>
          <w:b w:val="false"/>
          <w:color w:val="000000"/>
          <w:sz w:val="24"/>
        </w:rPr>
        <w:t>), and (3) updated Schedules 3.12(d), 3.13, 3.23, 3.24(b), 3.24(c), 3.24(d)(i), 3.24(d)(ii), 3.24(e), 3.24(f), and 3.24(g) and Schedules to the Security Agreement, all in form, content and scope reasonably satisfactory to the Administrative Agent.</w:t>
      </w:r>
    </w:p>
    <w:p>
      <w:pPr>
        <w:pStyle w:val="TextBody"/>
        <w:bidi w:val="0"/>
        <w:spacing w:lineRule="auto" w:line="288" w:before="0" w:after="240"/>
        <w:jc w:val="both"/>
        <w:rPr/>
      </w:pPr>
      <w:r>
        <w:rPr>
          <w:rFonts w:ascii="Times New Roman;serif" w:hAnsi="Times New Roman;serif"/>
          <w:b w:val="false"/>
          <w:color w:val="000000"/>
          <w:sz w:val="24"/>
        </w:rPr>
        <w:t>(c)</w:t>
      </w:r>
      <w:r>
        <w:rPr>
          <w:rFonts w:ascii="Times New Roman;serif" w:hAnsi="Times New Roman;serif"/>
          <w:b w:val="false"/>
          <w:color w:val="000000"/>
          <w:sz w:val="24"/>
        </w:rPr>
        <w:t>In the event that any Subsidiary of the Borrower is liable (whether as a primary obligor, a guarantor or otherwise) for any Indebtedness of a Loan Party (other than Indebtedness hereunder) having an aggregate principal amount of more than $10,000,000, then the Borrower shall be required to comply with the foregoing clauses (a) and (b) without giving effect to the grace period provided 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5.14.</w:t>
      </w:r>
      <w:r>
        <w:rPr>
          <w:rFonts w:ascii="Times New Roman;serif" w:hAnsi="Times New Roman;serif"/>
          <w:b w:val="false"/>
          <w:color w:val="000000"/>
          <w:sz w:val="24"/>
          <w:u w:val="single"/>
        </w:rPr>
        <w:t>Collateral Records</w:t>
      </w:r>
      <w:r>
        <w:rPr>
          <w:rFonts w:ascii="Times New Roman;serif" w:hAnsi="Times New Roman;serif"/>
          <w:b w:val="false"/>
          <w:color w:val="000000"/>
          <w:sz w:val="24"/>
        </w:rPr>
        <w:t>. Execute and deliver promptly, and cause each other Loan Party to execute and deliver promptly, to the Administrative Agent, from time to time, solely for the Administrative Agent’s convenience in maintaining a record of the Collateral, such written statements and schedules as the Administrative Agent may reasonably require designating, identifying or describing the Collateral. The failure by the Borrower or any other Loan Party, however, to promptly give the Administrative Agent such statements or schedules shall not affect, diminish, modify or otherwise limit the Liens on the Collateral granted pursuant to the Collateral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Section 5.15.</w:t>
      </w:r>
      <w:r>
        <w:rPr>
          <w:rFonts w:ascii="Times New Roman;serif" w:hAnsi="Times New Roman;serif"/>
          <w:b w:val="false"/>
          <w:color w:val="000000"/>
          <w:sz w:val="24"/>
          <w:u w:val="single"/>
        </w:rPr>
        <w:t>Security Interests; Landlord Subordination</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To and to cause each other Loan Party to, (i) defend the Collateral against all claims and demands of all Persons at any time claiming the same or any interest therein, (ii) comply with the requirements of all United States state and federal laws in order to grant to the Administrative Agent and the Lenders valid and perfected security interests in the Collateral subject only to Liens set forth on Schedule 6.01, with perfection, in the case of any investment property, deposit account or letter of credit, being effected by giving the Administrative Agent control of such investment property or deposit account or letter of credit, rather than by the filing of a UCC financing statement with respect to such investment property, and (iii) do whatever the Administrative Agent may reasonably request, from time to time, to effect the purposes of this Agreement and other Loan Documents, including (1) filing notices of liens, UCC financing statements, fixture filings and amendments, renewals and continuations thereof, (2) cooperating with the Administrative Agent’s representatives, (3) keeping stock records, (4) using reasonable efforts to obtain waivers from landlords and mortgagees and from warehousemen and their landlords and mortgagees, (5) paying claims which might, if unpaid, become a lien on the Collateral, and (6) concurrently with the delivery of any Collateral pursuant to the terms of this Section, provide the Administrative Agent with the applicable updated Schedules 3.12(d), 3.13, 3.23, 3.24(b), 3.24(d), 3.24(e), 3.24(f), and 3.24(g) and Schedules to the Security Agreement, all in form, content and scope reasonably satisfactory to the Administrative Agent. The Administrative Agent is hereby authorized by the Borrower to file any UCC financing statements covering the Collateral whether or not the Borrower’s signatures appear thereon.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Subject to Section 5.19 hereof, in the case of (i) the headquarters location of the Borrower located at 195 Clarksville Road, Princeton Junction, New Jersey 08550 and (ii) each other domestic location of Collateral where the aggregate value of said Collateral has been deemed material by the Administrative Agent, in its reasonable discretion, said locations as of the Effective Date being set forth and described on Schedule 3.24(g) attached hereto and made a part hereof, the Loan Parties will use their respective commercially reasonable efforts to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Administrative Agent with a landlord subordination agreement in form and substance reasonably acceptable to the Administrative Agent from the landlords on such real property.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5.16.</w:t>
      </w:r>
      <w:r>
        <w:rPr>
          <w:rFonts w:ascii="Times New Roman;serif" w:hAnsi="Times New Roman;serif"/>
          <w:b/>
          <w:color w:val="000000"/>
          <w:sz w:val="24"/>
          <w:u w:val="single"/>
        </w:rPr>
        <w:t>[</w:t>
      </w:r>
      <w:r>
        <w:rPr>
          <w:rFonts w:ascii="Times New Roman;serif" w:hAnsi="Times New Roman;serif"/>
          <w:b w:val="false"/>
          <w:color w:val="000000"/>
          <w:sz w:val="24"/>
          <w:u w:val="single"/>
        </w:rPr>
        <w:t>Reserved</w:t>
      </w:r>
      <w:r>
        <w:rPr>
          <w:rFonts w:ascii="Times New Roman;serif" w:hAnsi="Times New Roman;serif"/>
          <w:b/>
          <w:color w:val="000000"/>
          <w:sz w:val="24"/>
          <w:u w:val="single"/>
        </w:rPr>
        <w:t>]</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5.17.</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(including promptly completing any registration or stamping of documents as may be applicable) as the Administrative Agent, or any Lender through the Administrative Agent, may reasonably require from time to time in order to (i) carry out more effectively the purposes of the Loan Documents, (ii) to the fullest extent permitted by applicable Law, subject any Loan Party’s or any of its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Subsidiaries is or is to be a party, and cause each of its Subsidiaries to do so.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5.18.</w:t>
      </w:r>
      <w:r>
        <w:rPr>
          <w:rFonts w:ascii="Times New Roman;serif" w:hAnsi="Times New Roman;serif"/>
          <w:b w:val="false"/>
          <w:color w:val="000000"/>
          <w:sz w:val="24"/>
          <w:u w:val="single"/>
        </w:rPr>
        <w:t>Anti-Corruption Laws; Sanctions</w:t>
      </w:r>
      <w:r>
        <w:rPr>
          <w:rFonts w:ascii="Times New Roman;serif" w:hAnsi="Times New Roman;serif"/>
          <w:b w:val="false"/>
          <w:color w:val="000000"/>
          <w:sz w:val="24"/>
        </w:rPr>
        <w:t>. The Borrower shall conduct its business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5.01.</w:t>
      </w:r>
      <w:r>
        <w:rPr>
          <w:rFonts w:ascii="Times New Roman;serif" w:hAnsi="Times New Roman;serif"/>
          <w:b w:val="false"/>
          <w:color w:val="000000"/>
          <w:sz w:val="24"/>
          <w:u w:val="single"/>
        </w:rPr>
        <w:t>Post-Closing Requirements</w:t>
      </w:r>
      <w:r>
        <w:rPr>
          <w:rFonts w:ascii="Times New Roman;serif" w:hAnsi="Times New Roman;serif"/>
          <w:b w:val="false"/>
          <w:color w:val="000000"/>
          <w:sz w:val="24"/>
        </w:rPr>
        <w:t xml:space="preserve">. Not later than the dates set forth in </w:t>
      </w:r>
      <w:r>
        <w:rPr>
          <w:rFonts w:ascii="Times New Roman;serif" w:hAnsi="Times New Roman;serif"/>
          <w:b w:val="false"/>
          <w:color w:val="000000"/>
          <w:sz w:val="24"/>
          <w:u w:val="single"/>
        </w:rPr>
        <w:t>Schedule 5.19</w:t>
      </w:r>
      <w:r>
        <w:rPr>
          <w:color w:val="000000"/>
        </w:rPr>
        <w:t xml:space="preserve"> </w:t>
      </w:r>
      <w:r>
        <w:rPr>
          <w:rFonts w:ascii="Times New Roman;serif" w:hAnsi="Times New Roman;serif"/>
          <w:b w:val="false"/>
          <w:color w:val="000000"/>
          <w:sz w:val="24"/>
        </w:rPr>
        <w:t xml:space="preserve">(or such later dates as the Administrative Agent shall agree in its sole discretion) or as otherwise required thereunder, the Loan Parties shall take the actions set forth on </w:t>
      </w:r>
      <w:r>
        <w:rPr>
          <w:rFonts w:ascii="Times New Roman;serif" w:hAnsi="Times New Roman;serif"/>
          <w:b w:val="false"/>
          <w:color w:val="000000"/>
          <w:sz w:val="24"/>
          <w:u w:val="single"/>
        </w:rPr>
        <w:t>Schedule 5.19</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val="false"/>
          <w:color w:val="000000"/>
          <w:sz w:val="24"/>
        </w:rPr>
        <w:t>Article VI</w:t>
      </w:r>
      <w:r>
        <w:rPr>
          <w:rFonts w:ascii="Times New Roman;serif" w:hAnsi="Times New Roman;serif"/>
          <w:b w:val="false"/>
          <w:color w:val="000000"/>
          <w:sz w:val="24"/>
          <w:u w:val="single"/>
        </w:rPr>
        <w:b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the Commitments have expired or terminated and the principal of and interest on each Loan and all fees payable hereunder have been paid in full and all Letters of Credit have expired or terminated, in each case, without any pending draw, and all LC Disbursements shall have been reimbursed, the Borrower covenants and agrees with the Lenders that Borrower shall not, nor shall it permit any Subsidiary to, directly or indirectly: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Liens</w:t>
      </w:r>
      <w:r>
        <w:rPr>
          <w:rFonts w:ascii="Times New Roman;serif" w:hAnsi="Times New Roman;serif"/>
          <w:b w:val="false"/>
          <w:color w:val="000000"/>
          <w:sz w:val="24"/>
        </w:rPr>
        <w:t>. Create, incur, assume or suffer to exist any Lien upon any of its property, assets or revenues, whether now owned or hereafter acquired, except for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Liens pursuant to any Loan Document;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Liens existing on the Effective Date and listed on Schedule 6.01 and any renewals or extensions thereof, provided that (i) the property covered thereby is not changed, (ii) the amount secured or benefited thereby is not increased except as expressly contemplated by Section 6.03(b), (iii) the direct or any contingent obligor with respect thereto is not changed, and (iv) any renewal or extension of the obligations secured or benefited thereby is permitted by Section 6.03(b);</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Liens for Taxes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statutory liens such as carriers’, warehousemen’s, mechanics’, materialmen’s, repairmen’s or other like Liens arising in the ordinary course of business which are not overdue for a period of more than thirty (30) days or which are being contested in good faith and by appropriate proceedings diligently conducted,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adequate reserves with respect thereto are maintained on the books of the applicable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pledges or deposits in the ordinary course of business in connection with workers’ compensation, unemployment insurance and other social security legislation, other than any Lien imposed by ERISA;</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deposits to secure the performance of bids, trade contracts and leases (other than Indebtedness), statutory obligations, surety and appeal bonds, performance bonds and other obligations of a like nature incurred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Liens securing judgments for the payment of money (or appeal or other surety bonds relating to such judgments) not constituting an Event of Default under Section 7.01(h);</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Liens securing Indebtedness permitted under Section 6.03(e);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(i) such Liens do not at any time encumber any property other than the property financed by such Indebtedness and (ii) the Indebtedness secured thereby does not exceed the cost or fair market value, whichever is lower, of the property being acquired on the date of acquisition; </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Liens existing solely with respect to cash or deposit account balances used to cash collateralize obligations of a Lender to the Issuing Bank, in accordance with the terms, conditions, and provisions of Section 2.06(j); </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Liens on Permitted Receivables Facility Assets arising under Permitted Receivables Facilities;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rFonts w:ascii="Times New Roman;serif" w:hAnsi="Times New Roman;serif"/>
          <w:b w:val="false"/>
          <w:color w:val="000000"/>
          <w:sz w:val="24"/>
        </w:rPr>
        <w:t xml:space="preserve">Liens securing Indebtedness permitted under Section 6.03(f) and Section 6.03(i);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with respect to any Liens securing Secured Debt permitted under Section 6.03(i) said Liens shall be subject to the terms, conditions, and provisions of the applicable Intercreditor Agreement(s).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Investments</w:t>
      </w:r>
      <w:r>
        <w:rPr>
          <w:rFonts w:ascii="Times New Roman;serif" w:hAnsi="Times New Roman;serif"/>
          <w:b w:val="false"/>
          <w:color w:val="000000"/>
          <w:sz w:val="24"/>
        </w:rPr>
        <w:t>. Make any Investments,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Investments held by Borrower or such Subsidiary in the form of cash equivalents or short-term marketable debt securities;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loans to officers, directors and employees of Borrower and Subsidiaries in an aggregate amount not to exceed $500,000 at any time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Investments by Borrower and/or any of its Subsidiaries in Borrower and/or any Subsidiary; provided, that not more than an aggregate amount of $5,000,000 in Investments may be made and remain outstanding, at any time, by Loan Parties to Subsidiaries which are not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Investments of Borrower or its Subsidiaries for strategic purposes in non-Subsidiary joint ventures, not to exceed $4,000,000 individually in any twelve (12) month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an Acquisition;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rFonts w:ascii="Times New Roman;serif" w:hAnsi="Times New Roman;serif"/>
          <w:b w:val="false"/>
          <w:color w:val="000000"/>
          <w:sz w:val="24"/>
        </w:rPr>
        <w:t>, with respect to each Acquisition made pursuant to this Section 6.02(f):</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in the case of an Acquisition of the Equity Interest of a Person (including as a result of a merger or consolidation), upon the consummation thereof, such Person will be wholly-owned directly by the Borrower or one or more of its Wholly-Owned Subsidiaries, and any such newly-created or acquired Subsidiary shall comply with the requirements of Section 5.13;</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the lines of business of the Person to be (or the property of which is to be) so purchased or otherwise acquired shall be substantially the same lines of business as one or more of the principal businesses of the Borrower and its Subsidiaries in the ordinary course;</w:t>
      </w:r>
    </w:p>
    <w:p>
      <w:pPr>
        <w:pStyle w:val="TextBody"/>
        <w:bidi w:val="0"/>
        <w:spacing w:lineRule="auto" w:line="276" w:before="0" w:after="240"/>
        <w:ind w:left="0" w:right="0" w:firstLine="720"/>
        <w:jc w:val="both"/>
        <w:rPr/>
      </w:pPr>
      <w:r>
        <w:rPr>
          <w:rFonts w:ascii="Times New Roman;serif" w:hAnsi="Times New Roman;serif"/>
          <w:b w:val="false"/>
          <w:color w:val="000000"/>
          <w:sz w:val="24"/>
        </w:rPr>
        <w:t xml:space="preserve">(iii)    (A) immediately before and immediately after giving pro forma effect to any such Acquisition (or, if such Acquisition is a Limited Condition Transaction, at the time of signing the applicable Limited Acquisition Agreement), no Default shall have occurred and be continuing and (B) immediately after giving effect to such Acquisition, the Borrower and its Subsidiaries shall be in pro forma compliance with all of the covenants set forth in </w:t>
      </w:r>
      <w:r>
        <w:rPr>
          <w:rFonts w:ascii="Times New Roman;serif" w:hAnsi="Times New Roman;serif"/>
          <w:b w:val="false"/>
          <w:color w:val="000000"/>
          <w:sz w:val="24"/>
          <w:u w:val="single"/>
        </w:rPr>
        <w:t>Section 5.12</w:t>
      </w:r>
      <w:r>
        <w:rPr>
          <w:rFonts w:ascii="Times New Roman;serif" w:hAnsi="Times New Roman;serif"/>
          <w:b w:val="false"/>
          <w:color w:val="000000"/>
          <w:sz w:val="24"/>
        </w:rPr>
        <w:t>, such compliance to be evidenced by the Borrower to the reasonable satisfaction of the Administrative Agent and to be determined on a pro forma basis (for the avoidance of doubt, giving effect to any Indebtedness incurred or assumed in connection therewith) as if such Acquisition had been made on the first day of the most recent four fiscal quarter period for which Financials have been delivered; and</w:t>
      </w:r>
    </w:p>
    <w:p>
      <w:pPr>
        <w:pStyle w:val="TextBody"/>
        <w:bidi w:val="0"/>
        <w:spacing w:lineRule="auto" w:line="276"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in the event the total cash and noncash consideration paid by or on behalf of the Borrower and its Subsidiaries for any such Acquisition exceeds $10,000,000, the Borrower shall have delivered to the Administrative Agent, at least five Business Days prior to the date on which any such Acquisition is to be consummated, written notice of such Acquisition, and, if requested by the Administrative Agent, all material purchase or acquisition documents related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Guarantees permitted by Section 6.03; </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contributions of Permitted Receivables Facility Assets and cash deemed received from proceeds of Permitted Receivables Facility Assets to any Receivables Entity to the extent required or made pursuant to Permitted Receivables Facility Documents or to the extent necessary to keep such Receivables Entity properly capitalized to avoid insolvency or consolidation with a Loan Party or any of the Subsidiaries and (ii) loans or advances made by the Borrower or any Receivables Seller to the Receivables Entity for the purchase price of the Receivables and the Permitted Receivables Facility Assets; and</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other Investments (excluding Acquisitions); provided that (A) immediately before and immediately after giving pro forma effect to any such Investment, no Default shall have occurred and be continuing and (B) immediately after giving effect to such Investment, the Total Consolidated Debt Leverage Ratio shall not exceed 3.50 to 1.00, such compliance to be evidenced by the Borrower to the reasonable satisfaction of the Administrative Agent and to be determined on a pro forma basis (for the avoidance of doubt, giving effect to any Indebtedness incurred or assumed in connection therewith) as if such Investment had been made on the first day of the most recent four fiscal quarter period for which Financials have been delivered.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6.03.</w:t>
      </w:r>
      <w:r>
        <w:rPr>
          <w:rFonts w:ascii="Times New Roman;serif" w:hAnsi="Times New Roman;serif"/>
          <w:b w:val="false"/>
          <w:color w:val="000000"/>
          <w:sz w:val="24"/>
          <w:u w:val="single"/>
        </w:rPr>
        <w:t>Indebtedness</w:t>
      </w:r>
      <w:r>
        <w:rPr>
          <w:rFonts w:ascii="Times New Roman;serif" w:hAnsi="Times New Roman;serif"/>
          <w:b w:val="false"/>
          <w:color w:val="000000"/>
          <w:sz w:val="24"/>
        </w:rPr>
        <w:t>. Create, incur, assume or suffer to exist any Indebtedness,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Indebtedness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Indebtedness outstanding on the date hereof and listed on Schedule 6.03 and any refinancings, refundings, renewals or extensions thereof;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(i) the amount of such Indebtedness is not increased at the time of such refinancing, refunding, renewal or extension except by an amount equal to a reasonable premium or other reasonable amount paid, and fees and expenses reasonably incurred, in connection with such refinancing and by an amount equal to any existing commitments unutilized thereunder, (ii) the terms relating to principal amount, amortization, maturity, collateral (if any) and subordination (if any), and other material terms taken as a whole, of any such refinancing, refunding, renewing or extending of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 and (iii) no Person that was not an obligor with respect to the original Indebtedness shall be an obligor on any such refinancing, refunding, renewing or extending of Indebtedness;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Guarantees of Borrower or any Subsidiary in respect of Indebtedness otherwise permitted hereunder of Borrower or any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obligations (contingent or otherwise) of Borrower or any Subsidiary existing or arising under any Swap Agreement,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Agreement does not contain any provision exonerating the non-defaulting party from its obligation to make payments on outstanding transactions to the defaulting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Indebtedness in respect of capital leases, Synthetic Lease Obligations and purchase money obligations for fixed or capital assets within the limitations set forth in Section 6.01(i);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aggregate amount of all such Indebtedness at any one time outstanding shall not exceed $35,000,000;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(i) Indebtedness assumed in connection with Permitted Acquisitions or (ii) Indebtedness incurred in connection with the payment of the purchase price for Permitted Acquisitions, which Indebtedness is unsecured and has been subordinated to the payment of the Obligations on terms approved by the Administrative Agent in writing, or is otherwise approved by the Administrative Agent in writing; </w:t>
      </w:r>
      <w:r>
        <w:rPr>
          <w:rFonts w:ascii="Times New Roman;serif" w:hAnsi="Times New Roman;serif"/>
          <w:b w:val="false"/>
          <w:color w:val="000000"/>
          <w:sz w:val="24"/>
          <w:u w:val="single"/>
        </w:rPr>
        <w:t>provided that</w:t>
      </w:r>
      <w:r>
        <w:rPr>
          <w:rFonts w:ascii="Times New Roman;serif" w:hAnsi="Times New Roman;serif"/>
          <w:b w:val="false"/>
          <w:color w:val="000000"/>
          <w:sz w:val="24"/>
        </w:rPr>
        <w:t xml:space="preserve">, (A) in the case of each of the foregoing </w:t>
      </w:r>
      <w:r>
        <w:rPr>
          <w:rFonts w:ascii="Times New Roman;serif" w:hAnsi="Times New Roman;serif"/>
          <w:b w:val="false"/>
          <w:color w:val="000000"/>
          <w:sz w:val="24"/>
          <w:u w:val="single"/>
        </w:rPr>
        <w:t>clauses (i) and (ii)</w:t>
      </w:r>
      <w:r>
        <w:rPr>
          <w:rFonts w:ascii="Times New Roman;serif" w:hAnsi="Times New Roman;serif"/>
          <w:b w:val="false"/>
          <w:color w:val="000000"/>
          <w:sz w:val="24"/>
        </w:rPr>
        <w:t xml:space="preserve">, (1) immediately before and immediately after giving pro forma effect to any such incurrence of Indebtedness, no Default shall have occurred and be continuing, and (2) immediately after giving effect to such incurrence of Indebtedness, the Borrower and its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Subsidiaries shall be in pro forma compliance with all of the covenants set forth in Section 5.12, and (B) in the case of the foregoing </w:t>
      </w:r>
      <w:r>
        <w:rPr>
          <w:rFonts w:ascii="Times New Roman;serif" w:hAnsi="Times New Roman;serif"/>
          <w:b w:val="false"/>
          <w:color w:val="000000"/>
          <w:sz w:val="24"/>
          <w:u w:val="single"/>
        </w:rPr>
        <w:t>clause (ii)</w:t>
      </w:r>
      <w:r>
        <w:rPr>
          <w:rFonts w:ascii="Times New Roman;serif" w:hAnsi="Times New Roman;serif"/>
          <w:b w:val="false"/>
          <w:color w:val="000000"/>
          <w:sz w:val="24"/>
        </w:rPr>
        <w:t>, immediately after giving effect to such incurrence, the Total Consolidated Debt Leverage Ratio does not exceed 4.50 to 1.00, such compliance as described in the preceding clauses (A)(2) and (B), as applicable, to be evidenced by the Borrower to the reasonable satisfaction of the Administrative Agent and the Required Lenders on the basis of the financial information most recently delivered to the Administrative Agent and the Lenders pursuant to Section 5.01(a) or (b) as though such Acquisition had been consummated as of the first day of the fiscal period covered thereby;</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any earn-out obligation that comprises a portion of the consideration for an acquisition (whether consummated before, on, or after the date of this Agreement) or Indebtedness consisting of obligations under deferred compensation or other similar arrangements incurred in connection with a Permitted Acquisition (whether consummated before, on, or after the date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Indebtedness of the Borrower or any Subsidiary incurred pursuant to a Permitted Receivables Facility;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additional Indebtedness of the Borrower or any Subsidiary in an aggregate amount not to exceed (A) the greater of $30,000,000 and 50% of EBITDA, </w:t>
      </w:r>
      <w:r>
        <w:rPr>
          <w:rFonts w:ascii="Times New Roman;serif" w:hAnsi="Times New Roman;serif"/>
          <w:b w:val="false"/>
          <w:color w:val="000000"/>
          <w:sz w:val="24"/>
          <w:u w:val="single"/>
        </w:rPr>
        <w:t>plus</w:t>
      </w:r>
      <w:r>
        <w:rPr>
          <w:rFonts w:ascii="Times New Roman;serif" w:hAnsi="Times New Roman;serif"/>
          <w:b w:val="false"/>
          <w:color w:val="000000"/>
          <w:sz w:val="24"/>
        </w:rPr>
        <w:t xml:space="preserve">, (B) an unlimited amount of (1) Indebtedness secured on a pari passu basis to the Secured Obligations if immediately after giving effect to such incurrence, the Senior Secured Leverage Ratio does not exceed 3.00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(2) Indebtedness secured on a junior basis to the Secured Obligations if immediately after giving effect to such incurrence, the Secured Leverage Ratio does not exceed 3.00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and (3) unsecured Indebtedness (including Subordinated Indebtedness) if immediately after giving effect to such incurrence, the Total Consolidated Debt Leverage Ratio does not exceed 4.50 to 1.00, such compliance to be evidenced by the Borrower to the reasonable satisfaction of the Administrative Agent and to be determined on a pro forma basis as if such Indebtedness had been incurred on the first day of the most recent four fiscal quarter period for which Financials have been delivered; </w:t>
      </w:r>
      <w:r>
        <w:rPr>
          <w:rFonts w:ascii="Times New Roman;serif" w:hAnsi="Times New Roman;serif"/>
          <w:b w:val="false"/>
          <w:color w:val="000000"/>
          <w:sz w:val="24"/>
          <w:u w:val="single"/>
        </w:rPr>
        <w:t>provided</w:t>
      </w:r>
      <w:r>
        <w:rPr>
          <w:rFonts w:ascii="Times New Roman;serif" w:hAnsi="Times New Roman;serif"/>
          <w:b w:val="false"/>
          <w:color w:val="000000"/>
          <w:sz w:val="24"/>
        </w:rPr>
        <w:t>, that:</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(i)immediately before and immediately after giving pro forma effect to any such incurrence, no Default shall have occurred and be continuing;</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(ii)the aggregate principal amount of any such Indebtedness incurred by Subsidiaries that are not Subsidiary Guarantors shall not exceed $20,000,000;</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(iii)such Indebtedness does not mature prior to 91 days after the Maturity Date; </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(iv)such Indebtedness does not have a shorter weighted average life to maturity than any term loans issued under this Agreement; and</w: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(v)in the case of indebtedness of Loan Party, (x) such Indebtedness shall not be secured by any Lien on assets that do constitute Collateral and shall not be guaranteed by any Subsidiary that is not a Subsidiary Guarantor and (y) if such Indebtedness is Secured Debt or Subordinated Indebtedness, such Indebtedness shall be subject to the terms of an Intercreditor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6.04.</w:t>
      </w:r>
      <w:r>
        <w:rPr>
          <w:rFonts w:ascii="Times New Roman;serif" w:hAnsi="Times New Roman;serif"/>
          <w:b w:val="false"/>
          <w:color w:val="000000"/>
          <w:sz w:val="24"/>
          <w:u w:val="single"/>
        </w:rPr>
        <w:t>Fundamental Changes</w:t>
      </w:r>
      <w:r>
        <w:rPr>
          <w:color w:val="000000"/>
        </w:rPr>
        <w:t xml:space="preserve"> </w:t>
      </w:r>
      <w:r>
        <w:rPr>
          <w:rFonts w:ascii="Times New Roman;serif" w:hAnsi="Times New Roman;serif"/>
          <w:b w:val="false"/>
          <w:color w:val="000000"/>
          <w:sz w:val="24"/>
        </w:rPr>
        <w:t>. Merge, dissolve, liquidate, consolidate with or into another Person, or Dispose of (whether in one transaction or in a series of transactions) all or substantially all of its assets (whether now owned or hereafter acquired) to or in favor of any Person (including, in each case, pursuant to a Delaware LLC Division), except that, so long as no Default exists or would result therefrom:</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Subsidiary may merge with (i) Borrower,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Borrower shall be the continuing or surviving Person, or (ii) any one or more other Subsidiaries,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when any Majority-Owned Subsidiary is merging with another Subsidiary, the Majority-Owned Subsidiary shall be the continuing or surviving Person, and </w:t>
      </w:r>
      <w:r>
        <w:rPr>
          <w:rFonts w:ascii="Times New Roman;serif" w:hAnsi="Times New Roman;serif"/>
          <w:b w:val="false"/>
          <w:color w:val="000000"/>
          <w:sz w:val="24"/>
          <w:u w:val="single"/>
        </w:rPr>
        <w:t>provided further that</w:t>
      </w:r>
      <w:r>
        <w:rPr>
          <w:color w:val="000000"/>
        </w:rPr>
        <w:t xml:space="preserve"> </w:t>
      </w:r>
      <w:r>
        <w:rPr>
          <w:rFonts w:ascii="Times New Roman;serif" w:hAnsi="Times New Roman;serif"/>
          <w:b w:val="false"/>
          <w:color w:val="000000"/>
          <w:sz w:val="24"/>
        </w:rPr>
        <w:t>if a Subsidiary Guarantor is merging with another Subsidiary, the Subsidiary Guarantor shall be the surviving Person;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any Subsidiary may Dispose of all or substantially all of its assets (upon voluntary liquidation or otherwise) to Borrower or to another Subsidiary;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if the transferor in such a transaction is a Majority-Owned Subsidiary, then the transferee must either be Borrower or a Majority-Owned Subsidiary and </w:t>
      </w:r>
      <w:r>
        <w:rPr>
          <w:rFonts w:ascii="Times New Roman;serif" w:hAnsi="Times New Roman;serif"/>
          <w:b w:val="false"/>
          <w:color w:val="000000"/>
          <w:sz w:val="24"/>
          <w:u w:val="single"/>
        </w:rPr>
        <w:t>provided further that</w:t>
      </w:r>
      <w:r>
        <w:rPr>
          <w:color w:val="000000"/>
        </w:rPr>
        <w:t xml:space="preserve"> </w:t>
      </w:r>
      <w:r>
        <w:rPr>
          <w:rFonts w:ascii="Times New Roman;serif" w:hAnsi="Times New Roman;serif"/>
          <w:b w:val="false"/>
          <w:color w:val="000000"/>
          <w:sz w:val="24"/>
        </w:rPr>
        <w:t>if the transferor of such assets is a Subsidiary Guarantor, the transferee must either be Borrower or a Subsidiary Guarantor.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6.05.</w:t>
      </w:r>
      <w:r>
        <w:rPr>
          <w:rFonts w:ascii="Times New Roman;serif" w:hAnsi="Times New Roman;serif"/>
          <w:b w:val="false"/>
          <w:color w:val="000000"/>
          <w:sz w:val="24"/>
          <w:u w:val="single"/>
        </w:rPr>
        <w:t>Dispositions</w:t>
      </w:r>
      <w:r>
        <w:rPr>
          <w:rFonts w:ascii="Times New Roman;serif" w:hAnsi="Times New Roman;serif"/>
          <w:b w:val="false"/>
          <w:color w:val="000000"/>
          <w:sz w:val="24"/>
        </w:rPr>
        <w:t>. The Borrower shall not, nor shall it permit any Subsidiary to, directly or indirectly make any Disposition, except: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Dispositions of obsolete or worn out property or equipment, whether now owned or hereafter acquired,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Dispositions of inventory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Dispositions of equipment to the extent that (i) such equipment is exchanged for credit against the purchase price of similar replacement equipment or (ii) the proceeds of such Disposition are reasonably promptly applied to the purchase price of such replacement equipment;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Dispositions of property by any Subsidiary to Borrower or to a Majority-Owned Subsidiary; provided that if the transferor of such property is a Subsidiary Guarantor, the transferee thereof must either be Borrower or a Subsidiary Guarantor;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Dispositions permitted by Section 6.04;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Dispositions of up to $5,000,000 individually or in a series of related Dispositions;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the Borrower or any Subsidiary may transfer, sell and/or pledge Permitted Receivables Related Assets under a Permitted Receivables Facility;</w:t>
      </w:r>
    </w:p>
    <w:p>
      <w:pPr>
        <w:pStyle w:val="TextBody"/>
        <w:bidi w:val="0"/>
        <w:spacing w:lineRule="auto" w:line="276" w:before="0" w:after="240"/>
        <w:ind w:left="0" w:right="0" w:firstLine="720"/>
        <w:jc w:val="both"/>
        <w:rPr/>
      </w:pP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any Disposition pursuant to </w:t>
      </w:r>
      <w:r>
        <w:rPr>
          <w:rFonts w:ascii="Times New Roman;serif" w:hAnsi="Times New Roman;serif"/>
          <w:b w:val="false"/>
          <w:color w:val="000000"/>
          <w:sz w:val="24"/>
          <w:u w:val="single"/>
        </w:rPr>
        <w:t>clauses (c) through (f)</w:t>
      </w:r>
      <w:r>
        <w:rPr>
          <w:color w:val="000000"/>
        </w:rPr>
        <w:t xml:space="preserve"> </w:t>
      </w:r>
      <w:r>
        <w:rPr>
          <w:rFonts w:ascii="Times New Roman;serif" w:hAnsi="Times New Roman;serif"/>
          <w:b w:val="false"/>
          <w:color w:val="000000"/>
          <w:sz w:val="24"/>
        </w:rPr>
        <w:t>shall be for fair market value.</w:t>
      </w:r>
    </w:p>
    <w:p>
      <w:pPr>
        <w:pStyle w:val="TextBody"/>
        <w:bidi w:val="0"/>
        <w:spacing w:lineRule="auto" w:line="240"/>
        <w:ind w:left="0" w:right="0" w:firstLine="720"/>
        <w:jc w:val="both"/>
        <w:rPr/>
      </w:pPr>
      <w:r>
        <w:rPr>
          <w:rFonts w:ascii="Times New Roman;serif" w:hAnsi="Times New Roman;serif"/>
          <w:b w:val="false"/>
          <w:color w:val="000000"/>
          <w:sz w:val="24"/>
        </w:rPr>
        <w:t>Section 6.06.</w:t>
      </w:r>
      <w:r>
        <w:rPr>
          <w:rFonts w:ascii="Times New Roman;serif" w:hAnsi="Times New Roman;serif"/>
          <w:b w:val="false"/>
          <w:color w:val="000000"/>
          <w:sz w:val="24"/>
          <w:u w:val="single"/>
        </w:rPr>
        <w:t>Restricted Payments</w:t>
      </w:r>
      <w:r>
        <w:rPr>
          <w:rFonts w:ascii="Times New Roman;serif" w:hAnsi="Times New Roman;serif"/>
          <w:b w:val="false"/>
          <w:color w:val="000000"/>
          <w:sz w:val="24"/>
        </w:rPr>
        <w:t xml:space="preserve">. Declare or make, directly or indirectly, any Restricted Payment (other than Permitted Restricted Payments), or incur any obligation (contingent or otherwise) to do so, except that, so long as no Default shall exist (a) at the time of any action described in this Section 6.06 above or (b) would result therefrom, the Borrower and its Subsidiaries may declare or make any Restricted Payment so long as the Total Consolidated Debt Leverage Ratio, calculated on a pro forma basis to include said Restricted Payment (and for the avoidance of doubt, giving effect to any Indebtedness incurred in connection therewith), does not exceed 3.50 to 1.00 , such compliance to be evidenced by the Borrower to the reasonable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satisfaction of the Administrative Agent and to be determined on a pro forma basis as if such Restricted Payment had been made on the first day of the most recent four fiscal quarter period for which Financials have been delivered.</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6.07.</w:t>
      </w:r>
      <w:r>
        <w:rPr>
          <w:rFonts w:ascii="Times New Roman;serif" w:hAnsi="Times New Roman;serif"/>
          <w:b w:val="false"/>
          <w:color w:val="000000"/>
          <w:sz w:val="24"/>
          <w:u w:val="single"/>
        </w:rPr>
        <w:t>Change in Nature of Business</w:t>
      </w:r>
      <w:r>
        <w:rPr>
          <w:rFonts w:ascii="Times New Roman;serif" w:hAnsi="Times New Roman;serif"/>
          <w:b w:val="false"/>
          <w:color w:val="000000"/>
          <w:sz w:val="24"/>
        </w:rPr>
        <w:t>. Engage in any material line of business substantially different from those lines of business conducted by the Borrower and its Subsidiaries on the date hereof or any business substantially related or incidental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6.08.</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xml:space="preserve">. Enter into any transaction of any kind with any Affiliate of Borrower, whether or not in the ordinary course of business, other than on fair and reasonable terms substantially as favorable to the Borrower or such Subsidiary as would be obtainable by the Borrower or such Subsidiary at the time in a comparable arm’s length transaction with a Person other than an Affiliate, </w:t>
      </w:r>
      <w:r>
        <w:rPr>
          <w:rFonts w:ascii="Times New Roman;serif" w:hAnsi="Times New Roman;serif"/>
          <w:b w:val="false"/>
          <w:color w:val="000000"/>
          <w:sz w:val="24"/>
          <w:u w:val="single"/>
        </w:rPr>
        <w:t>provided that</w:t>
      </w:r>
      <w:r>
        <w:rPr>
          <w:color w:val="000000"/>
        </w:rPr>
        <w:t xml:space="preserve"> </w:t>
      </w:r>
      <w:r>
        <w:rPr>
          <w:rFonts w:ascii="Times New Roman;serif" w:hAnsi="Times New Roman;serif"/>
          <w:b w:val="false"/>
          <w:color w:val="000000"/>
          <w:sz w:val="24"/>
        </w:rPr>
        <w:t xml:space="preserve">the foregoing restriction shall not apply to (a) transactions between or among the Borrower and any Subsidiary Guarantor or between and among Subsidiary Guarantors, so long as the effect of such transactions is not to circumvent the limitations contained in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or (b) transactions contemplated by any Permitted Receivables Facility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6.09.</w:t>
      </w:r>
      <w:r>
        <w:rPr>
          <w:rFonts w:ascii="Times New Roman;serif" w:hAnsi="Times New Roman;serif"/>
          <w:b w:val="false"/>
          <w:color w:val="000000"/>
          <w:sz w:val="24"/>
          <w:u w:val="single"/>
        </w:rPr>
        <w:t>Burdensome Agreements</w:t>
      </w:r>
      <w:r>
        <w:rPr>
          <w:rFonts w:ascii="Times New Roman;serif" w:hAnsi="Times New Roman;serif"/>
          <w:b w:val="false"/>
          <w:color w:val="000000"/>
          <w:sz w:val="24"/>
        </w:rPr>
        <w:t xml:space="preserve">. Enter into any Contractual Obligation (other than this Agreement or any other Loan Document) that (a) limits the ability (i) of any Subsidiary to make Restricted Payments to Borrower or any Subsidiary Guarantor or to otherwise transfer property to Borrower or any Subsidiary Guarantor, (ii) of any Subsidiary to Guarantee the Indebtedness of Borrower or (iii) of Borrower or any Subsidiary to create, incur, assume or suffer to exist Liens on property of such Person;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shall not prohibit any negative pledge incurred or provided in favor of any holder of Indebtedness permitted under Section 6.03(e) solely to the extent any such negative pledge relates to the property financed by or the subject of such Indebtedness; or (b) requires the grant of a Lien to secure an obligation of such Person if a Lien is granted to secure another obligation of such Person; provided that the foregoing shall not apply to customary restrictions and conditions contained in Permitted Receivables Facility Documents.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6.10.</w:t>
      </w:r>
      <w:r>
        <w:rPr>
          <w:rFonts w:ascii="Times New Roman;serif" w:hAnsi="Times New Roman;serif"/>
          <w:b/>
          <w:color w:val="000000"/>
          <w:sz w:val="24"/>
          <w:u w:val="single"/>
        </w:rPr>
        <w:t>[</w:t>
      </w:r>
      <w:r>
        <w:rPr>
          <w:rFonts w:ascii="Times New Roman;serif" w:hAnsi="Times New Roman;serif"/>
          <w:b w:val="false"/>
          <w:color w:val="000000"/>
          <w:sz w:val="24"/>
          <w:u w:val="single"/>
        </w:rPr>
        <w:t>Reserved</w:t>
      </w:r>
      <w:r>
        <w:rPr>
          <w:rFonts w:ascii="Times New Roman;serif" w:hAnsi="Times New Roman;serif"/>
          <w:b/>
          <w:color w:val="000000"/>
          <w:sz w:val="24"/>
          <w:u w:val="single"/>
        </w:rPr>
        <w:t>]</w:t>
      </w:r>
      <w:r>
        <w:rPr>
          <w:rFonts w:ascii="Times New Roman;serif" w:hAnsi="Times New Roman;serif"/>
          <w:b w:val="false"/>
          <w:color w:val="000000"/>
          <w:sz w:val="24"/>
        </w:rPr>
        <w:t xml:space="preserve">.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6.11.</w:t>
      </w:r>
      <w:r>
        <w:rPr>
          <w:rFonts w:ascii="Times New Roman;serif" w:hAnsi="Times New Roman;serif"/>
          <w:b w:val="false"/>
          <w:color w:val="000000"/>
          <w:sz w:val="24"/>
          <w:u w:val="single"/>
        </w:rPr>
        <w:t>Prepayment of Subordinated Indebtedness</w:t>
      </w:r>
      <w:r>
        <w:rPr>
          <w:rFonts w:ascii="Times New Roman;serif" w:hAnsi="Times New Roman;serif"/>
          <w:b w:val="false"/>
          <w:color w:val="000000"/>
          <w:sz w:val="24"/>
        </w:rPr>
        <w:t>. Prepay any Subordinated Indebtedness; provided, however, that so long as no Default then exists or would result from any such prepayment, the Borrower may make any prepayment of any Subordinated Indebtedness at any time when the Total Consolidated Debt Leverage Ratio is less than 3.50 –to– 1.00, such compliance to be evidenced by the Borrower to the reasonable satisfaction of the Administrative Agent and to be determined on a pro forma basis to include such payment (and for the avoidance of doubt, giving effect to any Indebtedness incurred in connection therewith) as if such payment had been made on the first day of the most recent four fiscal quarter period for which Financials have been delivered.</w:t>
      </w:r>
    </w:p>
    <w:p>
      <w:pPr>
        <w:pStyle w:val="TextBody"/>
        <w:bidi w:val="0"/>
        <w:spacing w:lineRule="auto" w:line="240" w:before="0" w:after="240"/>
        <w:jc w:val="center"/>
        <w:rPr/>
      </w:pPr>
      <w:r>
        <w:rPr>
          <w:rFonts w:ascii="Times New Roman;serif" w:hAnsi="Times New Roman;serif"/>
          <w:b w:val="false"/>
          <w:color w:val="000000"/>
          <w:sz w:val="24"/>
        </w:rPr>
        <w:t>Article VII</w:t>
      </w:r>
      <w:r>
        <w:rPr>
          <w:rFonts w:ascii="Times New Roman;serif" w:hAnsi="Times New Roman;serif"/>
          <w:b w:val="false"/>
          <w:color w:val="000000"/>
          <w:sz w:val="24"/>
          <w:u w:val="single"/>
        </w:rPr>
        <w:br/>
        <w:br/>
        <w:t>Events of Default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The following events shall each constitute an “</w:t>
      </w:r>
      <w:r>
        <w:rPr>
          <w:rFonts w:ascii="Times New Roman;serif" w:hAnsi="Times New Roman;serif"/>
          <w:b/>
          <w:i/>
          <w:color w:val="000000"/>
          <w:sz w:val="24"/>
        </w:rPr>
        <w:t>Event of Default</w:t>
      </w:r>
      <w:r>
        <w:rPr>
          <w:color w:val="000000"/>
        </w:rPr>
        <w:t xml:space="preserve">” </w:t>
      </w:r>
      <w:r>
        <w:rPr>
          <w:rFonts w:ascii="Times New Roman;serif" w:hAnsi="Times New Roman;serif"/>
          <w:b w:val="false"/>
          <w:color w:val="000000"/>
          <w:sz w:val="24"/>
        </w:rPr>
        <w: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Non-Payment</w:t>
      </w:r>
      <w:r>
        <w:rPr>
          <w:rFonts w:ascii="Times New Roman;serif" w:hAnsi="Times New Roman;serif"/>
          <w:b w:val="false"/>
          <w:color w:val="000000"/>
          <w:sz w:val="24"/>
        </w:rPr>
        <w:t>. The Borrower or any other Loan Party fails to pay (i) when and as required to be paid herein, and in the Agreed Currency required hereunder, any amount of principal of any principal of any Loan or any reimbursement obligation in respect of any LC Disbursement, or (ii) within three (3) days after the same becomes due, any interest on any Loan or any fee or any other amount (other than an amount referred to in preceding clause (i)) due hereunder, or (iii) within five (5) days after the same becomes due, any other amount payable hereunder or under any other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Specific Covenants</w:t>
      </w:r>
      <w:r>
        <w:rPr>
          <w:rFonts w:ascii="Times New Roman;serif" w:hAnsi="Times New Roman;serif"/>
          <w:b w:val="false"/>
          <w:color w:val="000000"/>
          <w:sz w:val="24"/>
        </w:rPr>
        <w:t xml:space="preserve">. The Borrower fails to perform or observe any term, covenant or agreement contained in any of Sections 5.01, 5.02, 5.03, 5.05, 5.07, 5.08, 5.10, 5.11, 5.12, 5.13 or 5.19; or the Borrower fails to perform or observe any term, covenant or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contained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or any “Event of Default” occurs under the Security Agreement, or any Subsidiary Guarantor fails to perform or observe any term, covenant or agreement contained in </w:t>
      </w:r>
      <w:r>
        <w:rPr>
          <w:rFonts w:ascii="Times New Roman;serif" w:hAnsi="Times New Roman;serif"/>
          <w:b w:val="false"/>
          <w:color w:val="000000"/>
          <w:sz w:val="24"/>
          <w:u w:val="single"/>
        </w:rPr>
        <w:t>Article III</w:t>
      </w:r>
      <w:r>
        <w:rPr>
          <w:color w:val="000000"/>
        </w:rPr>
        <w:t xml:space="preserve"> </w:t>
      </w:r>
      <w:r>
        <w:rPr>
          <w:rFonts w:ascii="Times New Roman;serif" w:hAnsi="Times New Roman;serif"/>
          <w:b w:val="false"/>
          <w:color w:val="000000"/>
          <w:sz w:val="24"/>
        </w:rPr>
        <w:t>of the Subsidiary Guaranty;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Other Defaults</w:t>
      </w:r>
      <w:r>
        <w:rPr>
          <w:rFonts w:ascii="Times New Roman;serif" w:hAnsi="Times New Roman;serif"/>
          <w:b w:val="false"/>
          <w:color w:val="000000"/>
          <w:sz w:val="24"/>
        </w:rPr>
        <w:t xml:space="preserve">. Any Loan Party fails to perform or observe any other covenant or agreement (not specified in </w:t>
      </w:r>
      <w:r>
        <w:rPr>
          <w:rFonts w:ascii="Times New Roman;serif" w:hAnsi="Times New Roman;serif"/>
          <w:b w:val="false"/>
          <w:color w:val="000000"/>
          <w:sz w:val="24"/>
          <w:u w:val="single"/>
        </w:rPr>
        <w:t>subsection (a) or (b)</w:t>
      </w:r>
      <w:r>
        <w:rPr>
          <w:color w:val="000000"/>
        </w:rPr>
        <w:t xml:space="preserve"> </w:t>
      </w:r>
      <w:r>
        <w:rPr>
          <w:rFonts w:ascii="Times New Roman;serif" w:hAnsi="Times New Roman;serif"/>
          <w:b w:val="false"/>
          <w:color w:val="000000"/>
          <w:sz w:val="24"/>
        </w:rPr>
        <w:t xml:space="preserve">above) contained in this Agreement or any other Loan Document on its part to be performed or observed and such failure continues for thirty (30) days after written notice thereof from the Administrative Agent;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such failure is susceptible of cure but cannot reasonably be cured within such thirty (30) day period and provided further that the applicable Loan Party shall have commenced to cure such failure within such thirty (30) day period and thereafter diligently and expeditiously proceeds to cure the same, such thirty (30) day period shall be extended for such time as is reasonably necessary for such Loan Party, in the exercise of due diligence, to cure such failure (but in any event not more than ninety (90) days total from receipt of such written notice);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 Any representation, warranty, certification or statement of fact made or deemed made by or on behalf of the Borrower or any other Loan Party herein, in any other Loan Document, or in any document delivered in connection herewith or therewith, shall be (i) with respect to any such representation, warranty, certification or statement of fact which contains a materiality qualification or is qualified by the occurrence of a Material Adverse Effect or similar language, incorrect or misleading in any respect when made or deemed made, and (ii) with respect to any such representation, warranty, certification or statement of fact which does not contain a materiality qualification and is not qualified by the occurrence of a Material Adverse Effect or similar language, incorrect or misleading in any material respect when made or deemed made;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Cross-Default</w:t>
      </w:r>
      <w:r>
        <w:rPr>
          <w:rFonts w:ascii="Times New Roman;serif" w:hAnsi="Times New Roman;serif"/>
          <w:b w:val="false"/>
          <w:color w:val="000000"/>
          <w:sz w:val="24"/>
        </w:rPr>
        <w:t>. (i) The Borrower or any Subsidiary (A) fails to make any payment when due (whether by scheduled maturity, required prepayment, acceleration, demand, or otherwise) in respect of any Indebtedness or Guarantee (other than Indebtedness hereunder and Indebtedness under Swap Agreements), such failed payment having an aggregate principal amount (including any payments owing due to acceleration caused by such failed payment) of more than the Threshold Amount, or (B) fails to observe or perform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Administrative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Agreement an Early Termination Date (as defined in such Swap Agreement) resulting from (A) any event of default under such Swap Contract as to which the Borrower or any Subsidiary is the “Defaulting Party” (as such term is defined in such Swap Agreement) or (B) any “Termination Event” (as so defined) under such Swap Agreement as to which the Borrower or any Subsidiary is an “Affected Party” (as so defined) and, in either event, the Swap Termination Value owed by the Borrower or such Subsidiary as a result thereof is greater than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Insolvency Proceedings, Etc</w:t>
      </w:r>
      <w:r>
        <w:rPr>
          <w:rFonts w:ascii="Times New Roman;serif" w:hAnsi="Times New Roman;serif"/>
          <w:b w:val="false"/>
          <w:color w:val="000000"/>
          <w:sz w:val="24"/>
        </w:rPr>
        <w:t xml:space="preserve">. Any Loan Party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appointment continues undischarged or unstayed for sixty (60) calendar days; or any proceeding under any Debtor Relief Law relating to any such Person or to all or any material part of its property is instituted without the consent of such Person and continues undismissed or unstayed for sixty (60) calendar days, or an order for relief is entered in any such proceeding;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Inability to Pay Debts; Attachment</w:t>
      </w:r>
      <w:r>
        <w:rPr>
          <w:rFonts w:ascii="Times New Roman;serif" w:hAnsi="Times New Roman;serif"/>
          <w:b w:val="false"/>
          <w:color w:val="000000"/>
          <w:sz w:val="24"/>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Judgments</w:t>
      </w:r>
      <w:r>
        <w:rPr>
          <w:rFonts w:ascii="Times New Roman;serif" w:hAnsi="Times New Roman;serif"/>
          <w:b w:val="false"/>
          <w:color w:val="000000"/>
          <w:sz w:val="24"/>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enforcement proceedings are commenced by any creditor upon such judgment or order and said judgment or order, as applicable, is not satisfied, stayed, or fully-bonded within thirty (30) days of the commencement of said enforcement proceedings;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ERISA</w:t>
      </w:r>
      <w:r>
        <w:rPr>
          <w:rFonts w:ascii="Times New Roman;serif" w:hAnsi="Times New Roman;serif"/>
          <w:b w:val="false"/>
          <w:color w:val="000000"/>
          <w:sz w:val="24"/>
        </w:rPr>
        <w:t>. (i) An ERISA Event occurs with respect to a Pension Plan or Multiemployer Plan which has resulted or could reasonably be expected to result in liability of the Borrower under Title IV of ERISA to the Pension Plan, Multiemployer Plan or the PBGC which, either individually or in the aggregate, could reasonably be expected to have a Material Adverse Effect,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Invalidity of Loan Documents</w:t>
      </w:r>
      <w:r>
        <w:rPr>
          <w:rFonts w:ascii="Times New Roman;serif" w:hAnsi="Times New Roman;serif"/>
          <w:b w:val="false"/>
          <w:color w:val="000000"/>
          <w:sz w:val="24"/>
        </w:rPr>
        <w:t>. This Agreement, any Collateral Document, or the Subsidiary Guaranty or any provision thereof, at any time after its execution and delivery and for any reason other than as expressly permitted hereunder or thereunder or satisfaction in full of all the Obligations, ceases to be in full force and effect; or any Loan Party or any other Person contests in any manner the validity or enforceability of any Loan Document or any provision thereof; or any Loan Party denies that it has any or further liability or obligation under any Loan Document, or purports to revoke, terminate or rescind any Loan Document or any provision thereof;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 There occurs any Change of Control with respect to the Borrower and/or any Subsidiary Guarantor except as expressly permitted by Section 6.04 or Section 6.05.</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Remedies Upon an Event of Default</w:t>
      </w:r>
      <w:r>
        <w:rPr>
          <w:rFonts w:ascii="Times New Roman;serif" w:hAnsi="Times New Roman;serif"/>
          <w:b w:val="false"/>
          <w:color w:val="000000"/>
          <w:sz w:val="24"/>
        </w:rPr>
        <w:t>. If an Event of Default occurs (other than an event with respect to the Borrower described in Sections 7.01(f)), and at any time thereafter during the continuance of such Event of Default, the Administrative Agent may with the consent of the Required Lenders, and shall at the request of the Required Lenders, by notice to the Borrower, take any or all of the following actions, at the same or different times: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terminate the Commitments, and thereupon the Commitments shall terminate immediately;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declare the Loans then outstanding to be due and payable in whole (or in part, in which case any principal not so declared to be due and payable may thereafter be declared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due and payable), and thereupon the principal of the Loans so declared to be due and payable, together with accrued interest thereon and all fees and other Secured Obligations of the Borrower accrued hereunder and under any other Loan Document, shall become due and payable immediately, without presentment, demand, protest or other notice of any kind, all of which are hereby waived by the Borrower;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require that the Borrower provide cash collateral as required in Section 2.06(j);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exercise on behalf of itself, the Lenders and the Issuing Banks all rights and remedies available to it, the Lenders and the Issuing Banks under the Loan Documents and applicable law.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described in Sections 7.01(f) occurs with respect to the Borrower, the Commitments shall automatically terminate and the principal of the Loans then outstanding and cash collateral for the LC Exposure, together with accrued interest thereon and all fees and other Secured Obligations accrued hereunder and under any other Loan Document including any break funding payment or prepayment premium, shall automatically become due and payable, and the obligation of the Borrower to cash collateralize the LC Exposure as provided in clause (c) above shall automatically become effective, in each case, without presentment, demand, protest or other notice of any kind, all of which are hereby waived by the Borrower.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 addition to any other rights and remedies granted to the Administrative Agent and the Lenders in the Loan Documents, the Administrative Agent on behalf of the Secured Parties may exercise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Administrative Agent’s request, to assemble the Collateral and make it available to the Administrative Agent at places which the Administrative Agent shall reasonably select, whether at the premises of the Borrower, another Loan Party or elsewhere. The Administrative Agent shall apply the net proceeds of any action taken by it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this Article VII,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Loan Parties under the Loan Documents, in such order as the Administrative Agent may elect, and only after such application and after the payment by the Administrative Agent of any other amount required by any provision of law, including Section 9-615(a)(3) of the UCC, need the Administrative Agent account for the surplus, if any, to any Loan Party. To the extent permitted by applicable law, the Borrower on behalf of itself and its Subsidiaries waives all Liabilities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Application of Payments</w:t>
      </w:r>
      <w:r>
        <w:rPr>
          <w:rFonts w:ascii="Times New Roman;serif" w:hAnsi="Times New Roman;serif"/>
          <w:b w:val="false"/>
          <w:color w:val="000000"/>
          <w:sz w:val="24"/>
        </w:rPr>
        <w:t>. Notwithstanding anything herein to the contrary, following the occurrence and during the continuance of an Event of Default, and notice thereof to the Administrative Agent by the Borrower or the Required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payments received on account of the Secured Obligations shall, subject to Section 2.20, be applied by the Administrative Agent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first</w:t>
      </w:r>
      <w:r>
        <w:rPr>
          <w:rFonts w:ascii="Times New Roman;serif" w:hAnsi="Times New Roman;serif"/>
          <w:b w:val="false"/>
          <w:color w:val="000000"/>
          <w:sz w:val="24"/>
        </w:rPr>
        <w:t>, to payment of that portion of the Secured Obligations constituting fees, indemnities, expenses and other amounts payable to the Administrative Agent (including fees and disbursements and other charges of counsel to the Administrative Agent payable under Section 9.03 and amounts pursuant to Section 2.12(c) payable to the Administrative Agent in its capacity as such);</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second</w:t>
      </w:r>
      <w:r>
        <w:rPr>
          <w:rFonts w:ascii="Times New Roman;serif" w:hAnsi="Times New Roman;serif"/>
          <w:b w:val="false"/>
          <w:color w:val="000000"/>
          <w:sz w:val="24"/>
        </w:rPr>
        <w:t>, to payment of that portion of the Secured Obligations constituting fees, expenses, indemnities and other amounts (other than principal, reimbursement obligations in respect of LC Disbursements, interest and Letter of Credit fees) payable to the Lenders and the Issuing Banks (including fees and disbursements and other charges of counsel to the Lenders and the Issuing Banks payable under Section 9.03) arising under the Loan Documents, ratably among them in proportion to the respective amounts described in this clause (ii) payable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third</w:t>
      </w:r>
      <w:r>
        <w:rPr>
          <w:rFonts w:ascii="Times New Roman;serif" w:hAnsi="Times New Roman;serif"/>
          <w:b w:val="false"/>
          <w:color w:val="000000"/>
          <w:sz w:val="24"/>
        </w:rPr>
        <w:t>, to payment of that portion of the Secured Obligations constituting accrued and unpaid Letter of Credit fees and charges and interest on the Loans and unreimbursed LC Disbursements, ratably among the Lenders and the Issuing Banks in proportion to the respective amounts described in this clause (iii) payable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(A) to payment of that portion of the Secured Obligations constituting unpaid principal of the Loans and unreimbursed LC Disbursements and any other amounts owing with respect to Banking Services Obligations and Swap Obligations and (B) to cash collateralize that portion of LC Exposure comprising the undrawn amount of Letters of Credit to the extent not otherwise cash collateralized by the Borrower pursuant to Section 2.06 or 2.20, ratably among the Lenders and the Issuing Banks in proportion to the respective amounts described in this clause (iv) payable to them;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(x) any such amounts applied pursuant to subclause (B) above shall be paid to the Administrative Agent for the ratable account of the applicable Issuing Banks to cash collateralize Secured Obligations in respect of Letters of Credit, (y) subject to Section 2.06 or 2.20, amounts used to cash collateralize the aggregate amount of Letters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Credit pursuant to this clause (iv) shall be used to satisfy drawings under such Letters of Credit as they occur and (z) upon the expiration of any Letter of Credit (without any pending drawings), the pro rata share of cash collateral shall be distributed to the other Obligations, if any, in the order set forth in this Section 7.03;</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fifth</w:t>
      </w:r>
      <w:r>
        <w:rPr>
          <w:rFonts w:ascii="Times New Roman;serif" w:hAnsi="Times New Roman;serif"/>
          <w:b w:val="false"/>
          <w:color w:val="000000"/>
          <w:sz w:val="24"/>
        </w:rPr>
        <w:t>, to the payment in full of all other Secured Obligations, in each case ratably among the Administrative Agent, the Lenders and the Issuing Banks based upon the respective aggregate amounts of all such Secured Obligations owing to them in accordance with the respective amounts thereof then due and payable;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finally</w:t>
      </w:r>
      <w:r>
        <w:rPr>
          <w:rFonts w:ascii="Times New Roman;serif" w:hAnsi="Times New Roman;serif"/>
          <w:b w:val="false"/>
          <w:color w:val="000000"/>
          <w:sz w:val="24"/>
        </w:rPr>
        <w:t>, the balance, if any, after all Secured Obligations have been indefeasibly paid in full, to the Borrower or as otherwise required by law;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any amount remains on deposit as cash collateral after all Letters of Credit have either been fully drawn or expired (without any pending drawings), such remaining amount shall be applied to the other Secured Obligations, if any, in the order set forth above.</w:t>
      </w:r>
    </w:p>
    <w:p>
      <w:pPr>
        <w:pStyle w:val="TextBody"/>
        <w:bidi w:val="0"/>
        <w:spacing w:lineRule="auto" w:line="240" w:before="0" w:after="240"/>
        <w:jc w:val="center"/>
        <w:rPr/>
      </w:pPr>
      <w:r>
        <w:rPr>
          <w:rFonts w:ascii="Times New Roman;serif" w:hAnsi="Times New Roman;serif"/>
          <w:b w:val="false"/>
          <w:color w:val="000000"/>
          <w:sz w:val="24"/>
        </w:rPr>
        <w:t>Article VIII</w:t>
      </w:r>
      <w:r>
        <w:rPr>
          <w:rFonts w:ascii="Times New Roman;serif" w:hAnsi="Times New Roman;serif"/>
          <w:b w:val="false"/>
          <w:color w:val="000000"/>
          <w:sz w:val="24"/>
          <w:u w:val="single"/>
        </w:rPr>
        <w:br/>
        <w:br/>
        <w:t>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Authorization and Action</w:t>
      </w:r>
      <w:r>
        <w:rPr>
          <w:rFonts w:ascii="Times New Roman;serif" w:hAnsi="Times New Roman;serif"/>
          <w:b w:val="false"/>
          <w:color w:val="000000"/>
          <w:sz w:val="24"/>
        </w:rPr>
        <w:t>. (a) Each Lender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Administrative Agent does not assume and shall not be deemed to have assumed any obligation or duty or any other relationship as the agent, fiduciary or trustee of or for any Lender, Issuing Bank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None of any Syndication Agent or any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on the Borrower) shall be entitled and empowered (but not obligated) by intervention in such proceeding or otherwise: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(i)to file and prove a claim for the whole amount of the principal and interest owing and unpaid in respect of the Loans, LC Disbursements and all other Secured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(ii)to collect and receive any monies or other property payable or deliverable on any such claims and to distribute the same;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The provisions of this Article are solely for the benefit of the Administrative Agent, the Lenders and the Issuing Banks,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pStyle w:val="TextBody"/>
        <w:bidi w:val="0"/>
        <w:spacing w:lineRule="auto" w:line="240"/>
        <w:ind w:left="0" w:right="0" w:firstLine="720"/>
        <w:jc w:val="both"/>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Administrative Agent’s Reliance, Limitation of Liability, Etc</w:t>
      </w:r>
      <w:r>
        <w:rPr>
          <w:rFonts w:ascii="Times New Roman;serif" w:hAnsi="Times New Roman;serif"/>
          <w:b w:val="false"/>
          <w:color w:val="000000"/>
          <w:sz w:val="24"/>
        </w:rPr>
        <w:t xml:space="preserve">.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 actual executed signature page) or for any failure of any Loan Party to perform its obligations hereunder or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 Notwithstanding anything herein to the contrary, the Administrative Agent shall not be liable for, or be responsible for any Liabilities, costs or expenses suffered by the Borrower, any Subsidiary, any Lender or any Issuing Bank as a result of, any determination of the Revolving Credit Exposure, any of the component amounts thereof or any portion thereof attributable to each Lender or Issuing Bank, or any Exchange Rate or calculation of any Dollar Equivalent.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lineRule="auto" w:line="240"/>
        <w:ind w:left="0" w:right="0" w:firstLine="720"/>
        <w:jc w:val="both"/>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Posting of Communications</w:t>
      </w:r>
      <w:r>
        <w:rPr>
          <w:rFonts w:ascii="Times New Roman;serif" w:hAnsi="Times New Roman;serif"/>
          <w:b w:val="false"/>
          <w:color w:val="000000"/>
          <w:sz w:val="24"/>
        </w:rPr>
        <w:t>. (a) The Borrower agrees that the Administrative Agent may, but shall not be obligated to, make any Communications available to the Lenders and the Issuing Banks by posting the Communications on IntraLinks</w:t>
      </w:r>
      <w:r>
        <w:rPr>
          <w:rFonts w:ascii="Times New Roman;serif" w:hAnsi="Times New Roman;serif"/>
          <w:b w:val="false"/>
          <w:color w:val="000000"/>
          <w:sz w:val="16"/>
        </w:rPr>
        <w:t>TM</w:t>
      </w:r>
      <w:r>
        <w:rPr>
          <w:rFonts w:ascii="Times New Roman;serif" w:hAnsi="Times New Roman;serif"/>
          <w:b w:val="false"/>
          <w:color w:val="000000"/>
          <w:sz w:val="24"/>
        </w:rPr>
        <w:t>, DebtDomain, SyndTrak, ClearPar or any other electronic platform chosen by the Administrative Agent to be its electronic transmission system (the “</w:t>
      </w:r>
      <w:r>
        <w:rPr>
          <w:rFonts w:ascii="Times New Roman;serif" w:hAnsi="Times New Roman;serif"/>
          <w:b/>
          <w:i/>
          <w:color w:val="000000"/>
          <w:sz w:val="24"/>
        </w:rPr>
        <w:t>Approved Electronic Platform</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Banks and the Borrower hereby approves distribution of the Communications through the Approved Electronic Platform and understands and assumes the risks of such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SYNDICATION AGENT OR ANY OF THEIR RESPECTIVE RELATED PARTIES (COLLECTIVELY, “</w:t>
      </w:r>
      <w:r>
        <w:rPr>
          <w:rFonts w:ascii="Times New Roman;serif" w:hAnsi="Times New Roman;serif"/>
          <w:b/>
          <w:i/>
          <w:color w:val="000000"/>
          <w:sz w:val="24"/>
        </w:rPr>
        <w:t>APPLICABLE PARTIES</w:t>
      </w:r>
      <w:r>
        <w:rPr>
          <w:color w:val="000000"/>
        </w:rPr>
        <w:t>”</w:t>
      </w:r>
      <w:r>
        <w:rPr>
          <w:rFonts w:ascii="Times New Roman;serif" w:hAnsi="Times New Roman;serif"/>
          <w:b w:val="false"/>
          <w:color w:val="000000"/>
          <w:sz w:val="24"/>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pStyle w:val="TextBody"/>
        <w:bidi w:val="0"/>
        <w:spacing w:lineRule="auto" w:line="288" w:before="0" w:after="240"/>
        <w:jc w:val="both"/>
        <w:rPr/>
      </w:pPr>
      <w:r>
        <w:rPr>
          <w:color w:val="000000"/>
        </w:rPr>
        <w:t>“</w:t>
      </w:r>
      <w:r>
        <w:rPr>
          <w:rFonts w:ascii="Times New Roman;serif" w:hAnsi="Times New Roman;serif"/>
          <w:b/>
          <w:i/>
          <w:color w:val="000000"/>
          <w:sz w:val="24"/>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Loan Party pursuant to any Loan Document or the transactions contemplated therein which is distributed by the Administrative Agent, any Lender or any Issuing Bank by means of electronic communications pursuant to this Section, including through an Approved Electronic Platform.</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and each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Each of the Lenders, each of the Issuing Banks and the Borrower agrees that the Administrative Agent may, but (except as may be required by applicable law)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obligated to, store the Communications on the Approved Electronic Platform in accordance with the Administrative Agent’s generally applicable document retention procedures and policies.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Nothing herein shall prejudice the right of the Administrative Agent, any Lender or any Issuing Bank to give any notice or other communication pursuant to any Loan Document in any other manner specified in such Loan Document.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The Administrative Agent Individually</w:t>
      </w:r>
      <w:r>
        <w:rPr>
          <w:rFonts w:ascii="Times New Roman;serif" w:hAnsi="Times New Roman;serif"/>
          <w:b w:val="false"/>
          <w:color w:val="000000"/>
          <w:sz w:val="24"/>
        </w:rPr>
        <w:t>. With respect to its Commitment, Loans (including Swingline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“Issuing Banks”, “Lenders”, “Required Lenders”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Banks.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Successor Administrative Agent</w:t>
      </w:r>
      <w:r>
        <w:rPr>
          <w:rFonts w:ascii="Times New Roman;serif" w:hAnsi="Times New Roman;serif"/>
          <w:b w:val="false"/>
          <w:color w:val="000000"/>
          <w:sz w:val="24"/>
        </w:rPr>
        <w:t>. (a) The Administrative Agent may resign at any time by giving 30 days’ prior written notice thereof to the Lenders, the Issuing Banks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Borrower, whereupon, on the date of effectiveness of such resignation stated in such notice, (i) the retiring Administrative Agent shall be discharged from its duties and obligations hereunder and under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Bank. Following the effectiveness of the Administrative Agent’s resignation from its capacity as such, the provisions of this Article and Section 9.03,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 and in respect of the matters referred to in the proviso under clause (i) 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Acknowledgments of Lenders and Issuing Banks</w:t>
      </w:r>
      <w:r>
        <w:rPr>
          <w:rFonts w:ascii="Times New Roman;serif" w:hAnsi="Times New Roman;serif"/>
          <w:b w:val="false"/>
          <w:color w:val="000000"/>
          <w:sz w:val="24"/>
        </w:rPr>
        <w:t>. (a) 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any Syndication Agent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any Syndication Agent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w:t>
      </w:r>
      <w:r>
        <w:rPr>
          <w:rFonts w:ascii="Times New Roman;serif" w:hAnsi="Times New Roman;serif"/>
          <w:b/>
          <w:i/>
          <w:color w:val="000000"/>
          <w:sz w:val="24"/>
        </w:rPr>
        <w:t>Payment</w:t>
      </w:r>
      <w:r>
        <w:rPr>
          <w:color w:val="000000"/>
        </w:rPr>
        <w:t>”</w:t>
      </w:r>
      <w:r>
        <w:rPr>
          <w:rFonts w:ascii="Times New Roman;serif" w:hAnsi="Times New Roman;serif"/>
          <w:b w:val="false"/>
          <w:color w:val="000000"/>
          <w:sz w:val="24"/>
        </w:rPr>
        <w:t xml:space="preserve">) were erroneously transmitted to such Lender (whether or not known to such Lender), and demands the return of such Payment (or a portion thereof),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8.06(c) shall be conclusive,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(ii)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erif" w:hAnsi="Times New Roman;serif"/>
          <w:b/>
          <w:i/>
          <w:color w:val="000000"/>
          <w:sz w:val="24"/>
        </w:rPr>
        <w:t>Payment Notice</w:t>
      </w:r>
      <w:r>
        <w:rPr>
          <w:color w:val="000000"/>
        </w:rPr>
        <w:t>”</w:t>
      </w:r>
      <w:r>
        <w:rPr>
          <w:rFonts w:ascii="Times New Roman;serif" w:hAnsi="Times New Roman;serif"/>
          <w:b w:val="false"/>
          <w:color w:val="000000"/>
          <w:sz w:val="24"/>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(iii)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(iv) Each party’s obligations under this Section 8.06(c) shall survive the resignation or replacement of the Administrative Agent or any transfer of rights or obligations by, or the replacement of, a Lender, the termination of the Commitments or the repayment, satisfaction or discharge of all Obligations under any Loan Document.</w:t>
      </w:r>
    </w:p>
    <w:p>
      <w:pPr>
        <w:pStyle w:val="TextBody"/>
        <w:bidi w:val="0"/>
        <w:spacing w:lineRule="auto" w:line="240"/>
        <w:ind w:left="0" w:right="0" w:firstLine="72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Collateral Matters</w:t>
      </w:r>
      <w:r>
        <w:rPr>
          <w:rFonts w:ascii="Times New Roman;serif" w:hAnsi="Times New Roman;serif"/>
          <w:b w:val="false"/>
          <w:color w:val="000000"/>
          <w:sz w:val="24"/>
        </w:rPr>
        <w:t>. (a) 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Banking Services Agreement or Swap Agreement in respect of Swap Obligations,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pStyle w:val="TextBody"/>
        <w:bidi w:val="0"/>
        <w:spacing w:lineRule="auto" w:line="240"/>
        <w:ind w:left="0" w:right="0" w:firstLine="720"/>
        <w:jc w:val="both"/>
        <w:rPr/>
      </w:pPr>
      <w:r>
        <w:rPr>
          <w:rFonts w:ascii="Times New Roman;serif" w:hAnsi="Times New Roman;serif"/>
          <w:b w:val="false"/>
          <w:color w:val="000000"/>
          <w:sz w:val="24"/>
        </w:rPr>
        <w:t>Section 8.08.</w:t>
      </w:r>
      <w:r>
        <w:rPr>
          <w:rFonts w:ascii="Times New Roman;serif" w:hAnsi="Times New Roman;serif"/>
          <w:b w:val="false"/>
          <w:color w:val="000000"/>
          <w:sz w:val="24"/>
          <w:u w:val="single"/>
        </w:rPr>
        <w:t>Credit Bidding</w:t>
      </w:r>
      <w:r>
        <w:rPr>
          <w:rFonts w:ascii="Times New Roman;serif" w:hAnsi="Times New Roman;serif"/>
          <w:b w:val="false"/>
          <w:color w:val="000000"/>
          <w:sz w:val="24"/>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 </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8.09.</w:t>
      </w:r>
      <w:r>
        <w:rPr>
          <w:rFonts w:ascii="Times New Roman;serif" w:hAnsi="Times New Roman;serif"/>
          <w:b w:val="false"/>
          <w:color w:val="000000"/>
          <w:sz w:val="24"/>
          <w:u w:val="single"/>
        </w:rPr>
        <w:t>Certain ERISA Matters</w:t>
      </w:r>
      <w:r>
        <w:rPr>
          <w:rFonts w:ascii="Times New Roman;serif" w:hAnsi="Times New Roman;serif"/>
          <w:b w:val="false"/>
          <w:color w:val="000000"/>
          <w:sz w:val="24"/>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Lender is not using “plan assets” (within the meaning of the Plan Asset Regulations) of one or more Benefit Plans in connection with the Loans, the Letters of Credit or the Commitments,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In addition, unless sub-clause (i) in the immediately preceding clause (a) is true with respect to a Lender or such Lender has provided another representation, warranty and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none of the Administrative Agent, or any Arranger, any Syndication Agent or any of their respective Affiliates is a fiduciary with respect to the Collateral or the assets of such Lender (including in connection with the reservation or exercise of any rights by the Administrative Agent under this Agreement, any Loan Document or any documents related hereto or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8.10.</w:t>
      </w:r>
      <w:r>
        <w:rPr>
          <w:rFonts w:ascii="Times New Roman;serif" w:hAnsi="Times New Roman;serif"/>
          <w:b w:val="false"/>
          <w:color w:val="000000"/>
          <w:sz w:val="24"/>
          <w:u w:val="single"/>
        </w:rPr>
        <w:t>Borrower Communications</w:t>
      </w:r>
      <w:r>
        <w:rPr>
          <w:rFonts w:ascii="Times New Roman;serif" w:hAnsi="Times New Roman;serif"/>
          <w:b w:val="false"/>
          <w:color w:val="000000"/>
          <w:sz w:val="24"/>
        </w:rPr>
        <w:t>. (a) The Administrative Agent, the Lenders and the Issuing Banks agree that the Borrower may, but shall not be obligated to, make any Borrower Communications to the Administrative Agent through an electronic platform chosen by the Administrative Agent to be its electronic transmission system (the “</w:t>
      </w:r>
      <w:r>
        <w:rPr>
          <w:rFonts w:ascii="Times New Roman;serif" w:hAnsi="Times New Roman;serif"/>
          <w:b/>
          <w:i/>
          <w:color w:val="000000"/>
          <w:sz w:val="24"/>
        </w:rPr>
        <w:t>Approved Borrower Portal</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Although the Approved Borrower Portal and its primary web portal are secured with generally-applicable security procedures and policies implemented or modified by the Administrative Agent from time to time (including, as of the Effective Date, a user ID/password authorization system), each of the Lenders, each of the Issuing Banks and the Borrower acknowledges and agrees that the distribution of material through an electronic medium is not necessarily secure, that the Administrative Agent is not responsible for approving or vetting the representatives or contacts of the Borrower that are added to the Approved Borrower Portal, and that there may be confidentiality and other risks associated with such distribution. Each of the Lenders, each of the Issuing Banks and the Borrower hereby approves distribution of Borrower Communications through the Approved Borrower Portal and understands and assumes the risks of such distribution.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APPROVED BORROWER PORTAL IS PROVIDED “AS IS” AND “AS AVAILABLE”. THE APPLICABLE PARTIES DO NOT WARRANT THE ACCURACY OR COMPLETENESS OF THE BORROWER COMMUNICATIONS, OR THE ADEQUACY OF THE APPROVED BORROWER PORTAL AND EXPRESSLY DISCLAIM LIABILITY FOR ERRORS OR OMISSIONS IN THE APPROVED BORROWER PORTAL AND THE BORROWER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BORROWER COMMUNICATIONS OR THE APPROVED BORROWER PORTAL. IN NO EVENT SHALL ANY APPLICABLE PARTY HAVE ANY LIABILITY TO ANY LOAN PARTY, ANY LENDER, ANY ISSUING BANK OR ANY OTHER PERSON OR ENTITY FOR DAMAGES OF ANY KIND, INCLUDING DIRECT OR INDIRECT, SPECIAL, INCIDENTAL OR CONSEQUENTIAL DAMAGES, LOSSES OR EXPENSES (WHETHER IN TORT, CONTRACT OR OTHERWISE) ARISING OUT OF THE BORROWER’S TRANSMISSION OF BORROWER COMMUNICATIONS THROUGH THE INTERNET OR THE APPROVED BORROWER PORTAL.</w:t>
      </w:r>
    </w:p>
    <w:p>
      <w:pPr>
        <w:pStyle w:val="TextBody"/>
        <w:bidi w:val="0"/>
        <w:spacing w:lineRule="auto" w:line="288" w:before="0" w:after="240"/>
        <w:jc w:val="both"/>
        <w:rPr/>
      </w:pPr>
      <w:r>
        <w:rPr>
          <w:color w:val="000000"/>
        </w:rPr>
        <w:t>“</w:t>
      </w:r>
      <w:r>
        <w:rPr>
          <w:rFonts w:ascii="Times New Roman;serif" w:hAnsi="Times New Roman;serif"/>
          <w:b/>
          <w:i/>
          <w:color w:val="000000"/>
          <w:sz w:val="24"/>
        </w:rPr>
        <w:t>Borrower Communications</w:t>
      </w:r>
      <w:r>
        <w:rPr>
          <w:color w:val="000000"/>
        </w:rPr>
        <w:t xml:space="preserve">” </w:t>
      </w:r>
      <w:r>
        <w:rPr>
          <w:rFonts w:ascii="Times New Roman;serif" w:hAnsi="Times New Roman;serif"/>
          <w:b w:val="false"/>
          <w:color w:val="000000"/>
          <w:sz w:val="24"/>
        </w:rPr>
        <w:t>means, collectively, any Borrowing Request, Interest Election Request, notice of prepayment, notice requesting the issuance, amendment or extension of a Letter of Credit or other notice, demand, communication, information, document or other material provided by or on behalf of any Loan Party pursuant to any Loan Document or the transactions contemplated therein which is distributed by the Borrower to the Administrative Agent through an Approved Borrower Portal.</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Lenders, each of the Issuing Banks and the Borrower agrees that the Administrative Agent may, but (except as may be required by applicable law) shall not be obligated to, store the Borrower Communications on the Approved Borrower Portal in accordance with the Administrative Agent’s generally applicable document retention procedures and policies.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Nothing herein shall prejudice the right of the Borrower to give any notice or other communication pursuant to any Loan Document in any other manner specified in such Loan Document.</w:t>
      </w:r>
    </w:p>
    <w:p>
      <w:pPr>
        <w:pStyle w:val="TextBody"/>
        <w:bidi w:val="0"/>
        <w:spacing w:lineRule="auto" w:line="240" w:before="0" w:after="240"/>
        <w:jc w:val="center"/>
        <w:rPr/>
      </w:pPr>
      <w:r>
        <w:rPr>
          <w:rFonts w:ascii="Times New Roman;serif" w:hAnsi="Times New Roman;serif"/>
          <w:b w:val="false"/>
          <w:color w:val="000000"/>
          <w:sz w:val="24"/>
        </w:rPr>
        <w:t>Article IX</w:t>
      </w:r>
      <w:r>
        <w:rPr>
          <w:rFonts w:ascii="Times New Roman;serif" w:hAnsi="Times New Roman;serif"/>
          <w:b w:val="false"/>
          <w:color w:val="000000"/>
          <w:sz w:val="24"/>
          <w:u w:val="single"/>
        </w:rPr>
        <w:br/>
        <w:b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Notices</w:t>
      </w:r>
      <w:r>
        <w:rPr>
          <w:rFonts w:ascii="Times New Roman;serif" w:hAnsi="Times New Roman;serif"/>
          <w:b w:val="false"/>
          <w:color w:val="000000"/>
          <w:sz w:val="24"/>
        </w:rPr>
        <w:t>.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as follows: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to the Borrower, to it at Mistras Group, Inc., 195 Clarksville Road, Princeton Junction, NJ 08550, Attention: Edward Prajzner, EVP, CFO and Treasurer, (Telephone: 609-716-4102) (Email: Edward.prajzner@mistrasgroup.com) and Attention: Michael Keefe, EVP, General Counsel and Secretary (Telephone: 609-716-4128) (Email: Michael.keefe@mistrasgroup.com); with a copy to: Morgan, Lewis &amp; Bockius LLP, 101 Park Avenue, New York, NY 10178, Attention: Sarah J. Grimm (Telephone: (212-309-6178) (E-mail: sarah.grimm@morganlewis.com);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(ii)if to the Administrative Agent, to JPMorgan Chase Bank, N.A., 131 S Dearborn St, Floor 04, Chicago, Illinois 60603-5506, Attention: Loan and Agency Servicing (Email address: (x) for purposes of notices pursuant to Article II permitted to be delivered by electronic mail: jpm.agency.cri@jpmorgan.com, (y) for withholding tax inquiries: agency.tax.reporting@jpmorgan.com, and (z) for compliance, financials and virtual data rooms: agency.dataroom@jpmorgan.com);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(iii)if to JPMorgan Chase Bank, N.A. in its capacity as an Issuing Bank, to it at 131 S Dearborn St, Floor 04, Chicago, Illinois 60603-5506, Attention: LC Agency Team (Telephone: 800-364-1969) (Fax: 856-294-5267) (Email address for purposes of notices pursuant to Article II permitted to be delivered by electronic mail: chicago.lc.agency.activity.team@jpmorgan.com); with a copy to: JPMorgan Chase Bank, N.A., 131 S Dearborn St, Floor 04, Chicago, Illinois 60603-5506, Attention: Loan and Agency Servicing (Email: jpm.agency.cri@jpmorgan.com);</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(iv)if to the Swingline Lender, to it at JPMorgan Chase Bank, N.A., 131 S Dearborn St, Floor 04, Chicago, Illinois 60603-5506, Attention: Loan and Agency Servicing (Email address: (x) for purposes of notices pursuant to Article II permitted to be delivered by electronic mail: jpm.agency.cri@jpmorgan.com);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(v)if to the Collateral Agent, to it at JPMorgan Chase Bank, N.A., WLS - Document Workflow Management, 10 South Dearborn Street - Floor L2, Mail Code IL1-1190, Chicago, IL 60603;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(vi)if to any other Lender (including any other Issuing Bank or Swingline Lender), to it at its address (or telecopy number) set forth in its Administrative Questionnaire.</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Approved Electronic Platforms or Approved Borrower Portals, to the extent provided in paragraph (b) below, shall be effective as provided in said paragraph (b).</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Notices and other communications to the Borrower, any Loan Party, the Lenders and the Issuing Banks hereunder may be delivered or furnished by using Approved Electronic Platforms or Approved Borrower Portals (as applicable), in each case,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approval of such procedures may be limited to particular notices or communications.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party hereto may change its address or telecopy number for notices and other communications hereunder by notice to the other parties 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Waivers; Amendments</w:t>
      </w:r>
      <w:r>
        <w:rPr>
          <w:rFonts w:ascii="Times New Roman;serif" w:hAnsi="Times New Roman;serif"/>
          <w:b w:val="false"/>
          <w:color w:val="000000"/>
          <w:sz w:val="24"/>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this Agreement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provided in Section 2.22 with respect to an Incremental Term Loan Amendment, and subject to Section 2.14(b) and (c) and clauses (c) and (e) below, neither this Agreement nor any provision hereof may be waived, amended or modified except pursuant to an agreement or agreements in writing entered into by the Borrower and the Required Lenders or by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the Borrower and the Administrative Agent with the consent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agreement shall (i) increase the Commitment of any Lender without the written consent of such Lender, (ii) reduce the principal amount of any Loan or LC Disbursement or reduce the rate of interest thereon, or reduce any fees payable hereunder, without the written consent of each Lender directly affected thereby (except that any amendment or modification of the financial covenants in this Agreement (or defined terms used in the financial covenants in this Agreement) shall not constitute a reduction in the rate of interest or fees for purposes of this clause (ii)), (iii) 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(other than any reduction of the amount of, or any extension of the payment date for, the mandatory prepayments required under Section 2.11(d), in each case which shall only require the approval of the Required Lenders), (iv) change Section 2.09(c) or 2.18(b) or (d) or any other provision of this Agreement that includes pro rata sharing provisions, in each case, in a manner that would alter the ratable reduction of Commitments or the pro rata sharing of payments required thereby, without the written consent of each Lender, (v) change the payment waterfall provisions of Section 2.20(b) or 7.03 or any other payment waterfall in this Agreement without the written consent of each Lender,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(it being understood that, solely with the consent of the parties prescribed by Section 2.20 to be parties to an Incremental Term Loan Amendment, Incremental Term Loans may be included in the determination of Required Lenders on substantially the same basis as the Commitments and existing Loans are included on the Effective Date), (vii) (x) release the Borrower from its obligations under Article X or (y) release all or substantially all of the Subsidiary Guarantors from their obligations under the Subsidiary Guaranty, in each case, without the written consent of each Lender, (viii) except as provided in clause (d) of this Section or in any Collateral Document, release all or substantially all of the Collateral, without the written consent of each Lender, or (ix) (x) subordinate, or have the effect of subordinating, the Secured Obligations hereunder to any other Indebtedness or (y) subordinate, or have the effect of subordinating, the Liens securing the Secured Obligations to Liens securing any other Indebtedness, in each case, without the prior written consent of each Lender directly affected thereby;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no such agreement shall amend, modify or otherwise affect the rights or duties of the Administrative Agent, the Issuing Banks or the Swingline Lenders hereunder without the prior written consent of the Administrative Agent, the Issuing Banks or the Swingline Lenders, as the case may be (it being understood that any change to Section 2.20 shall require the consent of the Administrative Agent, each Issuing Bank and each Swingline Lender);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no such agreement shall amend or modify the provisions of Section 2.06 without the prior written consent of the Administrative Agent and the Issuing Banks. Notwithstanding the foregoing, no consent with respect to any amendment, waiver or other modification of this Agreement shall be required of any Defaulting Lender, except with respect to any amendment, waiver or other modification referred to in clause (i), (ii) or (iii) of the first proviso of this paragraph and then only in the event such Defaulting Lender shall be directly affected by such amendment, waiver or other modification.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the foregoing, this Agreement and any other Loan Document may be amended (or amended and restated) with the written consent of the Required Lenders, the Administrative Agent and the Borrower (x) to add one or more credit facilities (in addition to the Incremental Term Loans pursuant to an Incremental Term Loan Amendment) to this Agreement and to permit extensions of credit from time to time outstanding thereunder and the accrued interest and fees in respect thereof to share ratably in the benefits of this Agreement and the other Loan Documents with the Revolving Loans, the initial Term Loans, Incremental Term Loans and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accrued interest and fees in respect thereof and (y) to include appropriately the Lenders holding such credit facilities in any determination of the Required Lenders and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Lenders hereby irrevocably authorize the Administrative Agent, at its option and in its sole discretion, to release any Liens granted to the Administrative Agent by the Loan Parties on any Collateral (i) upon the termination of all the Commitments, payment and satisfaction in full in cash of all Secured Obligations (other than Unliquidated Obligations), and the cash collateralization of all Unliquidated Obligations in a manner satisfactory to the Administrative Agent, (ii) constituting property being sold or disposed of if the Borrower certifies to the Administrative Agent that the sale or disposition is made in compliance with the terms of this Agreement (and the Administrative Agent may rely conclusively on any such certificate, without further inquiry), (iii) constituting property leased to the Borrower or any Subsidiary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If the Administrative Agent and the Borrower acting together identify any ambiguity, omission, mistake, typographical error or other defect in any provision of this Agreement or any other Loan Document, then the Administrative Agent and the Borrower shall be permitted to amend, modify or supplement such provision to cure such ambiguity, omission, mistake, typographical error or other defect, and such amendment shall become effective without any further action or consent of any other party to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Expenses; Limitation of Liability; Indemnity, Etc</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t>
      </w:r>
      <w:r>
        <w:rPr>
          <w:rFonts w:ascii="Times New Roman;serif" w:hAnsi="Times New Roman;serif"/>
          <w:b w:val="false"/>
          <w:color w:val="000000"/>
          <w:sz w:val="24"/>
          <w:u w:val="single"/>
        </w:rPr>
        <w:t>Expenses</w:t>
      </w:r>
      <w:r>
        <w:rPr>
          <w:rFonts w:ascii="Times New Roman;serif" w:hAnsi="Times New Roman;serif"/>
          <w:b w:val="false"/>
          <w:color w:val="000000"/>
          <w:sz w:val="24"/>
        </w:rPr>
        <w:t>. The Borrower shall pay (i) all reasonable out-of-pocket expenses incurred by the Administrative Agent and its Affiliates, including the reasonable fees, charges and disbursements of counsel for the Administrative Agent,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 (iii) all out-of-pocket expenses incurred by the Administrative Agent, any Issuing Bank or any Lender, including the fees, charges and disbursements of any counsel for the Administrative Agent, any Issuing Bank or any Lender, in connection with the enforcement or protection of its rights in connection with this Agreement and the other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Limitation of Liability</w:t>
      </w:r>
      <w:r>
        <w:rPr>
          <w:rFonts w:ascii="Times New Roman;serif" w:hAnsi="Times New Roman;serif"/>
          <w:b w:val="false"/>
          <w:color w:val="000000"/>
          <w:sz w:val="24"/>
        </w:rPr>
        <w:t xml:space="preserve">. To the extent permitted by applicable law (i) the Borrower and any Loan Party shall not assert, and the Borrower and each Loan Party hereby waives, any claim against the Administrative Agent, any Arranger, any Syndication Agent, any Issuing Bank and any Lender, and any Related Party of any of the foregoing Persons (each such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Person being called a “</w:t>
      </w:r>
      <w:r>
        <w:rPr>
          <w:rFonts w:ascii="Times New Roman;serif" w:hAnsi="Times New Roman;serif"/>
          <w:b/>
          <w:i/>
          <w:color w:val="000000"/>
          <w:sz w:val="24"/>
        </w:rPr>
        <w:t>Lender-Related Person</w:t>
      </w:r>
      <w:r>
        <w:rPr>
          <w:color w:val="000000"/>
        </w:rPr>
        <w:t>”</w:t>
      </w:r>
      <w:r>
        <w:rPr>
          <w:rFonts w:ascii="Times New Roman;serif" w:hAnsi="Times New Roman;serif"/>
          <w:b w:val="false"/>
          <w:color w:val="000000"/>
          <w:sz w:val="24"/>
        </w:rPr>
        <w:t xml:space="preserve">) for any Liabilities arising from the use by others of information or other materials (including, without limitation, any personal data) obtained through telecommunications, electronic or other information transmission systems (including the Internet, any Approved Electronic Platform and any Approved Borrower Portal),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nothing in this Section 9.03(b) shall relieve the Borrower or any Loan Party of any obligation it may have to indemnify an Indemnitee, as provided in Section 9.03(c), against any special, indirect, consequential or punitive damages asserted against such Indemnitee by a third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Indemnity</w:t>
      </w:r>
      <w:r>
        <w:rPr>
          <w:rFonts w:ascii="Times New Roman;serif" w:hAnsi="Times New Roman;serif"/>
          <w:b w:val="false"/>
          <w:color w:val="000000"/>
          <w:sz w:val="24"/>
        </w:rPr>
        <w:t>. The Borrower shall indemnify the Administrative Agent, each Arranger, each Syndication Agent, each Issuing Bank and each Lender, and each Related Party of any of the foregoing Persons (each such Person being called an “</w:t>
      </w:r>
      <w:r>
        <w:rPr>
          <w:rFonts w:ascii="Times New Roman;serif" w:hAnsi="Times New Roman;serif"/>
          <w:b/>
          <w:i/>
          <w:color w:val="000000"/>
          <w:sz w:val="24"/>
        </w:rPr>
        <w:t>Indemnitee</w:t>
      </w:r>
      <w:r>
        <w:rPr>
          <w:color w:val="000000"/>
        </w:rPr>
        <w:t>”</w:t>
      </w:r>
      <w:r>
        <w:rPr>
          <w:rFonts w:ascii="Times New Roman;serif" w:hAnsi="Times New Roman;serif"/>
          <w:b w:val="false"/>
          <w:color w:val="000000"/>
          <w:sz w:val="24"/>
        </w:rPr>
        <w:t xml:space="preserv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or any other transactions contemplated hereby, (iii)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(iv) any actual or alleged presence or release of Hazardous Materials on or from any property owned or operated by the Borrower or any of its Subsidiaries, or any Environmental Liability related in any way to the Borrower or any of its Subsidiaries, or (v) any actual or prospective Proceeding relating to any of the foregoing, whether or not such Proceeding is brought by the Borrower or any other Loan Party or its or their respective equity holders, Affiliates, creditors or any other third Person and whether based on contract, tort or any other theory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indemnity shall not, as to any Indemnitee, be available to the extent that such Liabilities or related expenses are determined by a court of competent jurisdiction by final and nonappealable judgment to have resulted primarily from the gross negligence or willful misconduct of such Indemnitee. This Section 9.03(c) shall not apply with respect to Taxes other than any Taxes that represent losses, claims or damages arising from any non-Tax claim.</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Lender Reimbursement</w:t>
      </w:r>
      <w:r>
        <w:rPr>
          <w:rFonts w:ascii="Times New Roman;serif" w:hAnsi="Times New Roman;serif"/>
          <w:b w:val="false"/>
          <w:color w:val="000000"/>
          <w:sz w:val="24"/>
        </w:rPr>
        <w:t>. Each Lender severally agrees to pay any amount required to be paid by the Borrower under paragraphs (a), (b) or (c) of this Section 9.03 to the Administrative Agent, each Issuing Bank and each Swingline Lender, and each Related Party of any of the foregoing Persons (each, an “</w:t>
      </w:r>
      <w:r>
        <w:rPr>
          <w:rFonts w:ascii="Times New Roman;serif" w:hAnsi="Times New Roman;serif"/>
          <w:b/>
          <w:i/>
          <w:color w:val="000000"/>
          <w:sz w:val="24"/>
        </w:rPr>
        <w:t>Agent Related Person</w:t>
      </w:r>
      <w:r>
        <w:rPr>
          <w:color w:val="000000"/>
        </w:rPr>
        <w:t>”</w:t>
      </w:r>
      <w:r>
        <w:rPr>
          <w:rFonts w:ascii="Times New Roman;serif" w:hAnsi="Times New Roman;serif"/>
          <w:b w:val="false"/>
          <w:color w:val="000000"/>
          <w:sz w:val="24"/>
        </w:rPr>
        <w:t xml:space="preserve">) (to the extent not reimbursed by the Borrower and without limiting the obligation of the Borrower to do so), ratably according to their respective Applicable Percentage in effect on the date on which such payment is sought under this Section (or, if such payment is sought after the date upon which the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 Related Person in any way relating to or arising out of the Commitments, this Agreement, any of the other Loan Documents or any documents contemplated by or referred to herein or therein or the transactions contemplated hereby or thereby or any action taken or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omitted by such Agent Related Person under or in connection with any of the foregoing;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unreimbursed expense or Liability or related expense, as the case may be, was incurred by or asserted against such Agent Related Person in its capacity as such;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no Lender shall be liable for the payment of any portion of such Liabilities, costs, expenses or disbursements that are found by a final and nonappealable decision of a court of competent jurisdiction to have resulted primarily from such Agent Related Party’s gross negligence or willful misconduct. The agreements in this Section shall survive the termination of this Agreement and the payment of the Loans and all other amounts payable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Payments</w:t>
      </w:r>
      <w:r>
        <w:rPr>
          <w:rFonts w:ascii="Times New Roman;serif" w:hAnsi="Times New Roman;serif"/>
          <w:b w:val="false"/>
          <w:color w:val="000000"/>
          <w:sz w:val="24"/>
        </w:rPr>
        <w:t>. All amounts due under this Section 9.03 shall be payable promptly after written demand therefor.</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 (a) The provisions of this Agreement shall be binding upon and inure to the benefit of the parties hereto and their respective successors and assigns permitted hereby (including any Affiliate of an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(i) Subject to the conditions set forth in paragraph (b)(ii) below, any Lender may assign to one or more Persons (other than an Ineligible Institution) all or a portion of its rights and obligations under this Agreement (including all or a portion of its Commitment, participations in Letters of Credit and the Loans at the time owing to it) with the prior written consent (such consent not to be unreasonably withheld) of:</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(A)the Borrower;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Borrower shall be deemed to have consented to an assignment of all or a portion of the Loans or Commitments unless it shall have objected thereto by written notice to the Administrative Agent within ten (10)  Business Days after having received notice thereof,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no consent of the Borrower shall be required for an assignment to a Lender, an Affiliate of a Lender, an Approved Fund or, if an Event of Default has occurred and is continuing, any other assignee;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Administrative Agent shall be required for an assignment of all or any portion of a Term Loan to a Lender, an Affiliate of a Lender or an Approved Fund;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(C)each Issuing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Issuing Banks shall be required for an assignment of all or any portion of a Term Loan;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(D)each Swingline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consent of the Swingline Lenders shall be required for an assignment of all or any portion of a Term Loan.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(i)Assignments shall be subject to the following additional conditions: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(A)except in the case of an assignment to a Lender or an Affiliate of a Lender or an Approved Fund or an assignment of the entire remaining amount of the assigning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5"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(or, in the case of a Term Loan, $500,000) unless each of the Borrower and the Administrative Agent otherwise consent;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consent of the Borrower shall be required if an Event of Default has occurred and is continuing; </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(B)each partial assignment shall be made as an assignment of a proportionate part of all the assigning Lender’s rights and obligations under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this clause shall not be construed to prohibit the assignment of a proportionate part of all the assigning Lender’s rights and obligations in respect of one Class of Commitments or Loans;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such fee to be paid by either the assigning Lender or the assignee Lender or shared between such Lenders;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 the Loan Parties and their related parties or their respective securities) will be made available and who may receive such information in accordance with the assignee’s compliance procedures and applicable laws, including Federal and state securities laws.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For the purposes of this Section 9.04(b), the terms “</w:t>
      </w:r>
      <w:r>
        <w:rPr>
          <w:rFonts w:ascii="Times New Roman;serif" w:hAnsi="Times New Roman;serif"/>
          <w:b/>
          <w:i/>
          <w:color w:val="000000"/>
          <w:sz w:val="24"/>
        </w:rPr>
        <w:t>Approved Fund</w:t>
      </w:r>
      <w:r>
        <w:rPr>
          <w:color w:val="000000"/>
        </w:rPr>
        <w:t xml:space="preserve">” </w:t>
      </w:r>
      <w:r>
        <w:rPr>
          <w:rFonts w:ascii="Times New Roman;serif" w:hAnsi="Times New Roman;serif"/>
          <w:b w:val="false"/>
          <w:color w:val="000000"/>
          <w:sz w:val="24"/>
        </w:rPr>
        <w:t>and “</w:t>
      </w:r>
      <w:r>
        <w:rPr>
          <w:rFonts w:ascii="Times New Roman;serif" w:hAnsi="Times New Roman;serif"/>
          <w:b/>
          <w:i/>
          <w:color w:val="000000"/>
          <w:sz w:val="24"/>
        </w:rPr>
        <w:t>Ineligible Institution</w:t>
      </w:r>
      <w:r>
        <w:rPr>
          <w:color w:val="000000"/>
        </w:rPr>
        <w:t xml:space="preserve">” </w:t>
      </w:r>
      <w:r>
        <w:rPr>
          <w:rFonts w:ascii="Times New Roman;serif" w:hAnsi="Times New Roman;serif"/>
          <w:b w:val="false"/>
          <w:color w:val="000000"/>
          <w:sz w:val="24"/>
        </w:rPr>
        <w:t>have the following meanings:</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4"/>
        </w:rPr>
        <w:t>Approved Fund</w:t>
      </w:r>
      <w:r>
        <w:rPr>
          <w:color w:val="000000"/>
        </w:rPr>
        <w:t xml:space="preserve">” </w:t>
      </w:r>
      <w:r>
        <w:rPr>
          <w:rFonts w:ascii="Times New Roman;serif" w:hAnsi="Times New Roman;serif"/>
          <w:b w:val="false"/>
          <w:color w:val="000000"/>
          <w:sz w:val="24"/>
        </w:rPr>
        <w:t>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1440"/>
        <w:jc w:val="both"/>
        <w:rPr/>
      </w:pPr>
      <w:r>
        <w:rPr>
          <w:color w:val="000000"/>
        </w:rPr>
        <w:t>“</w:t>
      </w:r>
      <w:r>
        <w:rPr>
          <w:rFonts w:ascii="Times New Roman;serif" w:hAnsi="Times New Roman;serif"/>
          <w:b/>
          <w:i/>
          <w:color w:val="000000"/>
          <w:sz w:val="24"/>
        </w:rPr>
        <w:t>Ineligible Institution</w:t>
      </w:r>
      <w:r>
        <w:rPr>
          <w:color w:val="000000"/>
        </w:rPr>
        <w:t xml:space="preserve">” </w:t>
      </w:r>
      <w:r>
        <w:rPr>
          <w:rFonts w:ascii="Times New Roman;serif" w:hAnsi="Times New Roman;serif"/>
          <w:b w:val="false"/>
          <w:color w:val="000000"/>
          <w:sz w:val="24"/>
        </w:rPr>
        <w:t xml:space="preserve">means (a) a natural person, (b) a Defaulting Lender or its Lender Parent, (c) a holding company, investment vehicle or trust for, or owned and operated for the primary benefit of, a natural person or relative(s) thereof or (d) the Borrower, any of its Subsidiaries or any of its Affiliates;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with respect to clause (c), such holding company, investment vehicle or trust shall not constitute an Ineligible Institution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6"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Times New Roman;serif" w:hAnsi="Times New Roman;serif"/>
          <w:b/>
          <w:i/>
          <w:color w:val="000000"/>
          <w:sz w:val="24"/>
        </w:rPr>
        <w:t>Register</w:t>
      </w:r>
      <w:r>
        <w:rPr>
          <w:color w:val="000000"/>
        </w:rPr>
        <w:t>”</w:t>
      </w:r>
      <w:r>
        <w:rPr>
          <w:rFonts w:ascii="Times New Roman;serif" w:hAnsi="Times New Roman;serif"/>
          <w:b w:val="false"/>
          <w:color w:val="000000"/>
          <w:sz w:val="24"/>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(iv)Upon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either the assigning Lender or the assignee shall have failed to make any payment required to be made by it pursuant to Section 2.05(c),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Any Lender may, without the consent of, or notice to, the Borrower, the Administrative Agent, the Issuing Banks or the Swingline Lenders, sell participations to one or more banks or other entities (a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xml:space="preserve">), other than an Ineligible Institution, in all or a portion of such Lender’s rights and/or obligations under this Agreement (including all or a portion of its Commitment and/or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7"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to any amendment, modification or waiver described in the first proviso to Section 9.02(b) that affects such Participant. The Borrower agrees that each Participant shall be entitled to the benefits of Sections 2.15, 2.16 and 2.17 (subject to the requirements and limitations therein, including the requirements under Sections 2.17(f) (it being understood that the documentation required under Section 2.17(f) shall be delivered to the participating Lender and the information)) to the same extent as if it were a Lender and had acquired its interest by assignment pursuant to paragraph (b) of this Section;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Section 2.19(b) with respect to any Participant. To the extent permitted by law, each Participant also shall be entitled to the benefits of Section 9.08 as though it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Participant agrees to be subject to Section 2.18(d)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i/>
          <w:color w:val="000000"/>
          <w:sz w:val="24"/>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of a security interest shall release a Lender from any of its obligations hereunder or substitute any such pledgee or assignee for such Lender as a party hereto.</w:t>
      </w:r>
    </w:p>
    <w:p>
      <w:pPr>
        <w:pStyle w:val="TextBody"/>
        <w:bidi w:val="0"/>
        <w:spacing w:lineRule="auto" w:line="240"/>
        <w:ind w:left="0" w:right="0" w:firstLine="720"/>
        <w:jc w:val="both"/>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All covenants, agreements, representations and warranties made by the Loan Parties in the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8"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any accrued interest on any Loan or any fee or any other amount payable under this Agreement or any other Loan Document is outstanding and unpaid or any Letter of Credit is outstanding and so long as the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9.06.</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w:t>
      </w:r>
      <w:r>
        <w:rPr>
          <w:rFonts w:ascii="Times New Roman;serif" w:hAnsi="Times New Roman;serif"/>
          <w:b/>
          <w:i/>
          <w:color w:val="000000"/>
          <w:sz w:val="24"/>
        </w:rPr>
        <w:t>Ancillary Document</w:t>
      </w:r>
      <w:r>
        <w:rPr>
          <w:color w:val="000000"/>
        </w:rPr>
        <w:t>”</w:t>
      </w:r>
      <w:r>
        <w:rPr>
          <w:rFonts w:ascii="Times New Roman;serif" w:hAnsi="Times New Roman;serif"/>
          <w:b w:val="false"/>
          <w:color w:val="000000"/>
          <w:sz w:val="24"/>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provided that nothing herein shall require the Administrative Agent to accept Electronic Signatures in any form or format without its prior written consent and pursuant to procedures approved by it; provided, further,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(i)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(ii) the Administrative Agent and each of the Lenders may, at its option, create one or more copies of this Agreement, any other Loan Document and/or any Ancillary Document in the form of an imaged electronic record in any format, which shall be deemed created in the ordinary course of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9.07.</w:t>
      </w:r>
      <w:r>
        <w:rPr>
          <w:rFonts w:ascii="Times New Roman;serif" w:hAnsi="Times New Roman;serif"/>
          <w:b w:val="false"/>
          <w:color w:val="000000"/>
          <w:sz w:val="24"/>
          <w:u w:val="single"/>
        </w:rPr>
        <w:t>Severability</w:t>
      </w:r>
      <w:r>
        <w:rPr>
          <w:rFonts w:ascii="Times New Roman;serif" w:hAnsi="Times New Roman;serif"/>
          <w:b w:val="false"/>
          <w:color w:val="000000"/>
          <w:sz w:val="24"/>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9.08.</w:t>
      </w:r>
      <w:r>
        <w:rPr>
          <w:rFonts w:ascii="Times New Roman;serif" w:hAnsi="Times New Roman;serif"/>
          <w:b w:val="false"/>
          <w:color w:val="000000"/>
          <w:sz w:val="24"/>
          <w:u w:val="single"/>
        </w:rPr>
        <w:t>Right of Setoff</w:t>
      </w:r>
      <w:r>
        <w:rPr>
          <w:rFonts w:ascii="Times New Roman;serif" w:hAnsi="Times New Roman;serif"/>
          <w:b w:val="false"/>
          <w:color w:val="000000"/>
          <w:sz w:val="24"/>
        </w:rPr>
        <w:t xml:space="preserve">. If an Event of Default shall have occurred and be continuing, each Lender, each Issuing Bank, and each of their respective Affiliates is hereby authorized at any time and from time to time, to the fullest extent permitted by law, to setoff and apply any and all deposits (general or special, time or demand, provisional or final and in whatever currency denominated) at any time held, and other obligations at any time owing, by such Lender, such Issuing Bank or any such Affiliate, to or for the credit or the account of the Borrower or any Subsidiary Guarantor against any and all of the Secured Obligations now or hereafter existing under this Agreement or any other Loan Document to such Lender or such Issuing Bank or their respective Affiliates, irrespective of whether or not such Lender, Issuing Bank or Affiliate shall have made any demand under this Agreement or any other Loan Document and although such obligations may be contingent or unmatured or are owed to a branch office or Affiliate of such Lender or such Issuing Bank different from the branch office or Affiliate holding such deposit or obligated on such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Defaulting Lender shall exercise any such right of setoff, (x) all amounts so setoff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Banks, and the Lenders, and (y) the Defaulting Lender shall provide promptly to the Administrative Agent a statement describing in reasonable detail the Obligations owing to such Defaulting Lender as to which it exercised such right of setoff. The rights of each Lender, each Issuing Bank and their respective Affiliates under this Section are in addition to other rights and remedies (including other rights of setoff) that such Lender, such Issuing Bank or their respective Affiliates may have. Each Lender and Issuing Bank agrees to notify the Borrower and the Administrative Agent promptly after any such setoff and application;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failure to give such notice shall not affect the validity of such setoff and application.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9.09.</w:t>
      </w:r>
      <w:r>
        <w:rPr>
          <w:rFonts w:ascii="Times New Roman;serif" w:hAnsi="Times New Roman;serif"/>
          <w:b w:val="false"/>
          <w:color w:val="000000"/>
          <w:sz w:val="24"/>
          <w:u w:val="single"/>
        </w:rPr>
        <w:t>Governing Law; Jurisdiction; Consent to Service of Process</w:t>
      </w:r>
      <w:r>
        <w:rPr>
          <w:rFonts w:ascii="Times New Roman;serif" w:hAnsi="Times New Roman;serif"/>
          <w:b w:val="false"/>
          <w:color w:val="000000"/>
          <w:sz w:val="24"/>
        </w:rPr>
        <w:t>. (a) This Agreement and the other Loan Documents shall be construed in accordance with and governed by the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Lenders and the Administrative Agent hereby irrevocably and unconditionally agrees that, notwithstanding the governing law provisions of any applicable Loan Document, any claims brought against the Administrative Agent by any Lender or Secured Party relating to this Agreement, any other Loan Document, the Collateral or the consummation or administration of the transactions contemplated hereby or thereby shall be construed in accordance with and governed by the law of the State of New York.</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of the parties hereto hereby irrevocably and unconditionally submits, for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any Issuing Bank or any Lender may otherwise have to bring any action or proceeding relating to this Agreement against the Borrower, any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bank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Each of the parties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pStyle w:val="TextBody"/>
        <w:bidi w:val="0"/>
        <w:spacing w:lineRule="auto" w:line="240"/>
        <w:ind w:left="0" w:right="0" w:firstLine="720"/>
        <w:jc w:val="both"/>
        <w:rPr/>
      </w:pPr>
      <w:r>
        <w:rPr>
          <w:rFonts w:ascii="Times New Roman;serif" w:hAnsi="Times New Roman;serif"/>
          <w:b w:val="false"/>
          <w:color w:val="000000"/>
          <w:sz w:val="24"/>
        </w:rPr>
        <w:t>Section 9.10.</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133</w:t>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9.11.</w:t>
      </w:r>
      <w:r>
        <w:rPr>
          <w:rFonts w:ascii="Times New Roman;serif" w:hAnsi="Times New Roman;serif"/>
          <w:b w:val="false"/>
          <w:color w:val="000000"/>
          <w:sz w:val="24"/>
          <w:u w:val="single"/>
        </w:rPr>
        <w:t>Headings</w:t>
      </w:r>
      <w:r>
        <w:rPr>
          <w:rFonts w:ascii="Times New Roman;serif" w:hAnsi="Times New Roman;serif"/>
          <w:b w:val="false"/>
          <w:color w:val="000000"/>
          <w:sz w:val="24"/>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9.12.</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Each of the Administrative Agent, the Issuing Banks and the Lenders agrees to maintain the confidentiality of the Information (as defined below), except that Information may be disclosed (a) to its Affiliates and its and their respective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(1) any rating agency in connection with rating the Borrower or its Subsidiaries or the credit facilities provided for herein or (2) the CUSIP Service Bureau or any similar agency in connection with the issuance and monitoring of identification numbers with respect to the credit facilities provided for herein, (h) with the consent of the Borrower or (i) to the extent such Information (i) becomes publicly available other than as a result of a breach of this Section or (ii) becomes available to the Administrative Agent, any Issuing Bank or any Lender on a non-confidential basis from a source other than the Borrower. For the purposes of this Section, “</w:t>
      </w:r>
      <w:r>
        <w:rPr>
          <w:rFonts w:ascii="Times New Roman;serif" w:hAnsi="Times New Roman;serif"/>
          <w:b/>
          <w:i/>
          <w:color w:val="000000"/>
          <w:sz w:val="24"/>
        </w:rPr>
        <w:t>Information</w:t>
      </w:r>
      <w:r>
        <w:rPr>
          <w:color w:val="000000"/>
        </w:rPr>
        <w:t xml:space="preserve">” </w:t>
      </w:r>
      <w:r>
        <w:rPr>
          <w:rFonts w:ascii="Times New Roman;serif" w:hAnsi="Times New Roman;serif"/>
          <w:b w:val="false"/>
          <w:color w:val="000000"/>
          <w:sz w:val="24"/>
        </w:rPr>
        <w:t xml:space="preserve">means all information received from the Borrower relating to the Borrower or its business, other than any such information that is available to the Administrative Agent, any Issuing Bank or any Lender on a non-confidential basis prior to disclosure by the Borrower and other than information pertaining to this Agreement routinely provided by arrangers to data service providers, including league table providers, that serve the lending industry;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Borrower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9.13.</w:t>
      </w:r>
      <w:r>
        <w:rPr>
          <w:rFonts w:ascii="Times New Roman;serif" w:hAnsi="Times New Roman;serif"/>
          <w:b w:val="false"/>
          <w:color w:val="000000"/>
          <w:sz w:val="24"/>
          <w:u w:val="single"/>
        </w:rPr>
        <w:t>Material Non-Public Information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ACKNOWLEDGES THAT INFORMATION AS DEFINED IN SECTION 9.12 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9.14.</w:t>
      </w:r>
      <w:r>
        <w:rPr>
          <w:rFonts w:ascii="Times New Roman;serif" w:hAnsi="Times New Roman;serif"/>
          <w:b w:val="false"/>
          <w:color w:val="000000"/>
          <w:sz w:val="24"/>
          <w:u w:val="single"/>
        </w:rPr>
        <w:t>Interest Rate Limitation</w:t>
      </w:r>
      <w:r>
        <w:rPr>
          <w:rFonts w:ascii="Times New Roman;serif" w:hAnsi="Times New Roman;serif"/>
          <w:b w:val="false"/>
          <w:color w:val="000000"/>
          <w:sz w:val="24"/>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erif" w:hAnsi="Times New Roman;serif"/>
          <w:b/>
          <w:i/>
          <w:color w:val="000000"/>
          <w:sz w:val="24"/>
        </w:rPr>
        <w:t>Charges</w:t>
      </w:r>
      <w:r>
        <w:rPr>
          <w:color w:val="000000"/>
        </w:rPr>
        <w:t>”</w:t>
      </w:r>
      <w:r>
        <w:rPr>
          <w:rFonts w:ascii="Times New Roman;serif" w:hAnsi="Times New Roman;serif"/>
          <w:b w:val="false"/>
          <w:color w:val="000000"/>
          <w:sz w:val="24"/>
        </w:rPr>
        <w:t>), shall exceed the maximum lawful rate (the “</w:t>
      </w:r>
      <w:r>
        <w:rPr>
          <w:rFonts w:ascii="Times New Roman;serif" w:hAnsi="Times New Roman;serif"/>
          <w:b/>
          <w:i/>
          <w:color w:val="000000"/>
          <w:sz w:val="24"/>
        </w:rPr>
        <w:t>Maximum Rate</w:t>
      </w:r>
      <w:r>
        <w:rPr>
          <w:color w:val="000000"/>
        </w:rPr>
        <w:t>”</w:t>
      </w:r>
      <w:r>
        <w:rPr>
          <w:rFonts w:ascii="Times New Roman;serif" w:hAnsi="Times New Roman;serif"/>
          <w:b w:val="false"/>
          <w:color w:val="000000"/>
          <w:sz w:val="24"/>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r>
        <w:rPr>
          <w:rFonts w:ascii="Times New Roman;serif" w:hAnsi="Times New Roman;serif"/>
          <w:b/>
          <w:color w:val="000000"/>
          <w:sz w:val="24"/>
          <w:u w:val="single"/>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9.15.</w:t>
      </w:r>
      <w:r>
        <w:rPr>
          <w:rFonts w:ascii="Times New Roman;serif" w:hAnsi="Times New Roman;serif"/>
          <w:b w:val="false"/>
          <w:color w:val="000000"/>
          <w:sz w:val="24"/>
          <w:u w:val="single"/>
        </w:rPr>
        <w:t>No Fiduciary Duty, etc</w:t>
      </w:r>
      <w:r>
        <w:rPr>
          <w:rFonts w:ascii="Times New Roman;serif" w:hAnsi="Times New Roman;serif"/>
          <w:b w:val="false"/>
          <w:color w:val="000000"/>
          <w:sz w:val="24"/>
        </w:rPr>
        <w:t>. (a)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or its Subsidiaries may have conflicting interests regarding the transactions described herein and otherwise. No Credit Party will use confidential information obtained from the Borrower by virtue of the transactions contemplated by the Loan Documents or its other relationships with the Borrower or its Subsidiaries in connection with the performance by such Credit Party of services for other companies, and no Credit Party will furnish any such information to other companies. The Borrower also acknowledges that no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Credit Party has any obligation to use in connection with the transactions contemplated by the Loan Documents, or to furnish to the Borrower, confidential information obtained from other companies.</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9.16.</w:t>
      </w:r>
      <w:r>
        <w:rPr>
          <w:rFonts w:ascii="Times New Roman;serif" w:hAnsi="Times New Roman;serif"/>
          <w:b w:val="false"/>
          <w:color w:val="000000"/>
          <w:sz w:val="24"/>
          <w:u w:val="single"/>
        </w:rPr>
        <w:t>USA PATRIOT Act</w:t>
      </w:r>
      <w:r>
        <w:rPr>
          <w:rFonts w:ascii="Times New Roman;serif" w:hAnsi="Times New Roman;serif"/>
          <w:b w:val="false"/>
          <w:color w:val="000000"/>
          <w:sz w:val="24"/>
        </w:rPr>
        <w:t>. Each Lender that is subject to the requirements of the USA PATRIOT Act of 2001 (the “</w:t>
      </w:r>
      <w:r>
        <w:rPr>
          <w:rFonts w:ascii="Times New Roman;serif" w:hAnsi="Times New Roman;serif"/>
          <w:b/>
          <w:i/>
          <w:color w:val="000000"/>
          <w:sz w:val="24"/>
        </w:rPr>
        <w:t>Patriot Act</w:t>
      </w:r>
      <w:r>
        <w:rPr>
          <w:color w:val="000000"/>
        </w:rPr>
        <w:t>”</w:t>
      </w:r>
      <w:r>
        <w:rPr>
          <w:rFonts w:ascii="Times New Roman;serif" w:hAnsi="Times New Roman;serif"/>
          <w:b w:val="false"/>
          <w:color w:val="000000"/>
          <w:sz w:val="24"/>
        </w:rPr>
        <w: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9.17.</w:t>
      </w:r>
      <w:r>
        <w:rPr>
          <w:rFonts w:ascii="Times New Roman;serif" w:hAnsi="Times New Roman;serif"/>
          <w:b w:val="false"/>
          <w:color w:val="000000"/>
          <w:sz w:val="24"/>
          <w:u w:val="single"/>
        </w:rPr>
        <w:t>Acknowledgment and Consent to Bail-In of Affected Financial Institutions</w:t>
      </w:r>
      <w:r>
        <w:rPr>
          <w:rFonts w:ascii="Times New Roman;serif" w:hAnsi="Times New Roman;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9.18.</w:t>
      </w:r>
      <w:r>
        <w:rPr>
          <w:rFonts w:ascii="Times New Roman;serif" w:hAnsi="Times New Roman;serif"/>
          <w:b w:val="false"/>
          <w:color w:val="000000"/>
          <w:sz w:val="24"/>
          <w:u w:val="single"/>
        </w:rPr>
        <w:t>Acknowledgment Regarding Any Supported QFCs</w:t>
      </w:r>
      <w:r>
        <w:rPr>
          <w:rFonts w:ascii="Times New Roman;serif" w:hAnsi="Times New Roman;serif"/>
          <w:b w:val="false"/>
          <w:color w:val="000000"/>
          <w:sz w:val="24"/>
        </w:rPr>
        <w:t>. To the extent that the Loan Documents provide support, through a guarantee or otherwise, for Swap Agreements or any other agreement or instrument that is a QFC (such support “</w:t>
      </w:r>
      <w:r>
        <w:rPr>
          <w:rFonts w:ascii="Times New Roman;serif" w:hAnsi="Times New Roman;serif"/>
          <w:b/>
          <w:i/>
          <w:color w:val="000000"/>
          <w:sz w:val="24"/>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i/>
          <w:color w:val="000000"/>
          <w:sz w:val="24"/>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i/>
          <w:color w:val="000000"/>
          <w:sz w:val="24"/>
        </w:rPr>
        <w:t>U.S. Special Resolution Regimes</w:t>
      </w:r>
      <w:r>
        <w:rPr>
          <w:color w:val="000000"/>
        </w:rPr>
        <w:t>”</w:t>
      </w:r>
      <w:r>
        <w:rPr>
          <w:rFonts w:ascii="Times New Roman;serif" w:hAnsi="Times New Roman;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the event a Covered Entity that is party to a Supported QFC (each, a “</w:t>
      </w:r>
      <w:r>
        <w:rPr>
          <w:rFonts w:ascii="Times New Roman;serif" w:hAnsi="Times New Roman;serif"/>
          <w:b/>
          <w:i/>
          <w:color w:val="000000"/>
          <w:sz w:val="24"/>
        </w:rPr>
        <w:t>Covered Party</w:t>
      </w:r>
      <w:r>
        <w:rPr>
          <w:color w:val="000000"/>
        </w:rPr>
        <w:t>”</w:t>
      </w:r>
      <w:r>
        <w:rPr>
          <w:rFonts w:ascii="Times New Roman;serif" w:hAnsi="Times New Roman;serif"/>
          <w:b w:val="false"/>
          <w:color w:val="000000"/>
          <w:sz w:val="24"/>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0"/>
        <w:ind w:left="0" w:right="0" w:firstLine="720"/>
        <w:jc w:val="both"/>
        <w:rPr/>
      </w:pPr>
      <w:r>
        <w:rPr>
          <w:rFonts w:ascii="Times New Roman;serif" w:hAnsi="Times New Roman;serif"/>
          <w:b w:val="false"/>
          <w:color w:val="000000"/>
          <w:sz w:val="24"/>
        </w:rPr>
        <w:t>Section 9.19.</w:t>
      </w:r>
      <w:r>
        <w:rPr>
          <w:rFonts w:ascii="Times New Roman;serif" w:hAnsi="Times New Roman;serif"/>
          <w:b w:val="false"/>
          <w:color w:val="000000"/>
          <w:sz w:val="24"/>
          <w:u w:val="single"/>
        </w:rPr>
        <w:t>Releases of Subsidiary Guarantors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 Subsidiary Guarantor shall automatically be released from its obligations under the Subsidiary Guaranty upon the consummation of any transaction permitted by this Agreement as a result of which such Subsidiary Guarantor ceases to be a Subsidiary;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Further, the Administrative Agent may (and is hereby irrevocably authorized by each Lender to), upon the request of the Borrower, release any Subsidiary Guarantor from its obligations under the Subsidiary Guaranty if such Subsidiary Guarantor is no longer a Material Domestic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At such time as the principal and interest on the Loans, all LC Disbursements, the fees, expenses and other amounts payable under the Loan Documents and the other Secured Obligations (other than Swap Obligations, Banking Services Obligations, and other Obligations expressly stated to survive such payment and termination) shall have been paid in full in cash, the Commitments shall have been terminated and no Letters of Credit shall be outstanding (or such Letters of Credit shall have been cash collateralized or otherwise supported in a manner acceptable to the applicable Issuing Bank), the Subsidiary Guaranty and all obligations (other than those expressly stated to survive such termination) of each Subsidiary Guarantor thereunder shall automatically terminate, all without delivery of any instrument or performance of any act by any Person.</w:t>
      </w:r>
    </w:p>
    <w:p>
      <w:pPr>
        <w:pStyle w:val="TextBody"/>
        <w:bidi w:val="0"/>
        <w:spacing w:lineRule="auto" w:line="240"/>
        <w:ind w:left="0" w:right="0" w:firstLine="720"/>
        <w:jc w:val="both"/>
        <w:rPr/>
      </w:pPr>
      <w:r>
        <w:rPr>
          <w:rFonts w:ascii="Times New Roman;serif" w:hAnsi="Times New Roman;serif"/>
          <w:b w:val="false"/>
          <w:color w:val="000000"/>
          <w:sz w:val="24"/>
        </w:rPr>
        <w:t>Section 9.20.</w:t>
      </w:r>
      <w:r>
        <w:rPr>
          <w:rFonts w:ascii="Times New Roman;serif" w:hAnsi="Times New Roman;serif"/>
          <w:b w:val="false"/>
          <w:color w:val="000000"/>
          <w:sz w:val="24"/>
          <w:u w:val="single"/>
        </w:rPr>
        <w:t>Appointment for Perfection</w:t>
      </w:r>
      <w:r>
        <w:rPr>
          <w:rFonts w:ascii="Times New Roman;serif" w:hAnsi="Times New Roman;serif"/>
          <w:b w:val="false"/>
          <w:color w:val="000000"/>
          <w:sz w:val="24"/>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137</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val="false"/>
          <w:color w:val="000000"/>
          <w:sz w:val="24"/>
        </w:rPr>
        <w:t>Article X</w:t>
      </w:r>
      <w:r>
        <w:rPr>
          <w:rFonts w:ascii="Times New Roman;serif" w:hAnsi="Times New Roman;serif"/>
          <w:b w:val="false"/>
          <w:color w:val="000000"/>
          <w:sz w:val="24"/>
          <w:u w:val="single"/>
        </w:rPr>
        <w:br/>
        <w:br/>
        <w:t>Borrower Guarantee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order to induce the Lenders to extend credit to the Borrower hereunder and for other good and valuable consideration (the receipt and sufficiency of which are hereby acknowledged), the Borrower hereby absolutely and irrevocably and unconditionally guarantees, as a primary obligor and not merely as a surety, the payment when and as due of the Specified Ancillary Obligations of the Subsidiaries. The Borrower further agrees that the due and punctual payment of such Specified Ancillary Obligations may be extended or renewed, in whole or in part, without notice to or further assent from it, and that it will remain bound upon its guarantee hereunder notwithstanding any such extension or renewal of any such Specified Ancillary Obligation.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waives presentment to, demand of payment from and protest to any Subsidiary of any of the Specified Ancillary Obligations, and also waives notice of acceptance of its obligations and notice of protest for nonpayment. The obligations of the Borrower hereunder shall not be affected by (a) the failure of any applicable Lender (or any of its Affiliates) to assert any claim or demand or to enforce any right or remedy against any Subsidiary under the provisions of any Banking Services Agreement, any Swap Agreement or otherwise; (b) any extension or renewal of any of the Specified Ancillary Obligations; (c) any rescission, waiver, amendment or modification of, or release from, any of the terms or provisions of this Agreement, any other Loan Document, any Banking Services Agreement, any Swap Agreement or other agreement; (d) any default, failure or delay, willful or otherwise, in the performance of any of the Specified Ancillary Obligations; (e) the failure of any applicable Lender (or any of its Affiliates) to take any steps to perfect and maintain any security interest in, or to preserve any rights to, any security or collateral for the Specified Ancillary Obligations, if any; (f) any change in the corporate, partnership or other existence, structure or ownership of any Subsidiary or any other guarantor of any of the Specified Ancillary Obligations; (g) the enforceability or validity of the Specified Ancillary Obligations or any part thereof or the genuineness, enforceability or validity of any agreement relating thereto or with respect to any collateral securing the Specified Ancillary Obligations or any part thereof, or any other invalidity or unenforceability relating to or against any Subsidiary or any other guarantor of any of the Specified Ancillary Obligations, for any reason related to this Agreement, any other Loan Document, any Banking Services Agreement, any Swap Agreement, or any provision of applicable law, decree, order or regulation of any jurisdiction purporting to prohibit the payment by such Subsidiary or any other guarantor of the Specified Ancillary Obligations, of any of the Specified Ancillary Obligations or otherwise affecting any term of any of the Specified Ancillary Obligations; or (h) any other act, omission or delay to do any other act which may or might in any manner or to any extent vary the risk of the Borrower or otherwise operate as a discharge of a guarantor as a matter of law or equity or which would impair or eliminate any right of the Borrower to subrogation.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Borrower further agrees that its agreement hereunder constitutes a guarantee of payment when due (whether or not any bankruptcy or similar proceeding shall have stayed the accrual or collection of any of the Specified Ancillary Obligations or operated as a discharge thereof) and not merely of collection, and waives any right to require that any resort be had by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applicable Lender (or any of its Affiliates) to any balance of any deposit account or credit on the books of the Administrative Agent, the Issuing Bank or any Lender in favor of any Subsidiary or any other Person.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obligations of the Borrower hereunder shall not be subject to any reduction, limitation, impairment or termination for any reason, and shall not be subject to any defense or set-off, counterclaim, recoupment or termination whatsoever, by reason of the invalidity, illegality or unenforceability of any of the Specified Ancillary Obligations, any impossibility in the performance of any of the Specified Ancillary Obligations or otherwise.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further agrees that its obligations hereunder shall constitute a continuing and irrevocable guarantee of all Specified Ancillary Obligations now or hereafter existing and shall continue to be effective or be reinstated, as the case may be, if at any time payment, or any part thereof, of any Specified Ancillary Obligation (including a payment effected through exercise of a right of setoff) is rescinded, or is or must otherwise be restored or returned by any applicable Lender (or any of its Affiliates) upon the insolvency, bankruptcy or reorganization of any Subsidiary or otherwise (including pursuant to any settlement entered into by a holder of Specified Ancillary Obligations in its discretion).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furtherance of the foregoing and not in limitation of any other right which any applicable Lender (or any of its Affiliates) may have at law or in equity against the Borrower by virtue hereof, upon the failure of any Subsidiary to pay any Specified Ancillary Obligation when and as the same shall become due, whether at maturity, by acceleration, after notice of prepayment or otherwise, the Borrower hereby promises to and will, upon receipt of written demand by any applicable Lender (or any of its Affiliates), forthwith pay, or cause to be paid, to such applicable Lender (or any of its Affiliates) in cash an amount equal to the unpaid principal amount of such Specified Ancillary Obligations then due, together with accrued and unpaid interest thereon. The Borrower further agrees that if payment in respect of any Specified Ancillary Obligation shall be due in a currency other than Dollars and/or at a place of payment other than New York, Chicago or any other Eurocurrency Payment Office and if, by reason of any Change in Law, disruption of currency or foreign exchange markets, war or civil disturbance or other event, payment of such Specified Ancillary Obligation in such currency or at such place of payment shall be impossible or, in the reasonable judgment of any applicable Lender (or any of its Affiliates), disadvantageous to such applicable Lender (or any of its Affiliates) in any material respect, then, at the election of such applicable Lender, the Borrower shall make payment of such Specified Ancillary Obligation in Dollars (based upon the applicable Equivalent Amount in effect on the date of payment) and/or in New York, Chicago or such other Eurocurrency Payment Office as is designated by such applicable Lender (or its Affiliate) and, as a separate and independent obligation, shall indemnify such applicable Lender (and any of its Affiliates) against any losses or reasonable out-of-pocket expenses that it shall sustain as a result of such alternative payment.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Upon payment by the Borrower of any sums as provided above, all rights of the Borrower against any Subsidiary arising as a result thereof by way of right of subrogation or otherwise shall in all respects be subordinated and junior in right of payment to the prior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7"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indefeasible payment in full in cash of all the Specified Ancillary Obligations owed by such Subsidiary to the applicable Lender (or its applicable Affiliates).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Nothing shall discharge or satisfy the liability of the Borrower hereunder except the full performance and payment in cash of the Secured Obligations.</w:t>
      </w:r>
    </w:p>
    <w:p>
      <w:pPr>
        <w:pStyle w:val="TextBody"/>
        <w:bidi w:val="0"/>
        <w:spacing w:lineRule="auto" w:line="288"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br/>
        <w:t>[Signature Pages on File with Administrative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8"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140</w:t>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RULE 13A-14(a) OF THE SECURITIES</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Natalia Shuman-Fabbri,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Mistras Group, Inc.;</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3879" w:type="dxa"/>
        <w:jc w:val="left"/>
        <w:tblInd w:w="0" w:type="dxa"/>
        <w:tblLayout w:type="fixed"/>
        <w:tblCellMar>
          <w:top w:w="28" w:type="dxa"/>
          <w:left w:w="28" w:type="dxa"/>
          <w:bottom w:w="28" w:type="dxa"/>
          <w:right w:w="28" w:type="dxa"/>
        </w:tblCellMar>
      </w:tblPr>
      <w:tblGrid>
        <w:gridCol w:w="124"/>
        <w:gridCol w:w="109"/>
        <w:gridCol w:w="109"/>
        <w:gridCol w:w="1054"/>
        <w:gridCol w:w="1054"/>
        <w:gridCol w:w="10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Natalia Shuman-Fabbri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Natalia Shuman-Fabbri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9"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00" w:after="100"/>
        <w:jc w:val="right"/>
        <w:rPr/>
      </w:pPr>
      <w:r>
        <w:rPr/>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 PURSUANT TO RULE 13A-14(a) OF THE SECURITIES</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EXCHANGE ACT OF 1934</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Edward J. Prajzner,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10-Q of Mistras Group, Inc.;</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5487" w:type="dxa"/>
        <w:jc w:val="left"/>
        <w:tblInd w:w="0" w:type="dxa"/>
        <w:tblLayout w:type="fixed"/>
        <w:tblCellMar>
          <w:top w:w="28" w:type="dxa"/>
          <w:left w:w="28" w:type="dxa"/>
          <w:bottom w:w="28" w:type="dxa"/>
          <w:right w:w="28" w:type="dxa"/>
        </w:tblCellMar>
      </w:tblPr>
      <w:tblGrid>
        <w:gridCol w:w="124"/>
        <w:gridCol w:w="109"/>
        <w:gridCol w:w="109"/>
        <w:gridCol w:w="1504"/>
        <w:gridCol w:w="1504"/>
        <w:gridCol w:w="2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90"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SECTION 906 OF THE SARBANES-OXLEY ACT OF 2002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June 30, 2026 (the “Report”), fully complies with the requirements of Section 13(a) or 15(d)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Dated: August 10, 2026 </w:t>
      </w:r>
    </w:p>
    <w:tbl>
      <w:tblPr>
        <w:tblW w:w="5486" w:type="dxa"/>
        <w:jc w:val="center"/>
        <w:tblInd w:w="0" w:type="dxa"/>
        <w:tblLayout w:type="fixed"/>
        <w:tblCellMar>
          <w:top w:w="28" w:type="dxa"/>
          <w:left w:w="28" w:type="dxa"/>
          <w:bottom w:w="28" w:type="dxa"/>
          <w:right w:w="28" w:type="dxa"/>
        </w:tblCellMar>
      </w:tblPr>
      <w:tblGrid>
        <w:gridCol w:w="124"/>
        <w:gridCol w:w="109"/>
        <w:gridCol w:w="109"/>
        <w:gridCol w:w="1506"/>
        <w:gridCol w:w="1506"/>
        <w:gridCol w:w="21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Natalia Shuman-Fabbri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Natalia Shuman-Fabbri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J. Prajzner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1"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104410</Words>
  <Characters>558863</Characters>
  <CharactersWithSpaces>661852</CharactersWithSpaces>
  <Paragraphs>4383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