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740" w:right="1880" w:hanging="3637"/>
        <w:spacing w:after="0" w:line="516"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2, 2018, the registrant had 28,543,235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5"/>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(unaudited) and December 31, 2017</w:t>
              </w:r>
            </w:hyperlink>
          </w:p>
        </w:tc>
        <w:tc>
          <w:tcPr>
            <w:tcW w:w="16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Income (Loss) for the three and nine months ended September 30, 2018</w:t>
              </w:r>
            </w:hyperlink>
          </w:p>
        </w:tc>
        <w:tc>
          <w:tcPr>
            <w:tcW w:w="2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September 30, 2017</w:t>
              </w:r>
            </w:hyperlink>
          </w:p>
        </w:tc>
        <w:tc>
          <w:tcPr>
            <w:tcW w:w="7340" w:type="dxa"/>
            <w:vAlign w:val="bottom"/>
            <w:gridSpan w:val="1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Income (Loss) for the three and nine months ended</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September 30, 2017</w:t>
              </w:r>
            </w:hyperlink>
          </w:p>
        </w:tc>
        <w:tc>
          <w:tcPr>
            <w:tcW w:w="580" w:type="dxa"/>
            <w:vAlign w:val="bottom"/>
            <w:gridSpan w:val="3"/>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nine months ended September 30, 2018 and September</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30, 2017</w:t>
              </w:r>
            </w:hyperlink>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33">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1"/>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PART II—OTHER INFORMATION</w:t>
              </w:r>
            </w:hyperlink>
          </w:p>
        </w:tc>
        <w:tc>
          <w:tcPr>
            <w:tcW w:w="804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77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91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Other Information</w:t>
              </w:r>
            </w:hyperlink>
          </w:p>
        </w:tc>
        <w:tc>
          <w:tcPr>
            <w:tcW w:w="460" w:type="dxa"/>
            <w:vAlign w:val="bottom"/>
            <w:gridSpan w:val="3"/>
          </w:tcPr>
          <w:p>
            <w:pPr>
              <w:spacing w:after="0"/>
              <w:rPr>
                <w:sz w:val="24"/>
                <w:szCs w:val="24"/>
                <w:color w:val="auto"/>
              </w:rPr>
            </w:pPr>
          </w:p>
        </w:tc>
        <w:tc>
          <w:tcPr>
            <w:tcW w:w="732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7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155,615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138,080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86,410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199,625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203,438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548,148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147,926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164,520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269,869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283,649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w w:val="92"/>
              </w:rPr>
              <w:t>Common stock, $0.01 par value, 200,000,000 shares authorized, 28,496,445 and 28,294,968 shares issued</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64,717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278,096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270,619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278,279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548,148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513,326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124,260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126,316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389,131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360,144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155,559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withdrawal expense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subsidiary</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Income (loss) before provision (benefit)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 net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taxes</w:t>
            </w:r>
          </w:p>
        </w:tc>
        <w:tc>
          <w:tcPr>
            <w:tcW w:w="1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Mistras Group,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Earnings (loss) per common share: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28,274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28,465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28,465</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Less: comprehensive income attributable to non-controlling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Mistras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Arial" w:cs="Arial" w:eastAsia="Arial" w:hAnsi="Arial"/>
                <w:sz w:val="18"/>
                <w:szCs w:val="18"/>
                <w:color w:val="auto"/>
              </w:rPr>
              <w:t>Group, Inc.</w:t>
            </w:r>
          </w:p>
        </w:tc>
        <w:tc>
          <w:tcPr>
            <w:tcW w:w="16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September 30, 2017</w:t>
            </w:r>
          </w:p>
        </w:tc>
      </w:tr>
      <w:tr>
        <w:trPr>
          <w:trHeight w:val="283"/>
        </w:trPr>
        <w:tc>
          <w:tcPr>
            <w:tcW w:w="75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23,644</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Impairment charges</w:t>
            </w:r>
          </w:p>
        </w:tc>
        <w:tc>
          <w:tcPr>
            <w:tcW w:w="16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15,810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5,179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provision for unexpected customer bankruptcy</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Fair value adjustments to contingent consideration</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sale of subsidiary</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226</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(20,258)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(4,017)</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995</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668</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Pr>
          <w:p>
            <w:pPr>
              <w:spacing w:after="0"/>
              <w:rPr>
                <w:sz w:val="21"/>
                <w:szCs w:val="21"/>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35,226</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 of property, plant and equipment</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(14,413)</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intangible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6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(8,356)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Disposition of businesses, net of cash sold</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sale of equipment</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(22,516)</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capital lease obligations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borrowings of long-term debt</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5,599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long-term debt</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revolver</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28,076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38,400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revolver</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Payment of contingent consideration for business acquisitions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treasury stock</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(15,923)</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share-based awards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(7,114)</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2,113</w:t>
            </w: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7,709</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19,154</w:t>
            </w: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26,863</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paid</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5,418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3,031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acquired through capital lease obligations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2,824</w:t>
            </w:r>
          </w:p>
        </w:tc>
      </w:tr>
    </w:tbl>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900"/>
          </w:cols>
          <w:pgMar w:left="240" w:top="121" w:right="759" w:bottom="1097" w:gutter="0" w:footer="0" w:header="0"/>
        </w:sect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240" w:top="121" w:right="759" w:bottom="1097"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2018 and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(“2017 Annual Report”) for the year ended December 31, 2017, as filed with the Securities and Exchange Commission on March 14,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There were no customers that represented 10% of our revenues for the three and nine months ended September 30, 2018. One customer accounted for 10% and 11% of our revenues for the three and nine months ended September 30, 2017, respectively, primarily generated from the Services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2017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2017 Annual Report, there have been no material changes to the Company's significant accounting policies.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December 22, 2017, the United States enacted fundamental changes to federal tax law following the passage of the Tax Cuts and Jobs Act (the “Tax Act”). This was a complex and significant change to the U.S. corporate tax system. The Company was required to account for certain aspects of the Tax Act in its financial statements for the period ended December 31, 2017, including the impact of the Tax Act on existing deferred tax balances and the one-time transition tax on foreign earnings (the “transition tax”). The Company is applying the guidance in Staff Accounting Bulletin (“SAB 118”) in accounting for the enactment date effects of the Tax Act. At December 31, 2017, the Company made a provisional estimate of the transition tax as well as existing deferred balances. As discussed below, we updated certain provisional amounts in consideration of recent guidance and additional information related to the transition tax and the effect of the change in the federal corporate rate on our deferred tax assets. The Company's financial statements for the period ended September 30, 2018 also reflect provisions of the Tax Act effective for periods beginning after December 31, 2017, which includes the reduced federal corporate tax rate from 35% to 21%, adjustments made to executive compensation and meals and entertainment rules, and the inclusion of new categories of income, global intangible low-taxes income (“GILTI”) and foreign derived intangible income (“FDII”).</w:t>
      </w:r>
    </w:p>
    <w:p>
      <w:pPr>
        <w:spacing w:after="0" w:line="102"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color w:val="auto"/>
        </w:rPr>
        <w:t>The Company’s effective income tax rate was approximately 190% and 39% for the three months ended September 30, 2018 and 2017, respectively. The increase in the income tax rate for the three months ended September 30, 2018 is primarily due to the impact of the GILTI and executive compensation provisions resulting from the passage of the Tax Act, and the impact of discrete items described below, which include updating the provisional amounts related to the Tax Act and recording a liability as the result of an ongoing IRS income tax examination.</w:t>
      </w:r>
    </w:p>
    <w:p>
      <w:pPr>
        <w:spacing w:after="0" w:line="15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Company’s effective income tax rate was approximately 44% and 42% for the nine months ended September 30, 2018 and 2017, respectively. The increase in the income tax rate for the nine months ended September 30, 2018 is due to the impact of the GILTI and executive compensation provisions resulting from the passage of the Tax Act, and the impact of discrete items described below, which include updating the provisional amounts related to the Tax Act and recording a liability as the result of an ongoing IRS income tax examination, offset by lower U.S. tax rates on our domestic income.</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 the three months ended September 30, 2018, the Company recorded a $1.3 million tax expense, which resulted in a 111% increase in the effective tax rate for this quarter, as an adjustment to certain provisional amounts previously recorded for the Tax Act in consideration of recent guidance and additional information related to the transition tax and the effect of the change in the federal corporate rate on our deferred tax assets. During the first quarter of 2018, the Company has adjusted the Tax Act impact to the deferred tax asset for executive compensation, decreasing the deferred tax asset by approximately $0.4 million due to a change in estimate of 2018 compensation. The Company is continuing to evaluate the state tax impacts of the Tax Act on the period ending December 31, 2017. The amounts recorded in 2018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Given the complexity of the new GILTI tax rules, the Company is continuing to evaluate this provision of the Tax Act and the application of ASC 740. Under U.S. Generally Accepted Accounting Principles ("US GAAP" or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the Company expects to have future U.S. inclusions in taxable income related to GILTI and, if so, what the impact is expected to be. The Company is continuing to evaluate the effect of the new GILTI tax rules on future U.S. inclusions in taxable income, including the expected impact on our current structure and business. Therefore, although the Company has considered the current effects of GILTI when estimating our annual effective tax rate, it has not made any adjustments related to potential GILTI tax in our deferred taxes and has not made a policy decision regarding whether to record deferred taxes on GILTI.</w:t>
      </w:r>
    </w:p>
    <w:p>
      <w:pPr>
        <w:spacing w:after="0" w:line="178"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Mistras and its subsidiaries file tax returns in the U.S., including various state and local returns and in other foreign jurisdictions. The Company believes adequate provision has been made for all income tax uncertainties. The Company is routinely audited by taxing authorities in its filing jurisdictions, and a number of these audits are currently underway. As of September 30, 2018, the Company recorded a liability of $0.4 million as the result of an ongoing IRS income tax examination, which resulted in a 32% increase in the effective tax rate for this quarter. The Company believes that this matter will be resolved within the next twelve months.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080808"/>
        </w:rPr>
        <w:t xml:space="preserve">In August 2015, the Financial Accounting Standards Board ("FASB") issued Accounting Standards Update ("ASU") 2015-14, </w:t>
      </w:r>
      <w:r>
        <w:rPr>
          <w:rFonts w:ascii="Arial" w:cs="Arial" w:eastAsia="Arial" w:hAnsi="Arial"/>
          <w:sz w:val="16"/>
          <w:szCs w:val="16"/>
          <w:i w:val="1"/>
          <w:iCs w:val="1"/>
          <w:color w:val="080808"/>
        </w:rPr>
        <w:t>Revenue from Contracts with</w:t>
      </w:r>
      <w:r>
        <w:rPr>
          <w:rFonts w:ascii="Arial" w:cs="Arial" w:eastAsia="Arial" w:hAnsi="Arial"/>
          <w:sz w:val="16"/>
          <w:szCs w:val="16"/>
          <w:color w:val="080808"/>
        </w:rPr>
        <w:t xml:space="preserve"> </w:t>
      </w:r>
      <w:r>
        <w:rPr>
          <w:rFonts w:ascii="Arial" w:cs="Arial" w:eastAsia="Arial" w:hAnsi="Arial"/>
          <w:sz w:val="16"/>
          <w:szCs w:val="16"/>
          <w:i w:val="1"/>
          <w:iCs w:val="1"/>
          <w:color w:val="080808"/>
        </w:rPr>
        <w:t xml:space="preserve">Customers (Topic 606): Deferral of the Effective Date, </w:t>
      </w:r>
      <w:r>
        <w:rPr>
          <w:rFonts w:ascii="Arial" w:cs="Arial" w:eastAsia="Arial" w:hAnsi="Arial"/>
          <w:sz w:val="16"/>
          <w:szCs w:val="16"/>
          <w:color w:val="080808"/>
        </w:rPr>
        <w:t>which defers the effective date of ASU 2014-09 for all entities by one year. This update is effective for</w:t>
      </w:r>
      <w:r>
        <w:rPr>
          <w:rFonts w:ascii="Arial" w:cs="Arial" w:eastAsia="Arial" w:hAnsi="Arial"/>
          <w:sz w:val="16"/>
          <w:szCs w:val="16"/>
          <w:i w:val="1"/>
          <w:iCs w:val="1"/>
          <w:color w:val="080808"/>
        </w:rPr>
        <w:t xml:space="preserve"> </w:t>
      </w:r>
      <w:r>
        <w:rPr>
          <w:rFonts w:ascii="Arial" w:cs="Arial" w:eastAsia="Arial" w:hAnsi="Arial"/>
          <w:sz w:val="16"/>
          <w:szCs w:val="16"/>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became effective for the Company on January 1, 2018.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w:t>
      </w:r>
    </w:p>
    <w:p>
      <w:pPr>
        <w:spacing w:after="0" w:line="167"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080808"/>
        </w:rPr>
        <w:t>The Company adopted ASU 2014-09 along with the related additional ASU’s on Topic 606 on January 1, 2018, utilizing the cumulative catch-up method. The result of adoption is immaterial to the Company's consolidated financial statements, largely because most of our projects are short-term in nature and billed on a time and material basis. The Company utilized a practical expedient that provides for revenue to be recognized in an amount that corresponds directly with the value to the customer of the entity’s performance completed to date. See Note 2 for the Company's additional required disclosures under Topic 606.</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July 2018, the FASB issued ASU 2018-11, </w:t>
      </w:r>
      <w:r>
        <w:rPr>
          <w:rFonts w:ascii="Arial" w:cs="Arial" w:eastAsia="Arial" w:hAnsi="Arial"/>
          <w:sz w:val="18"/>
          <w:szCs w:val="18"/>
          <w:i w:val="1"/>
          <w:iCs w:val="1"/>
          <w:color w:val="auto"/>
        </w:rPr>
        <w:t>Leases (Topic 832), Targeted Improvements.</w:t>
      </w:r>
      <w:r>
        <w:rPr>
          <w:rFonts w:ascii="Arial" w:cs="Arial" w:eastAsia="Arial" w:hAnsi="Arial"/>
          <w:sz w:val="18"/>
          <w:szCs w:val="18"/>
          <w:color w:val="auto"/>
        </w:rPr>
        <w:t xml:space="preserve"> The amendments in this update provide an optional transition method to the modified retrospective method that was part of the initial ASC 842 guidance. The optional transition method allows entities to apply the leasing standard as of January 1, 2019 and recognize a cumulative-effect adjustment to the opening balance of retained earnings for all prior year/comparative period requirements for calendar year 2017 and 2018. The Company plans to adopt this transition method as of January 1, 2019 when ASC 842 becomes effective for the Company.</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This amendment provides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adopted ASU 2016-15 in the first quarter of 2018, which did not have a material impact on the Company's condensed consolidated financial statements and related disclosures.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The Company adopted ASU 2017-09 in the first quarter of 2018, which did not have any impact on the Company's condensed consolidated financial statements and related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2017,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 As of September 30, 2018, the Company made adjustments to certain provisional amounts previously recorded for the Tax Act. Please see Income Taxes above in Note 1 for more details. The Company will complete the accounting for the tax effects of all of the provisions of the Tax Act within the required measurement period not to extend beyond one year from the enactment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majority of the Company's revenues are derived from providing services on a time and material basis and are short-term in nature. The Company accounts for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was adopted on January 1, 2018, using the cumulative catch-up transition method. The adoption of ASC Topic 606 did not impact the Company's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w w:val="93"/>
              </w:rPr>
              <w:t>Three months ended September</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30, 2018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International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4"/>
              </w:rPr>
              <w:t>Corp/Elim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5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90,584</w:t>
            </w:r>
          </w:p>
        </w:tc>
        <w:tc>
          <w:tcPr>
            <w:tcW w:w="64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540" w:type="dxa"/>
            <w:vAlign w:val="bottom"/>
            <w:tcBorders>
              <w:bottom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12,287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5"/>
              </w:rPr>
              <w:t>Power generation &amp; Transmission</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Infrastructure, Research &amp;</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Engineering</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141,340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7"/>
              </w:rPr>
              <w:t>Nine months ended September</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30, 2018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83"/>
              </w:rPr>
              <w:t>Services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International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Products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Corp/Elim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287,620</w:t>
            </w: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27,512</w:t>
            </w:r>
          </w:p>
        </w:tc>
        <w:tc>
          <w:tcPr>
            <w:tcW w:w="540" w:type="dxa"/>
            <w:vAlign w:val="bottom"/>
            <w:tcBorders>
              <w:bottom w:val="single" w:sz="8" w:color="CCEEFF"/>
            </w:tcBorders>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38,115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5"/>
              </w:rPr>
              <w:t>Power generation &amp; Transmission</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23,378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Infrastructure, Research &amp;</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Engineering</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8,723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434,653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116,238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561,592</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20" w:type="dxa"/>
            <w:vAlign w:val="bottom"/>
            <w:gridSpan w:val="8"/>
          </w:tcPr>
          <w:p>
            <w:pPr>
              <w:jc w:val="right"/>
              <w:ind w:right="580"/>
              <w:spacing w:after="0"/>
              <w:rPr>
                <w:sz w:val="20"/>
                <w:szCs w:val="20"/>
                <w:color w:val="auto"/>
              </w:rPr>
            </w:pPr>
            <w:r>
              <w:rPr>
                <w:rFonts w:ascii="Arial" w:cs="Arial" w:eastAsia="Arial" w:hAnsi="Arial"/>
                <w:sz w:val="18"/>
                <w:szCs w:val="18"/>
                <w:color w:val="auto"/>
                <w:w w:val="90"/>
              </w:rPr>
              <w:t>Revenue per key geographic location was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Three months ended September 30, 2018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4"/>
                <w:szCs w:val="24"/>
                <w:color w:val="auto"/>
              </w:rPr>
            </w:pPr>
          </w:p>
        </w:tc>
        <w:tc>
          <w:tcPr>
            <w:tcW w:w="13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Products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Corp/Elim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118,415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w w:val="90"/>
              </w:rPr>
              <w:t>21,712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4"/>
          </w:tcPr>
          <w:p>
            <w:pPr>
              <w:jc w:val="right"/>
              <w:ind w:right="10"/>
              <w:spacing w:after="0"/>
              <w:rPr>
                <w:sz w:val="20"/>
                <w:szCs w:val="20"/>
                <w:color w:val="auto"/>
              </w:rPr>
            </w:pPr>
            <w:r>
              <w:rPr>
                <w:rFonts w:ascii="Arial" w:cs="Arial" w:eastAsia="Arial" w:hAnsi="Arial"/>
                <w:sz w:val="18"/>
                <w:szCs w:val="18"/>
                <w:color w:val="auto"/>
                <w:w w:val="93"/>
              </w:rPr>
              <w:t>1,894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5"/>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33,654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4"/>
          </w:tcPr>
          <w:p>
            <w:pPr>
              <w:jc w:val="right"/>
              <w:ind w:right="10"/>
              <w:spacing w:after="0"/>
              <w:rPr>
                <w:sz w:val="20"/>
                <w:szCs w:val="20"/>
                <w:color w:val="auto"/>
              </w:rPr>
            </w:pPr>
            <w:r>
              <w:rPr>
                <w:rFonts w:ascii="Arial" w:cs="Arial" w:eastAsia="Arial" w:hAnsi="Arial"/>
                <w:sz w:val="18"/>
                <w:szCs w:val="18"/>
                <w:color w:val="auto"/>
                <w:w w:val="93"/>
              </w:rPr>
              <w:t>1,041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5"/>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79"/>
              </w:rPr>
              <w:t>$</w:t>
            </w:r>
          </w:p>
        </w:tc>
        <w:tc>
          <w:tcPr>
            <w:tcW w:w="138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141,340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36,671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(1,558)</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182,169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8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Services</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Products</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Corp/Elim</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371,570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71,335</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108,902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9,785</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434,653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561,592</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 advances or deposits from our customers before revenue is recognized, resulting in contract liabilities. These assets and liabilities are aggregated on an individual contract basis and reported on the condensed consolidated balance sheet at the end of each reporting period.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recognized in 2018, that was included in the contract liability balance at the beginning of the year was $4.5 million. Changes in the contract asset and liability balances during the year ended December 31, 2017,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318"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(the "2016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three and nine months ended September 30, 2018 and 2017, the Company did not recognize any share-based compensation expense related to stock option awards, as all outstanding stock options awards are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and nine months ended September 30, 2018 and September 30, 2017.</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a summary of the stock option activity, weighted average exercise prices and options outstanding as of September 30, 2018 and September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2,105</w:t>
            </w:r>
          </w:p>
        </w:tc>
        <w:tc>
          <w:tcPr>
            <w:tcW w:w="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three months ended September 30, 2018 and September 30, 2017, the Company recognized share-based compensation expense related to restricted stock unit awards of $1.3 million and $1.1 million, respectively.</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nine months ended September 30, 2018 and September 30, 2017, the Company recognized share-based compensation expense related to restricted stock unit awards of $3.3 million and $3.4 million, respectively. As of September 30, 2018, there was $7.8 million of unrecognized compensation costs, net of estimated forfeitures, related to restricted stock unit awards, which are expected to be recognized over a remaining weighted average period of 2.5 years.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nine months of 2018 and 2017, the Company granted approximately 19,000 and 21,000 shares, respectively, of fully-vested common stock to its five non-employee directors, as provided for under the Company's non-employee director compensation plan. These shares had grant date fair values of $0.4 million for each respective period, which was recorded as share-based compensation expense during the nine months ended September 30, 2018 and September 30, 2017, respectively.</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first nine months of 2018 and 2017, approximately 158,000 and 175,000 restricted stock units vested, respectively. The fair value of these units was $3.4 million and $3.2 million for the nine months ended September 30, 2018 and September 30, 2017, respectively. Upon vesting, restricted stock units are generally net share-settled to cover the required minimum withholding tax and the remaining amount is converted into an equivalent number of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2018</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2017</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7"/>
              </w:rPr>
              <w:t>Units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88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7"/>
              </w:rPr>
              <w:t>Units</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(158)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(175)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20.36</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8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20.37</w:t>
            </w:r>
          </w:p>
        </w:tc>
        <w:tc>
          <w:tcPr>
            <w:tcW w:w="22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238125</wp:posOffset>
            </wp:positionV>
            <wp:extent cx="4922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jc w:val="center"/>
              <w:ind w:left="708"/>
              <w:spacing w:after="0" w:line="153" w:lineRule="exact"/>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jc w:val="center"/>
              <w:ind w:right="23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688"/>
              <w:spacing w:after="0" w:line="149" w:lineRule="exact"/>
              <w:rPr>
                <w:sz w:val="20"/>
                <w:szCs w:val="20"/>
                <w:color w:val="auto"/>
              </w:rPr>
            </w:pPr>
            <w:r>
              <w:rPr>
                <w:rFonts w:ascii="Arial" w:cs="Arial" w:eastAsia="Arial" w:hAnsi="Arial"/>
                <w:sz w:val="14"/>
                <w:szCs w:val="14"/>
                <w:b w:val="1"/>
                <w:bCs w:val="1"/>
                <w:color w:val="auto"/>
                <w:w w:val="99"/>
              </w:rPr>
              <w:t>Grant-Date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Units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Fair Value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5"/>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17.00</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19.49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16.16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18.05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September 30, 2018 and September 30, 2017, the Compensation Committee approved the final calculation of the award metrics for calendar year 2017 and the seven-month transition period ending December 31, 2016, respectively. As a result, the calendar year 2017 PRSUs increased by approximately 4,000 units. There was a decrease of approximately 32,000 units for the nine months ended September 30, 2018 based on forecasted results for calendar 2018. These adjustments comprise the performance condition adjustments for the nine months ended September 30, 2018 noted above.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seven month transition period PRSUs reduced by approximately 3,000 units after the Compensation Committee approval noted above. There also was a reduction of approximately 64,000 units to the awards granted in calendar 2017 based on forecasted results as of September 30, 2017. These adjustments comprise the performance condition adjustments for the nine months ended September 30, 2017 noted above.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2018,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September 30, 2018 and September 30, 2017, the Company recognized aggregate share-based compensation expense related to the awards described above of approximately $0.4 million for both respective periods.</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2018 and September 30, 2017, the Company recognized aggregate share-based compensation expense related to the awards described above of approximately $1.0 million and $1.3 million, respectively. At September 30, 2018, there was $2.5 million of total unrecognized compensation costs related to approximately 300,000 non-vested PRSUs, which are expected to be recognized over a remaining weighted average period of 2.2 years.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September 30, 2018</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September 30, 2017</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 2017</w:t>
            </w:r>
          </w:p>
        </w:tc>
        <w:tc>
          <w:tcPr>
            <w:tcW w:w="340" w:type="dxa"/>
            <w:vAlign w:val="bottom"/>
          </w:tcPr>
          <w:p>
            <w:pPr>
              <w:spacing w:after="0"/>
              <w:rPr>
                <w:sz w:val="22"/>
                <w:szCs w:val="22"/>
                <w:color w:val="auto"/>
              </w:rPr>
            </w:pPr>
          </w:p>
        </w:tc>
      </w:tr>
      <w:tr>
        <w:trPr>
          <w:trHeight w:val="162"/>
        </w:trPr>
        <w:tc>
          <w:tcPr>
            <w:tcW w:w="39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Mistras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Weighted 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28,429</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28,274</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28,465</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Borders>
              <w:top w:val="single" w:sz="8" w:color="auto"/>
              <w:bottom w:val="single" w:sz="8" w:color="auto"/>
            </w:tcBorders>
          </w:tcPr>
          <w:p>
            <w:pPr>
              <w:spacing w:after="0"/>
              <w:rPr>
                <w:sz w:val="24"/>
                <w:szCs w:val="24"/>
                <w:color w:val="auto"/>
              </w:rPr>
            </w:pPr>
          </w:p>
        </w:tc>
      </w:tr>
      <w:tr>
        <w:trPr>
          <w:trHeight w:val="284"/>
        </w:trPr>
        <w:tc>
          <w:tcPr>
            <w:tcW w:w="3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29"/>
        </w:trPr>
        <w:tc>
          <w:tcPr>
            <w:tcW w:w="3900" w:type="dxa"/>
            <w:vAlign w:val="bottom"/>
          </w:tcPr>
          <w:p>
            <w:pPr>
              <w:ind w:left="180"/>
              <w:spacing w:after="0"/>
              <w:rPr>
                <w:sz w:val="20"/>
                <w:szCs w:val="20"/>
                <w:color w:val="auto"/>
              </w:rPr>
            </w:pPr>
            <w:r>
              <w:rPr>
                <w:rFonts w:ascii="Arial" w:cs="Arial" w:eastAsia="Arial" w:hAnsi="Arial"/>
                <w:sz w:val="18"/>
                <w:szCs w:val="18"/>
                <w:color w:val="auto"/>
              </w:rPr>
              <w:t>Net (loss) income attributable to Mistras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Group,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(6,968)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(3,059)</w:t>
            </w:r>
          </w:p>
        </w:tc>
        <w:tc>
          <w:tcPr>
            <w:tcW w:w="3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8"/>
              </w:rPr>
              <w:t>Weighted average common shares outstanding</w:t>
            </w:r>
          </w:p>
        </w:tc>
        <w:tc>
          <w:tcPr>
            <w:tcW w:w="1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28,429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28,274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28,465</w:t>
            </w:r>
          </w:p>
        </w:tc>
        <w:tc>
          <w:tcPr>
            <w:tcW w:w="3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3"/>
              </w:rPr>
              <w:t>Dilutive effect of restricted stock units outstanding</w:t>
            </w:r>
          </w:p>
        </w:tc>
        <w:tc>
          <w:tcPr>
            <w:tcW w:w="1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83"/>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83"/>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28,429</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28,274</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Borders>
              <w:top w:val="single" w:sz="8" w:color="auto"/>
              <w:bottom w:val="single" w:sz="8" w:color="auto"/>
            </w:tcBorders>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For the three months ended September 30, 2018, 805 shares were excluded from the calculation of diluted EPS due to the net loss for the period. For the three and nine months ended September 30, 2017, 716 and 802 shares, respectively, were excluded from the calculation of diluted EPS due to the net loss for the respective periods.</w:t>
      </w:r>
    </w:p>
    <w:p>
      <w:pPr>
        <w:spacing w:after="0" w:line="181" w:lineRule="exact"/>
        <w:rPr>
          <w:rFonts w:ascii="Arial" w:cs="Arial" w:eastAsia="Arial" w:hAnsi="Arial"/>
          <w:sz w:val="18"/>
          <w:szCs w:val="18"/>
          <w:color w:val="auto"/>
        </w:rPr>
      </w:pPr>
    </w:p>
    <w:p>
      <w:pPr>
        <w:jc w:val="both"/>
        <w:ind w:right="8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For the three months ended September 30, 2018, 364 shares were excluded from the calculation of diluted EPS due to the net loss for the period. For the three and nine months ended September 30, 2017, 308 and 337 shares, respectively, were excluded from the calculation of diluted EPS due to the net loss for the respective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 the Company did not complete any acquisitions.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assets and liabilities of one of the businesses acquired in 2017 were included in the Company's condensed consolidated balance sheet based upon its estimated fair value on the date of acquisition as determined in a preliminary purchase price allocation, using available information and making assumptions management believed were reasonable. The Company is still in the process of completing its valuation of the assets acquired. The results of operations for this acquisition have been included in the Services segment's results from the date of acquisition. Goodwill of $36.4 million primarily relates to expected synergies and assembled workforce, and is deductible for tax purposes. Other intangible assets, primarily related to customer relationships and covenants not to compete, were $23.8 million.</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nine months ended September 30, 2017, the Company completed two acquisitions, one that performs mechanical services at height, located in Canada, and a company located in the U.S. that primarily performs chemical and specialty process services, primarily in the aerospace industry. In these acquisitions, the Company acquired the assets of one of the acquirees and all of the equity interests of the other acquiree in exchange for aggregate consideration of $8.5 million in cash and contingent consideration up to $5.9 million to be earned based upon the acquired business achieving specific performance metrics over the initial three years of operations from the acquisition date and $1.6 million for working capital adjustments, which were finalized in 2018. The Company accounted for these transactions in accordance with the acquisition method of accounting for business combinations.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fourth quarter of 2017, the Company began the process of marketing one of its subsidiaries in the Products and Systems segment for sale. During the third quarter of 2018, substantially all of the assets and liabilities of the aforementioned subsidiary were sold for approximately $4.3 million, inclusive of a $0.5 million post-closing adjustment. For the nine months ended September 30, 2018, the Company recognized a gain of approximately $2.4 million related to the sale, which is included in its own line on the condensed consolidated income statement. The sale also included a three-year agreement to purchase products from the buyer, with a cumulative commitment of $2.3 million. The agreement is based on third party pricing and the Company's planned purchase requirements over the next three years to meet the minimum purchases, and as a result, the Company concluded that the timing of the gain was appropriate for the three months ended September 30, 2018.</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determined that the classification of being held for sale had been met as of December 31, 2017. For the three months ended September 30, 2018, this subsidiary represented 0.1% of the Company's consolidated revenues and loss from operations was $0.2 million. For the nine months ended September 30, 2018, this subsidiary represented 0.4% of consolidated revenues and loss from operations was $0.4 million. In the aggregate, the assets and liabilities of this subsidiary represents 0.4% and 0.2% of consolidated assets and liabilities, respectively, and are included in their natural classifications on the condensed consolidated balance sheet as of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and nine months ended September 30, 2018 and 2017:</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Due diligence, professional fees and other transaction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4"/>
              </w:rPr>
              <w:t>Adjustments to fair value of contingent consideration liabilities</w:t>
            </w:r>
          </w:p>
        </w:tc>
        <w:tc>
          <w:tcPr>
            <w:tcW w:w="3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2017</w:t>
            </w:r>
          </w:p>
        </w:tc>
      </w:tr>
      <w:tr>
        <w:trPr>
          <w:trHeight w:val="162"/>
        </w:trPr>
        <w:tc>
          <w:tcPr>
            <w:tcW w:w="79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141,952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155,615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138,080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had $28.8 million and $14.4 million of unbilled revenues accrued as of September 30, 2018 and December 31, 2017, respectively. Unbilled revenues are generally billed in the subsequent quarter to their revenue recognition.</w:t>
      </w:r>
    </w:p>
    <w:p>
      <w:pPr>
        <w:spacing w:after="0" w:line="200" w:lineRule="exact"/>
        <w:rPr>
          <w:sz w:val="20"/>
          <w:szCs w:val="20"/>
          <w:color w:val="auto"/>
        </w:rPr>
      </w:pPr>
    </w:p>
    <w:p>
      <w:pPr>
        <w:spacing w:after="0" w:line="399"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4"/>
                <w:szCs w:val="14"/>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jc w:val="center"/>
              <w:ind w:left="1057"/>
              <w:spacing w:after="0"/>
              <w:rPr>
                <w:sz w:val="20"/>
                <w:szCs w:val="20"/>
                <w:color w:val="auto"/>
              </w:rPr>
            </w:pPr>
            <w:r>
              <w:rPr>
                <w:rFonts w:ascii="Arial" w:cs="Arial" w:eastAsia="Arial" w:hAnsi="Arial"/>
                <w:sz w:val="18"/>
                <w:szCs w:val="18"/>
                <w:color w:val="auto"/>
                <w:w w:val="91"/>
              </w:rPr>
              <w:t>30-40</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24,525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Arial" w:cs="Arial" w:eastAsia="Arial" w:hAnsi="Arial"/>
                <w:sz w:val="18"/>
                <w:szCs w:val="18"/>
                <w:color w:val="auto"/>
                <w:w w:val="92"/>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840" w:type="dxa"/>
            <w:vAlign w:val="bottom"/>
          </w:tcPr>
          <w:p>
            <w:pPr>
              <w:jc w:val="center"/>
              <w:ind w:left="1037"/>
              <w:spacing w:after="0"/>
              <w:rPr>
                <w:sz w:val="20"/>
                <w:szCs w:val="20"/>
                <w:color w:val="auto"/>
              </w:rPr>
            </w:pPr>
            <w:r>
              <w:rPr>
                <w:rFonts w:ascii="Arial" w:cs="Arial" w:eastAsia="Arial" w:hAnsi="Arial"/>
                <w:sz w:val="18"/>
                <w:szCs w:val="18"/>
                <w:color w:val="auto"/>
                <w:w w:val="92"/>
              </w:rPr>
              <w:t>5-7</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200,875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191,721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232,368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(145,225)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86,410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87,143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September 30, 2018 and September 30, 2017 was $6.0 million and $5.7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nine months ended September 30, 2018 and September 30, 2017 was $18.2 million and $16.8 million, respectively.</w:t>
      </w:r>
    </w:p>
    <w:p>
      <w:pPr>
        <w:spacing w:after="0" w:line="23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37,637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203,438</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163,386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36,239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199,625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September 30, 2018, the Company did not identify any changes in circumstances that would indicate the carrying value of goodwill may not be recoverable.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cumulative goodwill impairment as of September 30, 2018 and December 31, 2017 was $23.1 million, of which $13.2 million related to the Products and Systems segment and $9.9 million related to the International segment.</w:t>
      </w:r>
    </w:p>
    <w:p>
      <w:pPr>
        <w:spacing w:after="0" w:line="166"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September 30, 2018</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110,202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55,022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19,523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145,872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56,515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155,441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September 30, 2018 and September 30, 2017 was $2.5 million and $2.4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2018 and September 30, 2017 was $7.5 million and $6.8 million, respectively.</w:t>
      </w:r>
    </w:p>
    <w:p>
      <w:pPr>
        <w:spacing w:after="0" w:line="221" w:lineRule="exact"/>
        <w:rPr>
          <w:sz w:val="20"/>
          <w:szCs w:val="20"/>
          <w:color w:val="auto"/>
        </w:rPr>
      </w:pPr>
    </w:p>
    <w:p>
      <w:pPr>
        <w:ind w:left="780" w:hanging="772"/>
        <w:spacing w:after="0"/>
        <w:tabs>
          <w:tab w:leader="none" w:pos="7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162"/>
        </w:trPr>
        <w:tc>
          <w:tcPr>
            <w:tcW w:w="79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3,430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6,338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Pension accrual</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21,827</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73,425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65,561</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175"/>
        </w:trPr>
        <w:tc>
          <w:tcPr>
            <w:tcW w:w="8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9,702</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166,878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147,926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164,520</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revolving credit agreement with its banking group ("Credit Agreement") provides the Company with a $250.0 million revolving line of credit, which, under certain circumstances, can be increased to $300.0 million. The Company may borrow up to $30.0 million in non-U.S. Dollar currencies and use up to $10.0 million of the credit limit for the issuance of letters of credit. The Credit Agreement has a maturity date of December 7, 2022. As of September 30, 2018, the Company had borrowings of $140.7 million and a total of $5.4 million of letters of credit outstanding under the Credit Agreement.</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Loans under the Credit Agreement bear interest at the London Interbank Offered Rate ("LIBOR") plus an applicable LIBOR margin ranging from 1% to 2%, or a base rate less a margin of 1.25% to 0.375%, at the option of the Company, based upon the Company’s Funded Debt Leverage Ratio. Funded Debt Leverage Ratio is defined as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$5.0 million in the four consecutive fiscal quarters immediately preceding the date of determination) for items such as severance, lease termination charges, asset write-offs and litigation settlements paid during the period, all determined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Company can elect to increase the Funded Debt Leverage Ratio to 3.75 to 1 temporarily for four fiscal quarters immediately following the fiscal quarter in which the Company acquires another business. The Company can make this election twice during the term of the Credit Agreement.</w:t>
      </w:r>
    </w:p>
    <w:p>
      <w:pPr>
        <w:spacing w:after="0" w:line="16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or a pledge of its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terms of the Credit Agreement as of September 30, 2018,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3.7% as of September 30, 2018. Interest expense is recorded in the condensed consolidated statements of income.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September 30, 2018, there was approximately $9.4 million outstanding, payable at various times from 2018 to 2029. Monthly payments range from $1 thousand to $18 thousand. Interest rates range from 0.5% to 6.2%.</w:t>
      </w:r>
    </w:p>
    <w:p>
      <w:pPr>
        <w:spacing w:after="0" w:line="177"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3,094</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Payments</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liability</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Revaluation</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(1,078)</w:t>
            </w:r>
          </w:p>
        </w:tc>
      </w:tr>
      <w:tr>
        <w:trPr>
          <w:trHeight w:val="27"/>
        </w:trPr>
        <w:tc>
          <w:tcPr>
            <w:tcW w:w="6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5,814</w:t>
            </w:r>
          </w:p>
        </w:tc>
      </w:tr>
      <w:tr>
        <w:trPr>
          <w:trHeight w:val="20"/>
        </w:trPr>
        <w:tc>
          <w:tcPr>
            <w:tcW w:w="6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1" w:right="2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settled a consolidated purported class and collective action that resulted from the consolidation of two cases originally filed in California state court in April 2015. In connection with the settlement, the Company recorded a pre-tax charge of $6.3 million during the three months ended June 30, 2016 and paid the settlement in February 2017.</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The Company was a defendant in the lawsuit </w:t>
      </w:r>
      <w:r>
        <w:rPr>
          <w:rFonts w:ascii="Arial" w:cs="Arial" w:eastAsia="Arial" w:hAnsi="Arial"/>
          <w:sz w:val="17"/>
          <w:szCs w:val="17"/>
          <w:i w:val="1"/>
          <w:iCs w:val="1"/>
          <w:color w:val="auto"/>
        </w:rPr>
        <w:t>AGL Services Company v. Mistras Group, Inc.,</w:t>
      </w:r>
      <w:r>
        <w:rPr>
          <w:rFonts w:ascii="Arial" w:cs="Arial" w:eastAsia="Arial" w:hAnsi="Arial"/>
          <w:sz w:val="17"/>
          <w:szCs w:val="17"/>
          <w:color w:val="auto"/>
        </w:rPr>
        <w:t xml:space="preserve"> in U.S. District Court for the Northern District of Georgia, filed November 2016. The case involved radiography work performed by the Company in 2012 on the construction of a pipeline project in the U.S. At a trial concluded on October 26, 2017, the jury awarded the plaintiff its damages plus interest, which was fully covered and paid by insurance.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was a defendant in a lawsuit, </w:t>
      </w:r>
      <w:r>
        <w:rPr>
          <w:rFonts w:ascii="Arial" w:cs="Arial" w:eastAsia="Arial" w:hAnsi="Arial"/>
          <w:sz w:val="18"/>
          <w:szCs w:val="18"/>
          <w:i w:val="1"/>
          <w:iCs w:val="1"/>
          <w:color w:val="auto"/>
        </w:rPr>
        <w:t>Triumph Aerostructures, LLC d/b/a Triumph Aerostructures-Vought Aircraft Division v. Mistras Group, Inc</w:t>
      </w:r>
      <w:r>
        <w:rPr>
          <w:rFonts w:ascii="Arial" w:cs="Arial" w:eastAsia="Arial" w:hAnsi="Arial"/>
          <w:sz w:val="18"/>
          <w:szCs w:val="18"/>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the return of the underlying ultrasonic inspection components. A charge for $1.6 million was recorded in 2017 and payment was made in February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In addition, the California Department of Toxic Substances Control recently notified the owner of the property that it will be performing an additional investigation at the property. At this time, the Company is unable to determine whether it has any liability in connection with this matter and if so, the amount or range of any such liability, and accordingly, has not established any accruals for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1" w:right="3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pursuant to this CBA could result in a complete or partial withdrawal liability to these multi-employer pension plans under the Employee Retirement Income Security Act of 1974 ("ERISA"). Management has been exploring options to retain a level of union work that would avoid withdrawal liability to the pension plans, but concluded during the third quarter that the Company's subsidiaries probably would not obtain sufficient union work to avoid withdrawal liability.</w:t>
      </w:r>
    </w:p>
    <w:p>
      <w:pPr>
        <w:jc w:val="both"/>
        <w:ind w:right="340"/>
        <w:spacing w:after="0" w:line="255" w:lineRule="auto"/>
        <w:rPr>
          <w:sz w:val="20"/>
          <w:szCs w:val="20"/>
          <w:color w:val="auto"/>
        </w:rPr>
      </w:pPr>
      <w:r>
        <w:rPr>
          <w:rFonts w:ascii="Arial" w:cs="Arial" w:eastAsia="Arial" w:hAnsi="Arial"/>
          <w:sz w:val="18"/>
          <w:szCs w:val="18"/>
          <w:color w:val="auto"/>
        </w:rPr>
        <w:t>As of September 30, 2018, the Company determined that it is probable that its subsidiary will incur a withdrawal liability related to these multi-employer pension plans and estimated that the total amount of this potential liability is approximately $5.9 million. Accordingly, the Company recorded a charge of $5.9 million during the three-month period ended September 30, 2018 for this potential withdrawal liability.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and nine months ended September 30, 2018, the Company recorded approximately $1.1 million and $1.2 million, respectively,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will not record the expected recovery of indemnification for these labor claims as the amount and timing of collection is uncertain as of September 30, 2018.</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of September 30, 2018, the Company had approximately 250 employees under current staff leasing contracts, which expire through 2021. As a result of the above mentioned exploration of selling its staff leasing services, the Company decided that it will not renew several contracts related to these services when they expire beginning in 2019. Accordingly, employees under these contracts will have to be transitioned off the customer contracts because the length of service exceeds the German Labor Lease Act maximum time allowed under the staff leasing arrangements. When these employees are no longer working for a customer under a staff leasing contract, the German subsidiary will terminate these employees and will be required to pay severance to the employees. Employees may also be transitioned to our customers, which would alleviate our severance obligations for those employees. As of September 30, 2018, the Company estimated approximately $1.6 million in severance for these employees, which takes into account our estimate of the employees that would be transitioned to our customers and accordingly recorded an accrual for this amount which is included within Selling, General and Administrative expenses for the three and nine months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September 30, 2018, total potential acquisition-related contingent consideration ranged from zero to approximately $5.9 million and would be payable upon the achievement of specific performance metrics by certain of the acquired companies over the next 1.8 years of operations. See Note 5 -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20" w:hanging="484"/>
        <w:spacing w:after="0" w:line="286" w:lineRule="auto"/>
        <w:tabs>
          <w:tab w:leader="none" w:pos="897"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followed by Canada, consisting primarily of NDT and inspection and engineering services that are used to evaluate the structural integrity and reliability of critical energy, commercial aerospace components, industrial and public infrastructure.</w:t>
      </w:r>
    </w:p>
    <w:p>
      <w:pPr>
        <w:spacing w:after="0" w:line="165" w:lineRule="exact"/>
        <w:rPr>
          <w:rFonts w:ascii="Arial" w:cs="Arial" w:eastAsia="Arial" w:hAnsi="Arial"/>
          <w:sz w:val="17"/>
          <w:szCs w:val="17"/>
          <w:i w:val="1"/>
          <w:iCs w:val="1"/>
          <w:color w:val="auto"/>
        </w:rPr>
      </w:pPr>
    </w:p>
    <w:p>
      <w:pPr>
        <w:ind w:left="1140" w:right="80" w:hanging="484"/>
        <w:spacing w:after="0" w:line="264" w:lineRule="auto"/>
        <w:tabs>
          <w:tab w:leader="none" w:pos="89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380" w:hanging="484"/>
        <w:spacing w:after="0" w:line="277" w:lineRule="auto"/>
        <w:tabs>
          <w:tab w:leader="none" w:pos="89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397,565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36,671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38,200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116,238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106,360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16,925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(7,524)</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513,326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100,432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34,273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29,720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137,392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31,211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3,866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(20,287)</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5,543</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5,736</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8,095</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46,864</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11,770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13,899</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56,515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63,739</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376,694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377,585</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145,779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150,779</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12,733</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12,927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13,344</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548,148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554,441</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September 30, 2018 and 2017,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344,808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26,084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71,335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59,452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11,436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513,326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Repurchase of Common Stock</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Board of Directors approved a $50 million stock repurchase plan in 2015. As part of this plan, on August 17, 2016, the Company entered into an agreement with its then CEO, Dr. Sotirios Vahaviolos, to purchase up to 1 million of his shares, commencing in October 2016. Pursuant to the agreement, in general, the Company purchased from Dr. Vahaviolos up to $2 million of shares each month, at a 2% discount to the average daily closing price of the Company's common stock for the preceding month. From the inception of the plan through December 31, 2017, the Company purchased 1,000,000 shares from Dr. Vahaviolos at an average price of $21.92 per share for an aggregate cost of approximately $21.9 million and approximately 146,000 shares in the open market at an average price of $20.48 per share, for an aggregate cost of approximately $3.0 million.</w:t>
      </w:r>
    </w:p>
    <w:p>
      <w:pPr>
        <w:spacing w:after="0" w:line="17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retired all its repurchased shares during the fourth quarter of 2017 and they are not included in common stock issued and outstanding as of September 30, 2018 and December 31, 2017. There were no repurchases of common stock during the nine months ended September 30, 2018. As of September 30, 2018, approximately $25.1 million remained available to repurchase shares under the stock repurchase plan.</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nine months ended September 30, 2018 and September 30, 2017.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2017, filed March 14, 2018 (“2017 Annual Report”).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2017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offer our customers “one source for asset protection solutions”®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 integrity (MI), Non-Destructive Testing (NDT), Destructive Testing (DT), mechanical and predictive maintenance (PdM)</w:t>
      </w:r>
    </w:p>
    <w:p>
      <w:pPr>
        <w:sectPr>
          <w:pgSz w:w="11900" w:h="16838" w:orient="portrait"/>
          <w:cols w:equalWidth="0" w:num="1">
            <w:col w:w="11400"/>
          </w:cols>
          <w:pgMar w:left="240" w:top="121"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25" w:lineRule="exact"/>
        <w:rPr>
          <w:sz w:val="20"/>
          <w:szCs w:val="20"/>
          <w:color w:val="auto"/>
        </w:rPr>
      </w:pPr>
    </w:p>
    <w:p>
      <w:pPr>
        <w:ind w:left="740" w:right="440" w:hanging="246"/>
        <w:spacing w:after="0" w:line="264" w:lineRule="auto"/>
        <w:tabs>
          <w:tab w:leader="none" w:pos="7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and inspection, mechanical and engineering services that are used to evaluate the structural integrity and reliability of critical energy, commercial aerospace components, industrial and public infrastructure.</w:t>
      </w:r>
    </w:p>
    <w:p>
      <w:pPr>
        <w:spacing w:after="0" w:line="181" w:lineRule="exact"/>
        <w:rPr>
          <w:rFonts w:ascii="Arial" w:cs="Arial" w:eastAsia="Arial" w:hAnsi="Arial"/>
          <w:sz w:val="18"/>
          <w:szCs w:val="18"/>
          <w:i w:val="1"/>
          <w:iCs w:val="1"/>
          <w:color w:val="auto"/>
        </w:rPr>
      </w:pPr>
    </w:p>
    <w:p>
      <w:pPr>
        <w:ind w:left="740" w:right="120" w:hanging="246"/>
        <w:spacing w:after="0" w:line="308" w:lineRule="auto"/>
        <w:tabs>
          <w:tab w:leader="none" w:pos="7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46" w:lineRule="exact"/>
        <w:rPr>
          <w:rFonts w:ascii="Arial" w:cs="Arial" w:eastAsia="Arial" w:hAnsi="Arial"/>
          <w:sz w:val="17"/>
          <w:szCs w:val="17"/>
          <w:i w:val="1"/>
          <w:iCs w:val="1"/>
          <w:color w:val="auto"/>
        </w:rPr>
      </w:pPr>
    </w:p>
    <w:p>
      <w:pPr>
        <w:ind w:left="740" w:right="60" w:hanging="246"/>
        <w:spacing w:after="0" w:line="277" w:lineRule="auto"/>
        <w:tabs>
          <w:tab w:leader="none" w:pos="7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customers’facilities, while primarily servicing our aerospace customers at our growing network of state-of-the-art, in-house laboratories.</w:t>
      </w:r>
    </w:p>
    <w:p>
      <w:pPr>
        <w:ind w:right="80"/>
        <w:spacing w:after="0" w:line="290" w:lineRule="auto"/>
        <w:rPr>
          <w:sz w:val="20"/>
          <w:szCs w:val="20"/>
          <w:color w:val="auto"/>
        </w:rPr>
      </w:pPr>
      <w:r>
        <w:rPr>
          <w:rFonts w:ascii="Arial" w:cs="Arial" w:eastAsia="Arial" w:hAnsi="Arial"/>
          <w:sz w:val="16"/>
          <w:szCs w:val="16"/>
          <w:color w:val="auto"/>
        </w:rPr>
        <w:t>These solutions typically include NDT and inspection services, and can also include a wide range of mechanical services, 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Demand for outsourced asset protection solutions has generally increased over the last ten years, creating demand from which our entire industry has benefited. We believe continued growth can be realized in all of our target markets. During the first half of 2017, market conditions were soft, driven by lower oil prices which caused many of the Company’s oil and gas customers to curtail spending for our services and products. However, during the second half of 2017, market conditions strengthened and continued to improve throughout 2018, with oil and gas customer spending patterns rebounding from low prior year levels described above. These improved conditions led to a catch-up from the pent-up demand of deferred work during the Spring of 2018 as well as a healthier level of market activity for projects and turnarounds. We expect that the present range for petroleum prices to persist for the foreseeable future and result in relatively stable oil and gas customer spend for inspection services throughout the remainder of the year. In addition, demand for our services in the aerospace industry are strong and we are focused on expanding our capabilities to service this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results of operations for the three and nine months ended September 30, 2018 and September 30, 2017 were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1120"/>
        <w:spacing w:after="0"/>
        <w:tabs>
          <w:tab w:leader="none" w:pos="1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23495</wp:posOffset>
            </wp:positionV>
            <wp:extent cx="4442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640"/>
        <w:spacing w:after="0"/>
        <w:tabs>
          <w:tab w:leader="none" w:pos="640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23495</wp:posOffset>
            </wp:positionV>
            <wp:extent cx="2186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89"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21869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sectPr>
          <w:pgSz w:w="11900" w:h="16838" w:orient="portrait"/>
          <w:cols w:equalWidth="0" w:num="2">
            <w:col w:w="7620" w:space="580"/>
            <w:col w:w="32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182,169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179,570</w:t>
            </w:r>
          </w:p>
        </w:tc>
        <w:tc>
          <w:tcPr>
            <w:tcW w:w="120" w:type="dxa"/>
            <w:vAlign w:val="bottom"/>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561,592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513,326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52,332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47,897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155,559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137,392</w:t>
            </w: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49,315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58,272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135,839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139,515</w:t>
            </w: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19,720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(2,123)</w:t>
            </w: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(loss) from Operations as a % of Revenue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5,581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3,114</w:t>
            </w: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(loss) before provision (benefit) for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(11,456)</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(5,237)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6,229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(2,199)</w:t>
            </w:r>
          </w:p>
        </w:tc>
      </w:tr>
      <w:tr>
        <w:trPr>
          <w:trHeight w:val="27"/>
        </w:trPr>
        <w:tc>
          <w:tcPr>
            <w:tcW w:w="4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(6,953)</w:t>
            </w:r>
          </w:p>
        </w:tc>
        <w:tc>
          <w:tcPr>
            <w:tcW w:w="12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(3,038)</w:t>
            </w: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5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4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Net (loss) income attributable to Mistras Group, Inc.</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(3,059)</w:t>
            </w: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6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comparable to other companies non-GAAP financial measures.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Revenues for the three months ended September 30, 2018 were $182.2 million, an increase of $2.6 million, or 1%, compared with the three months ended September 30, 2017. Revenues for the nine months ended September 30, 2018 were $561.6 million, an increase of $48.3 million, or 9%, compared with the nine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nine months ended September 30, 2018 and September 30, 2017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2020"/>
        <w:spacing w:after="0"/>
        <w:tabs>
          <w:tab w:leader="none" w:pos="1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4322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123" w:lineRule="exact"/>
        <w:rPr>
          <w:sz w:val="20"/>
          <w:szCs w:val="20"/>
          <w:color w:val="auto"/>
        </w:rPr>
      </w:pPr>
    </w:p>
    <w:p>
      <w:pPr>
        <w:ind w:left="3860"/>
        <w:spacing w:after="0"/>
        <w:tabs>
          <w:tab w:leader="none" w:pos="556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126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89"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23495</wp:posOffset>
            </wp:positionV>
            <wp:extent cx="60115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23495</wp:posOffset>
            </wp:positionV>
            <wp:extent cx="2126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6780" w:space="520"/>
            <w:col w:w="4100"/>
          </w:cols>
          <w:pgMar w:left="240" w:top="121" w:right="259" w:bottom="1440" w:gutter="0" w:footer="0" w:header="0"/>
          <w:type w:val="continuous"/>
        </w:sectPr>
      </w:pPr>
    </w:p>
    <w:p>
      <w:pPr>
        <w:ind w:left="100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6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141,340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137,194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434,653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397,565</w:t>
            </w:r>
          </w:p>
        </w:tc>
      </w:tr>
      <w:tr>
        <w:trPr>
          <w:trHeight w:val="27"/>
        </w:trPr>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106,360</w:t>
            </w:r>
          </w:p>
        </w:tc>
      </w:tr>
      <w:tr>
        <w:trPr>
          <w:trHeight w:val="243"/>
        </w:trPr>
        <w:tc>
          <w:tcPr>
            <w:tcW w:w="266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16,925</w:t>
            </w:r>
          </w:p>
        </w:tc>
      </w:tr>
      <w:tr>
        <w:trPr>
          <w:trHeight w:val="27"/>
        </w:trPr>
        <w:tc>
          <w:tcPr>
            <w:tcW w:w="2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r>
      <w:tr>
        <w:trPr>
          <w:trHeight w:val="237"/>
        </w:trPr>
        <w:tc>
          <w:tcPr>
            <w:tcW w:w="266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182,169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179,570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561,592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513,326</w:t>
            </w:r>
          </w:p>
        </w:tc>
      </w:tr>
      <w:tr>
        <w:trPr>
          <w:trHeight w:val="27"/>
        </w:trPr>
        <w:tc>
          <w:tcPr>
            <w:tcW w:w="2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three months ended September 30, 2018, total revenues increased 1% due to a combination of low-single digit acquisition growth, offset by low-single digit unfavorable impact of foreign exchange rates. Services segment revenues increased 3%, driven by low-single digit acquisition growth and low-single digit organic growth. International segment revenues decreased 4%, driven by low-single digit organic decline and low-single digit unfavorable impact of foreign exchange rates. Products and Systems segment revenues decreased by 9%, primarily driven by the sale of a subsidiary within the segment.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and gas customer revenues comprised approximately 55% and 54% of total revenues for the three months ended September 30, 2018 and 2017, respectively. Aerospace and defense customer revenues comprised approximately 14% and 13% of total revenues for the three months ended September 30, 2018 and 2017, respectively. The Company’s top ten customers comprised approximately 32% of total revenues for the three months ended September 30, 2018, as compared to 36% for the three months ended September 30, 2017. One customer, BP plc., accounted for approximately 10% of total revenues for the three months ended September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nine months ended September 30, 2018, total revenues increased 9% due to a combination of mid-single digit acquisition growth, low-single digit organic growth and low-single digit favorable impact of foreign exchange rates. Services segment revenues increased 9%, driven by mid-single digit acquisition growth and low-single digit organic growth. International segment revenues increased 9%, driven by mid-single digit organic growth and mid-single digit favorable impact of foreign exchange rates. Products and Systems segment revenues increased by 2% driven by higher sales volume, offset by the sale of a subsidiary in this segment.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Oil and gas customer revenues comprised approximately 56% and 58% of total revenues for the nine months ended September 30, 2018 and 2017, respectively. Aerospace and defense customer revenues comprised approximately 15% and 13% of total revenues for the nine months ended September 30, 2018 and 2017, respectively. The Company’s top ten customers comprised approximately 35% of total revenues for the nine months ended September 30, 2018, as compared to 38% for the nine months ended September 30, 2017. One customer, BP plc., accounted for approximately 11% of total revenues for the nine months ended September 30, 2017.</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Gross profit increased by $4.4 million, or 9%, in the three months ended September 30, 2018, on a sales increase of 1%. Gross profit increased by $18.2 million, or 13%, in the nine months ended September 30, 2018, on a sales increase of 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September 30, 2018 and September 30, 2017 was as follows: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1100"/>
        <w:spacing w:after="0"/>
        <w:tabs>
          <w:tab w:leader="none" w:pos="1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4391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720"/>
        <w:spacing w:after="0"/>
        <w:tabs>
          <w:tab w:leader="none" w:pos="646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2160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2160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680" w:space="560"/>
            <w:col w:w="3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38,838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34,729</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113,675</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100,432</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34,273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29,720</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27.9%</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7,707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7,313</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43.2%</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7"/>
        </w:trPr>
        <w:tc>
          <w:tcPr>
            <w:tcW w:w="4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52,332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47,897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155,559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137,392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margin was 28.7% and 26.7% for the three month periods ended September 30, 2018 and 2017, respectively. Services segment gross profit margins had a year-on-year increase of 220 basis points to 27.5% in the three months ended September 30, 2018, which primarily reflected an improved sales mix. International segment gross margins had a year-on-year increase of 240 basis points to 29.7% in the three months ended September 30, 2018. This increase was primarily driven by higher utilization of technical labor and overhead, a more favorable sales mix and exiting a poor margin contract from the prior year. Products and Systems segment gross margin had a year-on-year increase of 170 basis points to 45.6% in the three months ended September 30, 2018. This increase was primarily driven by a more favorable sales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Gross profit margin was 27.7% and 26.8% for the nine month periods ended September 30, 2018 and 2017, respectively. Services segment gross profit margins had a year-on-year increase of 90 basis points to 26.2% in the nine months ended September 30, 2018, which reflected increased sales volume. International segment gross margins had a year-on-year increase of 160 basis points to 29.5% in the nine months ended September 30, 2018. This increase was primarily driven by higher utilization of technical labor and overhead and exiting a poor margin contract from the prior year. Products and Systems segment gross margin had a year-on-year increase of 140 basis points to 44.6% in the nine months ended September 30, 2018. This increase was primarily driven by a more favorable sales mix.</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a reconciliation of the income (loss) from operations to income (loss) before special items for each of the Company's three segments and for the Company in total:</w:t>
      </w:r>
    </w:p>
    <w:p>
      <w:pPr>
        <w:spacing w:after="0" w:line="392" w:lineRule="exact"/>
        <w:rPr>
          <w:sz w:val="20"/>
          <w:szCs w:val="20"/>
          <w:color w:val="auto"/>
        </w:rPr>
      </w:pPr>
    </w:p>
    <w:p>
      <w:pPr>
        <w:ind w:left="5740"/>
        <w:spacing w:after="0"/>
        <w:tabs>
          <w:tab w:leader="none" w:pos="9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9"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30,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820" w:space="500"/>
            <w:col w:w="3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Services: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31,211</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Pension withdrawal expense</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and other costs</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 (GAAP)</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5,848</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from operations (GAAP)</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(16,913)</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subsidiary</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Reorganization and other costs</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before special items (non-GAAP)</w:t>
            </w:r>
          </w:p>
        </w:tc>
        <w:tc>
          <w:tcPr>
            <w:tcW w:w="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from operations (GAAP)</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(20,287)</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Loss before special items (non-GAAP)</w:t>
            </w:r>
          </w:p>
        </w:tc>
        <w:tc>
          <w:tcPr>
            <w:tcW w:w="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(19,127)</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(loss) from operations (GAAP)</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withdrawal expense</w:t>
            </w: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subsidiary</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5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Reorganization and other costs</w:t>
            </w:r>
          </w:p>
        </w:tc>
        <w:tc>
          <w:tcPr>
            <w:tcW w:w="5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1,071</w:t>
            </w: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26,249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16,569</w:t>
            </w:r>
          </w:p>
        </w:tc>
      </w:tr>
      <w:tr>
        <w:trPr>
          <w:trHeight w:val="20"/>
        </w:trPr>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September 30, 2018, income from operations (GAAP) increased $13.4 million, or 129%, compared with the three months ended September 30, 2017, while income before special items (non-GAAP) increased $3.2 million, or</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46%. As a percentage of revenues, income before special items increased by 170 basis points to 5.6% in the three months ended September 30, 2018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 in the three months ended September 30, 2017.</w:t>
      </w:r>
    </w:p>
    <w:p>
      <w:pPr>
        <w:spacing w:after="0" w:line="29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Operating expenses (GAAP), as a percentage of revenue, decreased to 27% for the three months ended September 30, 2018 from 32% for the three months ended September 30, 2017. Operating expenses, excluding special items, (non-GAAP), as a percentage of revenues, was 23% of revenue for both the three months ended September 30, 2018 and September 30, 2017. The chart above highlights the expense items that resulted in a lower GAAP operating expense percentage for 2018. Excluding these special items, operating expenses were consistent, as a percentage of revenues, for both respective periods.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nine months ended September 30, 2018, income from operations (GAAP) increased $21.8 million, compared with the nine months ended September 30, 2017, while income before special items (non-GAAP) increased $9.7 million, or 58%. As a percentage of revenues, income before special items increased by 150 basis points to 4.7% in the nine months ended September 30, 2018 from 3.2% in the nine months ended September 30, 2017.</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expenses (GAAP), as a percentage of revenue, decreased to 24% for the nine months ended September 30, 2018 from 27% for the nine months ended September 30, 2017. Operating expenses, excluding special items (non-GAAP), as a percentage of revenues, decreased to 23% of revenues for the nine months ended September 30, 2018 from 24% for the nine months ended September 30, 2017. The chart above highlights the expense items that resulted in a lower GAAP operating expense percentage for 2018. Excluding these special items, operating expenses were consistent, as a percentage of revenues, for both respective periods.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has been exploring options to retain a level of union work that would avoid withdrawal liability to the pension plans, but concluded during the third quarter that the Company's subsidiaries probably would not obtain sufficient union work to avoid withdrawal liability. As of September 30, 2018, the Company determined that it is probable that its subsidiary will incur a withdrawal liability related to these multi-employer pension plans and estimated that the total amount of this potential liability is approximately $5.9 million. Accordingly, the Company recorded a charge of $5.9 million during the three-month period ended September 30, 2018 for this potential withdrawal liability.</w:t>
      </w:r>
    </w:p>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and nine months ended September 30, 2018, the Company recorded approximately $1.1 million and $1.2 million, respectively,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will not record the expected recovery of indemnification for these labor claims as the amount and timing of collection is uncertain as of September 30, 2018.</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of September 30, 2018, the Company had approximately 250 employees under current staff leasing contracts, which expire through 2021. As a result of the above mentioned exploration of selling its staff leasing services, the Company decided that it will not renew several contracts related to these services when they expire beginning in 2019. Accordingly, employees under these contracts will have to be transitioned off the customer contracts because the length of service exceeds the German Labor Lease Act maximum time allowed under the staff leasing arrangements. When these employees are no longer working for a customer under a staff leasing contract, the German subsidiary will terminate these employees and will be required to pay severance to the employees. Employees may also be transitioned to our customers, which would alleviate our severance obligations for those employees. As of September 30, 2018, the Company estimated approximately $1.6 million in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severance for these employees, which excludes our estimate of the employees that would be transitioned to our customers and accordingly recorded an accrual for this amount which is included within Selling, General and Administrative expenses for the three and nine months ended 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was approximately $1.9 million and $1.1 million for the three months ended September 30, 2018 and 2017, respectively. Interest expense was approximately $5.6 million and $3.1 million for the nine months ended September 30, 2018 and 2017, respectively. The increases were due to borrowings on the Company's revolving line of credit attributable primarily to acquisitions completed during 2017, and to a lesser extent, from an increase in the base borrowing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The Company’s effective income tax rate was approximately 190% and 39% for the three months ended September 30, 2018 and 2017, respectively. The Company's effective income tax rate was approximately 44% and 42% for the nine months ended September 30, 2018 and 2017. The increase in the income tax rate for these respective periods is primarily due to the impact of the GILTI and executive compensation provisions resulting from the passage of the Tax Act, and the impact of certain provisional amounts previously recorded for the Tax Act in consideration of recent guidance and additional information related to the transition tax and the effect of the change in the federal corporate rate on our deferred tax assets.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196"/>
        </w:trPr>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24,184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35,226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(7,114)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7,709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During the nine months ended September 30, 2018, cash provided by operating activities was $24.2 million, representing a year-on-year decrease of $11.0 million, or 31%. The decrease was primarily attributable to movements in working capital, including the timing of collections on accounts receivable.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nine months ended September 30, 2018, cash used in investing activities was $9.8 million, compared with $22.5 million in 2017. During the first nine months of 2018, we did not have any outflows related to acquisitions, compared with $8.4 million in the comparable nine month period. We received $4.8 million from the sale of a subsidiary in the Products segment. (see Note 5) Capital expenditures were $15.8 million for the first nine months of 2018, compared with $15.4 million in the comparable 2017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by financing activities was $23.9 million for the nine months ended September 30, 2018. The Company paid down $15.9 million, net, on its Credit Agreement as well as $4.7 million payments of debt and capital lease obligations. For the comparable period in 2017, net cash used by financing activities was $7.1 million. The Company borrowed $11.5 million, net, on its Credit Agreement, to purchase $15.9 million of treasury stock and $8.4 million to fund an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decrease of $0.9 million in the first nine months of 2018, compared to a $2.1 million increase for the first nine months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2017 Annual Report under the Section “Liquidity and Capital Resources”, under the heading “Cash Balance and Credit Facility Borrowings,” and in Note 11 -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2018, we had cash and cash equivalents totaling $17.1 million and available borrowing capacity of $103.9 million under our Credit Agreement with borrowings of $140.7 million and $5.4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were in compliance with the terms of the Credit Agreement as of September 30, 2018 and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nine months ended September 30,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2017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September 30, 2018,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September 30, 2018 that has materially affected, or is reasonably likely to materially affect, such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See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2017 Annual Report, except as disclosed in such Note 13.</w:t>
      </w:r>
    </w:p>
    <w:p>
      <w:pPr>
        <w:spacing w:after="0" w:line="1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 factors discussed under the “Risk Factors” section included in our 2017 Annual Report. There have been no material changes to the risk factors previously disclosed in the 2017 Annual Report.</w:t>
      </w:r>
    </w:p>
    <w:p>
      <w:pPr>
        <w:spacing w:after="0" w:line="35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 There were no shares of stock acquired during the quarter pursuant to our publicly announced share repurchase plan.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Units) 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31, 2018</w:t>
            </w:r>
          </w:p>
        </w:tc>
        <w:tc>
          <w:tcPr>
            <w:tcW w:w="2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August 31, 2018</w:t>
            </w:r>
          </w:p>
        </w:tc>
        <w:tc>
          <w:tcPr>
            <w:tcW w:w="2460" w:type="dxa"/>
            <w:vAlign w:val="bottom"/>
          </w:tcPr>
          <w:p>
            <w:pPr>
              <w:jc w:val="right"/>
              <w:ind w:right="37"/>
              <w:spacing w:after="0"/>
              <w:rPr>
                <w:sz w:val="20"/>
                <w:szCs w:val="20"/>
                <w:color w:val="auto"/>
              </w:rPr>
            </w:pPr>
            <w:r>
              <w:rPr>
                <w:rFonts w:ascii="Arial" w:cs="Arial" w:eastAsia="Arial" w:hAnsi="Arial"/>
                <w:sz w:val="18"/>
                <w:szCs w:val="18"/>
                <w:color w:val="auto"/>
              </w:rPr>
              <w:t>34,109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22.01</w:t>
            </w:r>
          </w:p>
        </w:tc>
        <w:tc>
          <w:tcPr>
            <w:tcW w:w="2380" w:type="dxa"/>
            <w:vAlign w:val="bottom"/>
          </w:tcPr>
          <w:p>
            <w:pPr>
              <w:ind w:left="2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Arial" w:cs="Arial" w:eastAsia="Arial" w:hAnsi="Arial"/>
                <w:sz w:val="18"/>
                <w:szCs w:val="18"/>
                <w:color w:val="auto"/>
              </w:rPr>
              <w:t>33</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121" w:right="7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2018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2018</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2019-12-28T18:11:26Z</dcterms:created>
  <dcterms:modified xsi:type="dcterms:W3CDTF">2019-12-28T18:11:26Z</dcterms:modified>
</cp:coreProperties>
</file>