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800" w:right="1880" w:hanging="3697"/>
        <w:spacing w:after="0" w:line="516"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68"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1440"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27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1, 2015, the registrant had 28,702,420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3"/>
          </w:tcPr>
          <w:p>
            <w:pPr>
              <w:spacing w:after="0" w:line="189" w:lineRule="exact"/>
              <w:rPr>
                <w:rFonts w:ascii="Arial" w:cs="Arial" w:eastAsia="Arial" w:hAnsi="Arial"/>
                <w:sz w:val="18"/>
                <w:szCs w:val="18"/>
                <w:color w:val="0000EE"/>
              </w:rPr>
            </w:pPr>
            <w:hyperlink w:anchor="page2">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February 28, 2015 (unaudited) and May 31,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 Condensed Consolidated Statements of Income for the three and nine months ended February 28,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Comprehensive Income for the three and nine months ended February 28,</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2015 and 2014</w:t>
              </w:r>
            </w:hyperlink>
          </w:p>
        </w:tc>
        <w:tc>
          <w:tcPr>
            <w:tcW w:w="8020" w:type="dxa"/>
            <w:vAlign w:val="bottom"/>
            <w:gridSpan w:val="1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Cash Flows for the nine months ended February 28, 2015 and 2014</w:t>
              </w:r>
            </w:hyperlink>
          </w:p>
        </w:tc>
        <w:tc>
          <w:tcPr>
            <w:tcW w:w="5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520" w:type="dxa"/>
            <w:vAlign w:val="bottom"/>
            <w:gridSpan w:val="3"/>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4.A</w:t>
              </w:r>
            </w:hyperlink>
          </w:p>
        </w:tc>
        <w:tc>
          <w:tcPr>
            <w:tcW w:w="91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1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2.</w:t>
              </w:r>
            </w:hyperlink>
          </w:p>
        </w:tc>
        <w:tc>
          <w:tcPr>
            <w:tcW w:w="1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5.</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80" w:type="dxa"/>
            <w:vAlign w:val="bottom"/>
            <w:gridSpan w:val="3"/>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SIGNATURES</w:t>
              </w:r>
            </w:hyperlink>
          </w:p>
        </w:tc>
        <w:tc>
          <w:tcPr>
            <w:tcW w:w="52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February 28, 2015</w:t>
            </w:r>
          </w:p>
        </w:tc>
        <w:tc>
          <w:tcPr>
            <w:tcW w:w="26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31, 2014</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125,548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137,824</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11,376</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3,283</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175,129</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77,811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56,147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57,875</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130,516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1,344</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477,329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443,972</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47,881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54,650</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7,251</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80,827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86,791</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13,664</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17,014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201,580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200,000,000 shares authorized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206,289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201,831</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242,392</w:t>
            </w: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477,329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443,972</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February 28,</w:t>
            </w:r>
          </w:p>
        </w:tc>
        <w:tc>
          <w:tcPr>
            <w:tcW w:w="340" w:type="dxa"/>
            <w:vAlign w:val="bottom"/>
          </w:tcPr>
          <w:p>
            <w:pPr>
              <w:spacing w:after="0"/>
              <w:rPr>
                <w:sz w:val="16"/>
                <w:szCs w:val="16"/>
                <w:color w:val="auto"/>
              </w:rPr>
            </w:pPr>
          </w:p>
        </w:tc>
        <w:tc>
          <w:tcPr>
            <w:tcW w:w="27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February 28,</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444,320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119,356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304,645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139,767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126,554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90,342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4"/>
              </w:rPr>
              <w:t>Less: net loss (income) attributable to noncontrolling interests, net</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of taxes</w:t>
            </w: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16,099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28,656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29,529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29,249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February 28,</w:t>
            </w:r>
          </w:p>
        </w:tc>
        <w:tc>
          <w:tcPr>
            <w:tcW w:w="340" w:type="dxa"/>
            <w:vAlign w:val="bottom"/>
          </w:tcPr>
          <w:p>
            <w:pPr>
              <w:spacing w:after="0"/>
              <w:rPr>
                <w:sz w:val="16"/>
                <w:szCs w:val="16"/>
                <w:color w:val="auto"/>
              </w:rPr>
            </w:pPr>
          </w:p>
        </w:tc>
        <w:tc>
          <w:tcPr>
            <w:tcW w:w="272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51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(loss)/income: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17,022</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less: comprehensive loss (income) attributable to noncontrolling</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Mistras Group,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16,978</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13,851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adjustment to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deposit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borrowings against revolver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26,063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share-based awards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7,802</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notes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2015 and 2014.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2014, as filed with the Securities and Exchange Commission on August 8,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 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an ongoing basis, we evaluate its estimates and assumptions, including, among other things those related to revenue recognition, valuations of accounts receivable, long-lived assets, goodwill, deferred tax assets and uncertain tax positions. Since the date of the 2014 Annual Report, there have been no material changes to the Company's significant accounting policies.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fiscal years, and interim periods within those fiscal years beginning after December 15, 2016. Early application is not permitted. The standard permits the use of either the retrospective or cumulative effect transition method. The Company is evaluating the effect that ASU 2014-09 will have on its consolidated financial statements and related disclosures. The Company is currently evaluating the effect that ASU 2014-09 will have on its consolidated financial statements and related disclosures.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2014, the FASB issued ASU 2014-12, </w:t>
      </w:r>
      <w:r>
        <w:rPr>
          <w:rFonts w:ascii="Arial" w:cs="Arial" w:eastAsia="Arial" w:hAnsi="Arial"/>
          <w:sz w:val="18"/>
          <w:szCs w:val="18"/>
          <w:i w:val="1"/>
          <w:iCs w:val="1"/>
          <w:color w:val="auto"/>
        </w:rPr>
        <w:t>Accounting for Share-Based Payments When the Terms of an Award Provide That a Performance Target Could</w:t>
      </w:r>
      <w:r>
        <w:rPr>
          <w:rFonts w:ascii="Arial" w:cs="Arial" w:eastAsia="Arial" w:hAnsi="Arial"/>
          <w:sz w:val="18"/>
          <w:szCs w:val="18"/>
          <w:color w:val="auto"/>
        </w:rPr>
        <w:t xml:space="preserve"> </w:t>
      </w:r>
      <w:r>
        <w:rPr>
          <w:rFonts w:ascii="Arial" w:cs="Arial" w:eastAsia="Arial" w:hAnsi="Arial"/>
          <w:sz w:val="18"/>
          <w:szCs w:val="18"/>
          <w:i w:val="1"/>
          <w:iCs w:val="1"/>
          <w:color w:val="auto"/>
        </w:rPr>
        <w:t>Be Achieved After the Requisite Service Period</w:t>
      </w:r>
      <w:r>
        <w:rPr>
          <w:rFonts w:ascii="Arial" w:cs="Arial" w:eastAsia="Arial" w:hAnsi="Arial"/>
          <w:sz w:val="18"/>
          <w:szCs w:val="18"/>
          <w:color w:val="auto"/>
        </w:rPr>
        <w:t>. This ASU requires that a performance target that affects vesting, and that could be achieved after the requisite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period, be treated as a performance condition. ASU 2014-12 is effective for fiscal years, and interim periods within those fiscal years beginning after December 15, 2015. The Company is currently evaluating the effect that ASU 2014-12 will have on its consolidated financial statements and related disclosures.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2015, the Financial Accounting Standards Board issued ASU No. 2015-02, </w:t>
      </w:r>
      <w:r>
        <w:rPr>
          <w:rFonts w:ascii="Arial" w:cs="Arial" w:eastAsia="Arial" w:hAnsi="Arial"/>
          <w:sz w:val="18"/>
          <w:szCs w:val="18"/>
          <w:i w:val="1"/>
          <w:iCs w:val="1"/>
          <w:color w:val="auto"/>
        </w:rPr>
        <w:t>Consolidation (Topic 810): Amendments to the Consolidations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which changes the guidance for evaluating whether to consolidate certain legal entities. Specifically, the amendments modify the evaluation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limited partnerships and similar legal entities are variable interest entities ("VIEs") or voting interest entities. Further, the amendments eliminate the presumption that a general partner should consolidate a limited partnership, as well as affect the consolidation analysis of reporting entities that are involved with VIEs, particularly those that have fee arrangements and related party relationships. The updated guidance is effective for fiscal years, and interim periods within those fiscal years beginning after December 15, 2015. Early adoption is permitted. Companies have an option of using either a full retrospective or modified retrospective adoption approach. The Company is evaluating the effect that ASU 2015-02 will have on its consolidated financial statements and related disclosures.</w:t>
      </w:r>
    </w:p>
    <w:p>
      <w:pPr>
        <w:spacing w:after="0" w:line="188"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Directors under two employee equity incentive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months ended February 28, 2015 and 2014, the Company recognized share-based compensation expense related to stock option awards of less than $0.1 million for each period respectively. For the nine months ended February 28, 2015 and 2014, the Company recognized share-based compensation expense related to stock option awards of less than $0.1 million and $0.7 million respectively. As of February 28, 2015, there was less than $0.1 million of unrecognized compensation costs, net of estimated forfeitures, related to stock option awards, which are expected to be recognized over a remaining weighted average period of 1.0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nine months ended February 28,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February 28, 2015 and 2014, the Company recognized share-based compensation expense related to restricted stock unit awards of $1.2 million and $1.0 million, respectively. For the nine months ended February 28, 2015 and 2014, the Company recognized share-based compensation expense related to restricted stock unit awards of $3.5 million and $2.9 million, respectively. As of February 28, 2015, there was $9.0 million of unrecognized compensation costs, net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estimated forfeitures, related to restricted stock unit awards, which are expected to be recognized over a remaining weighted average period of 2.4 years.</w:t>
      </w:r>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first nine months of fiscal 2015 and 2014, the Company granted approximately 21,000 and 19,000 shares, respectively, of fully-vested common stock to its five non-employee directors, in connection with its non-employee director compensation plan. These shares had grant date fair values of $0.4 million for each period respectively, which was recorded as share-based compensation expense during the nine months ended February 28, 2015 and 2014.</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first nine months of fiscal 2015 and 2014, approximately 231,000 and 178,000 restricted stock units, respectively, vested. The fair value of these units was $5.2 million and $3.3 million, respectively. Upon vesting, restricted stock units are generally net share-settled to cover the required minimum withholding tax and the remaining amount is converted into an equivalent number of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second quarter of fiscal 2015, the Company granted performance restricted stock units to its executive and certain other senior officers. These units have requisite service (vesting) periods of three years and have no dividend rights. For the three and nine months ended February 28, 2015, the Company recognized share-based compensation expense related to performance restricted stock units of $0.1 million and $0.2 million, respectively. At February 28, 2015, there was $1.6 million of total unrecognized compensation costs related to approximately 115,000 non-vested performance restricted stock units. These costs are expected to be recognized over a weighted-average period of approximately 2.5 years. The actual payout of these units will vary based on the Company’s performance over a three-year period (based on pre-established targets) and a market condition modifier based on total shareholder return (TSR) compared to an industry peer group. Compensation cost is initially measured assuming that the target performance condition will be achieved. However, compensation cost related to the performance condition is adjusted for subsequent changes in the expected outcome of the performance condition. Compensation cost related to the TSR condition is fixed at the measurement date, and not subsequently adjusted.</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second quarter of fiscal 2014, the Company granted performance restricted stock units to its executive officers and certain other senior officers. These units have requisite service (vesting) periods of three years and have no dividend rights. For the three months ended February 28, 2015 and 2014, the Company recognized share-based compensation expense/(benefit) related to performance restricted stock units of $(0.9) million and less than $0.1 million, respectively. For the nine months ended February 28, 2015 and 2014, the Company recognized share-based compensation expense related to performance restricted stock units of $0.7 million and $1.2 million, respectively. At February 28, 2015, there was $2.5 million of total unrecognized compensation costs related to approximately 423,000 non-vested performance restricted stock units. These costs are expected to be recognized over a weighted-average period of approximately 1.5 years. The actual payout of these units will vary based on the Company’s performance over one, two and three-year periods (based on pre-established targets) and a market condition modifier based on TSR compared to an industry peer group. Compensation cost is initially measured assuming that the target performance condition will be achieved. However, compensation cost related to the performance condition is adjusted for subsequent changes in the expected outcome of the performance condition. Compensation cost related to the TSR condition is fixed at the measurement date, and not subsequently adjusted. The one-year performance condition of the fiscal 2014 awards was not achieved. The one-year market condition of the fiscal 2014 awards was achieved and will payout at 170% of target once the requisite service period is complete.</w:t>
      </w:r>
    </w:p>
    <w:p>
      <w:pPr>
        <w:spacing w:after="0" w:line="165"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0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February 28,</w:t>
            </w:r>
          </w:p>
        </w:tc>
        <w:tc>
          <w:tcPr>
            <w:tcW w:w="320" w:type="dxa"/>
            <w:vAlign w:val="bottom"/>
          </w:tcPr>
          <w:p>
            <w:pPr>
              <w:spacing w:after="0"/>
              <w:rPr>
                <w:sz w:val="16"/>
                <w:szCs w:val="16"/>
                <w:color w:val="auto"/>
              </w:rPr>
            </w:pPr>
          </w:p>
        </w:tc>
        <w:tc>
          <w:tcPr>
            <w:tcW w:w="27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51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162"/>
        </w:trPr>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16,099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28,338</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0.57</w:t>
            </w:r>
          </w:p>
        </w:tc>
      </w:tr>
      <w:tr>
        <w:trPr>
          <w:trHeight w:val="284"/>
        </w:trPr>
        <w:tc>
          <w:tcPr>
            <w:tcW w:w="5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16,099</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28,338</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161</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29,249</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0.55</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first nine months of fiscal 2015, the Company completed four acquisitions. The Company purchased a company, located in Louisiana, a provider of maintenance and inspection services primarily on offshore platforms. This acquisition expands the service offerings within the Services segment, allowing the Company to provide services to the upstream operations of its customers. The Company also purchased a group of asset protection businesses located in Quebec, Canada and an asset inspection business in Florida to complement service offerings within the Company’s Services segment and continue its market expansion strategy. The Company’s International Segment completed an acquisition of an asset inspection business located in the United Kingdom.</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these acquisitions, the Company acquired 100% of the common stock or certain assets of each acquiree in exchange for aggregate consideration of approximately $35.7 million in cash and $20.5 million in notes payable issued as part of the acquisition and other liabilities assumed. The Company accounted for these transactions in accordance with the acquisition method of accounting for business combinations. In addition, the acquisitions in Quebec and Florida provide for contingent consideration of up to $3.2 million to be earned based upon the acquired business achieving specific performance metrics over the next three years of operation. The Company is in the process of completing the purchase price allocations for these acquisitions.</w:t>
      </w:r>
    </w:p>
    <w:p>
      <w:pPr>
        <w:spacing w:after="0" w:line="158"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amortization period of intangible assets acquired in fiscal 2015 ranges from 3 to 10 years. The Company recorded $45.2 million of goodwill in connection with these acquisitions, reflecting the strategic fit and revenue and earnings growth potential of these business.</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Revenues and operating income from these acquisitions for the period subsequent to the closing of these transactions were $38.4 million and $2.0 million, respectively, for the nine month period ended February 28, 2015. No unaudited pro forma financial information is required as these acquisitions are not significant to the Company.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first nine months of fiscal 2014, the Company completed four acquisitions. The Company acquired a professional engineering consulting and technical training services company located in the U.S. serving the hydrocarbon processing and other energy-related industries. The Company also completed the acquisition of an asset protection business located in Texas and two businesses located in Canada to continue its market expansion strategy. These companies were acquired to complement service offerings within the Company’s Services segment and expand its technical capabilities. In these acquisitions, the Company acquired 100% of the common stock or certain assets of each acquiree in exchange for aggregate consideration of $19.3 million in cash. In addition to the initial cash payment, the Company may pay up to $5.7 million in contingent consideration which may be earned based upon</w:t>
      </w:r>
    </w:p>
    <w:p>
      <w:pPr>
        <w:sectPr>
          <w:pgSz w:w="11900" w:h="16838" w:orient="portrait"/>
          <w:cols w:equalWidth="0" w:num="1">
            <w:col w:w="11420"/>
          </w:cols>
          <w:pgMar w:left="240" w:top="121"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acquired companies achieving specific performance metrics over specified periods ranging from 2 to 3 years from the acquisition date.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assets and liabilities of the businesses acquired in fiscal 2015 were included in the Company’s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The results of operations for these acquisitions are included in each respective operating segment’s results of operations from the date of acquisition. For acquisitions in fiscal 2015 for which the final purchase accounting has yet to be completed, the Company’s preliminary purchase price allocations are included in the table below, summarizing the estimated fair value of the assets acquired and liabilities assumed at the date of acquisition: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Fiscal</w:t>
            </w:r>
          </w:p>
        </w:tc>
      </w:tr>
      <w:tr>
        <w:trPr>
          <w:trHeight w:val="209"/>
        </w:trPr>
        <w:tc>
          <w:tcPr>
            <w:tcW w:w="8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162"/>
        </w:trPr>
        <w:tc>
          <w:tcPr>
            <w:tcW w:w="8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Entities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34,529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Notes payable issued to seller</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20,000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Consideration transferred</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56,784</w:t>
            </w:r>
          </w:p>
        </w:tc>
      </w:tr>
      <w:tr>
        <w:trPr>
          <w:trHeight w:val="284"/>
        </w:trPr>
        <w:tc>
          <w:tcPr>
            <w:tcW w:w="8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9,684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6,964</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Current deferred tax asset</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12,373</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44,272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Long-term deferred tax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(4,361)</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56,784</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nine month period ended February 28, 2015, the Company incurred acquisition-related costs of $0.2 million, in connection with due diligence, professional fees, and other expenses related to its acquisition activity. Additionally, the Company adjusted the fair value of certain previously recorded acquisition-related contingent consideration liabilities. For the three and nine month periods ended February 28, 2015, these adjustments resulted in a net decrease of acquisition-related contingent consideration liabilities and a corresponding increase in income from operations of $1.7 million and $3.3 million, respectively. The Company’s aggregate acquisition-related contingent consideration liabilities were $8.8 million and $14.1 million as of February 28, 2015 and May 31, 2014, respectively.</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the three and nine month period ended February 28, 2014, the Company incurred acquisition-related costs of $0.4 million and $0.9 million in connection with due diligence, professional fees, and other expenses for its acquisition activity. Additionally, the Company adjusted the fair value of certain acquisition-related contingent consideration liabilities. For the three month period ended February 28, 2014, these adjustments resulted in a net increase of acquisition-related contingent consideration liabilities and a corresponding decrease in income from operations of $0.6 million. For the nine month period ended February 28, 2014, these adjustments resulted in a net decrease of acquisition-related contingent consideration liabilities and a corresponding increase in income from operations of $2.4 million, respectively.</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fair value adjustments to acquisition-related contingent consideration liabilities and the acquisition-related transaction costs have been classified as acquisition-related expense, net in the condensed consolidated statements of income for the three and nine month periods ended February 28, 2015 and 2014.</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5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2015</w:t>
            </w:r>
          </w:p>
        </w:tc>
        <w:tc>
          <w:tcPr>
            <w:tcW w:w="26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May 31, 2014</w:t>
            </w:r>
          </w:p>
        </w:tc>
      </w:tr>
      <w:tr>
        <w:trPr>
          <w:trHeight w:val="162"/>
        </w:trPr>
        <w:tc>
          <w:tcPr>
            <w:tcW w:w="7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140,120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125,548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1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February 28, 2015</w:t>
            </w:r>
          </w:p>
        </w:tc>
        <w:tc>
          <w:tcPr>
            <w:tcW w:w="300" w:type="dxa"/>
            <w:vAlign w:val="bottom"/>
          </w:tcPr>
          <w:p>
            <w:pPr>
              <w:spacing w:after="0"/>
              <w:rPr>
                <w:sz w:val="14"/>
                <w:szCs w:val="14"/>
                <w:color w:val="auto"/>
              </w:rPr>
            </w:pPr>
          </w:p>
        </w:tc>
        <w:tc>
          <w:tcPr>
            <w:tcW w:w="15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jc w:val="center"/>
              <w:ind w:left="1057"/>
              <w:spacing w:after="0"/>
              <w:rPr>
                <w:sz w:val="20"/>
                <w:szCs w:val="20"/>
                <w:color w:val="auto"/>
              </w:rPr>
            </w:pPr>
            <w:r>
              <w:rPr>
                <w:rFonts w:ascii="Arial" w:cs="Arial" w:eastAsia="Arial" w:hAnsi="Arial"/>
                <w:sz w:val="18"/>
                <w:szCs w:val="18"/>
                <w:color w:val="auto"/>
                <w:w w:val="91"/>
              </w:rPr>
              <w:t>30-40</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17,160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22,983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Arial" w:cs="Arial" w:eastAsia="Arial" w:hAnsi="Arial"/>
                <w:sz w:val="18"/>
                <w:szCs w:val="18"/>
                <w:color w:val="auto"/>
                <w:w w:val="92"/>
              </w:rPr>
              <w:t>5-8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40" w:type="dxa"/>
            <w:vAlign w:val="bottom"/>
          </w:tcPr>
          <w:p>
            <w:pPr>
              <w:jc w:val="center"/>
              <w:ind w:left="1037"/>
              <w:spacing w:after="0"/>
              <w:rPr>
                <w:sz w:val="20"/>
                <w:szCs w:val="20"/>
                <w:color w:val="auto"/>
              </w:rPr>
            </w:pPr>
            <w:r>
              <w:rPr>
                <w:rFonts w:ascii="Arial" w:cs="Arial" w:eastAsia="Arial" w:hAnsi="Arial"/>
                <w:sz w:val="18"/>
                <w:szCs w:val="18"/>
                <w:color w:val="auto"/>
                <w:w w:val="92"/>
              </w:rPr>
              <w:t>5-7</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158,530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144,798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176,888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(99,077)</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80,125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77,811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for the three months ended February 28, 2015 and 2014 was $5.4 million and $4.9 million, respectively. Depreciation expense for the nine months ended February 28, 2015 and 2014 was $16.3 million and $14.1 million, respectively.</w:t>
      </w:r>
    </w:p>
    <w:p>
      <w:pPr>
        <w:spacing w:after="0" w:line="166"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February 28,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3"/>
                <w:szCs w:val="13"/>
                <w:color w:val="auto"/>
              </w:rPr>
            </w:pPr>
          </w:p>
        </w:tc>
        <w:tc>
          <w:tcPr>
            <w:tcW w:w="9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83,923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47,759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6,156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117,859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56,147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113,063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57,875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Amortization expense for the three months ended February 28, 2015 and 2014 was $2.7 million and $2.4 million, respectively. Amortization expense for the nine months ended February 28, 2015 and 2014 was $8.5 million and $6.7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58"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February 28, 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17,316</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47,881</w:t>
            </w: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54,650</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9.</w:t>
            </w:r>
          </w:p>
        </w:tc>
        <w:tc>
          <w:tcPr>
            <w:tcW w:w="77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77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February 28, 2015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31, 2014</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96,693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61,148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126,228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76,648</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109,322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68,590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October 31, 2014, the Company entered into a Third Amendment and Modification Agreement (the “Amendment”), to its revolving line of credit, the Third Amended and Restated Credit Agreement (“Credit Agreement”), dated December 21, 2011, with Bank of America, N.A., as agent for the lenders and a lender, and JPMorgan Chase Bank, N.A., Keybank, National Association and TD Bank, N.A., as lenders. The Amendment increased the Company’s revolving line of credit to from $125.0 million to $175.0 million and provides that under certain circumstances the line of credit can be increased to $225.0 million. The Company may continue to borrow up to $30.0 million in non-U.S. Dollar currencies and use up to $10.0 million of the credit limit for the issuance of letters of credit. The Amendment also extended the original maturity date of the Credit Agreement from December 20, 2016 to October 30, 2019. As of February 28, 2015, the Company had borrowings of $96.7 million and a total of $4.7 million of letters of credit outstanding under the Credit Agreement.</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generally the ratio of</w:t>
      </w:r>
    </w:p>
    <w:p>
      <w:pPr>
        <w:ind w:right="120" w:firstLine="8"/>
        <w:spacing w:after="0" w:line="28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60"/>
        <w:spacing w:after="0" w:line="270"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February 28, 2015,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certain of its acquisitions through fiscal 2015, the Company issued subordinated notes payable to the sellers. The maturity of the notes that remain outstanding range from two to five years from the date of acquisition with stated interest rates ranging from 0% to 4%. The Company has discounted these obligations to reflect a 2% to 4% market interest. Unamortized discount on the notes was de minimis as of February 28, 2015 and May 31, 2014. Amortization is recorded as interest expense in the consolidated statements of income.</w:t>
      </w:r>
    </w:p>
    <w:p>
      <w:pPr>
        <w:spacing w:after="0" w:line="187"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4"/>
              </w:rPr>
              <w:t>February 28, 2015</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8,760</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8,760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5"/>
              </w:rPr>
              <w:t>May 31, 2014</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14,145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14,145</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an environmental incident which occurred in February 2011 outside on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fiscal 2012 and 2013, the Company performed radiography work on the construction of pipeline projects in Georgia. The Company has received notice that the owner of the pipeline projects contends that certain of the x-ray images the Company’s technicians prepared did not meet the code quality interpretation standards required by API (American Petroleum Institute) 1104 for one of the projects. The owner of the projects is claiming damages as a result of the alleged quality defects of the Company’s x-ray images. No lawsuit has been filed at this time. The owner has requested additional information on the other project, but has not yet indicated that any of the Company’s work was defective. The Company is currently unable to determine the likely outcome or reasonably estimate the amount or range of potential liability related to this matter, and accordingly, has not established any reserves for this matter.</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received a notice from an insurance company of a chemical plant alleging that the Company is liable due to faulty inspections for all or part of $46 million of damages paid by the insurance company as a result of an explosion at the facility. The Company believes it was not involved in inspecting the portion of the plant where the explosion occurred and therefore has no liability for the claim. Accordingly, the Company has not established a reserve for this matter.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February 28, 2015, total potential acquisition-related contingent consideration ranged from zero to approximately $23.3 million and would be payable upon the achievement of specific performance metrics by certain of the acquired companies over the next three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20" w:hanging="484"/>
        <w:spacing w:after="0" w:line="264" w:lineRule="auto"/>
        <w:tabs>
          <w:tab w:leader="none" w:pos="897"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1140" w:right="20" w:hanging="484"/>
        <w:spacing w:after="0" w:line="264"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00" w:hanging="484"/>
        <w:spacing w:after="0" w:line="277"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1 — </w:t>
      </w:r>
      <w:r>
        <w:rPr>
          <w:rFonts w:ascii="Arial" w:cs="Arial" w:eastAsia="Arial" w:hAnsi="Arial"/>
          <w:sz w:val="17"/>
          <w:szCs w:val="17"/>
          <w:i w:val="1"/>
          <w:iCs w:val="1"/>
          <w:color w:val="auto"/>
        </w:rPr>
        <w:t>Description of Business and Basis of Presentation</w:t>
      </w:r>
      <w:r>
        <w:rPr>
          <w:rFonts w:ascii="Arial" w:cs="Arial" w:eastAsia="Arial" w:hAnsi="Arial"/>
          <w:sz w:val="17"/>
          <w:szCs w:val="17"/>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2" w:right="3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February 28,</w:t>
            </w:r>
          </w:p>
        </w:tc>
        <w:tc>
          <w:tcPr>
            <w:tcW w:w="320" w:type="dxa"/>
            <w:vAlign w:val="bottom"/>
          </w:tcPr>
          <w:p>
            <w:pPr>
              <w:spacing w:after="0"/>
              <w:rPr>
                <w:sz w:val="16"/>
                <w:szCs w:val="16"/>
                <w:color w:val="auto"/>
              </w:rPr>
            </w:pPr>
          </w:p>
        </w:tc>
        <w:tc>
          <w:tcPr>
            <w:tcW w:w="2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5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121,845</w:t>
            </w:r>
          </w:p>
        </w:tc>
        <w:tc>
          <w:tcPr>
            <w:tcW w:w="10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404,651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313,794</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33,554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119,032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22,588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22,799</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r>
      <w:tr>
        <w:trPr>
          <w:trHeight w:val="237"/>
        </w:trPr>
        <w:tc>
          <w:tcPr>
            <w:tcW w:w="514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163,100</w:t>
            </w:r>
          </w:p>
        </w:tc>
        <w:tc>
          <w:tcPr>
            <w:tcW w:w="10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151,727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536,566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444,320</w:t>
            </w:r>
          </w:p>
        </w:tc>
      </w:tr>
      <w:tr>
        <w:trPr>
          <w:trHeight w:val="27"/>
        </w:trPr>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96"/>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February 28,</w:t>
            </w:r>
          </w:p>
        </w:tc>
        <w:tc>
          <w:tcPr>
            <w:tcW w:w="320" w:type="dxa"/>
            <w:vAlign w:val="bottom"/>
          </w:tcPr>
          <w:p>
            <w:pPr>
              <w:spacing w:after="0"/>
              <w:rPr>
                <w:sz w:val="24"/>
                <w:szCs w:val="24"/>
                <w:color w:val="auto"/>
              </w:rPr>
            </w:pPr>
          </w:p>
        </w:tc>
        <w:tc>
          <w:tcPr>
            <w:tcW w:w="2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5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27,429</w:t>
            </w:r>
          </w:p>
        </w:tc>
        <w:tc>
          <w:tcPr>
            <w:tcW w:w="10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26,216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101,452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83,881</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33,499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9,776</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7"/>
        </w:trPr>
        <w:tc>
          <w:tcPr>
            <w:tcW w:w="514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39,300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139,767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126,554</w:t>
            </w:r>
          </w:p>
        </w:tc>
      </w:tr>
      <w:tr>
        <w:trPr>
          <w:trHeight w:val="27"/>
        </w:trPr>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96"/>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February 28,</w:t>
            </w:r>
          </w:p>
        </w:tc>
        <w:tc>
          <w:tcPr>
            <w:tcW w:w="320" w:type="dxa"/>
            <w:vAlign w:val="bottom"/>
          </w:tcPr>
          <w:p>
            <w:pPr>
              <w:spacing w:after="0"/>
              <w:rPr>
                <w:sz w:val="24"/>
                <w:szCs w:val="24"/>
                <w:color w:val="auto"/>
              </w:rPr>
            </w:pPr>
          </w:p>
        </w:tc>
        <w:tc>
          <w:tcPr>
            <w:tcW w:w="2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5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36,208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32,698</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9,192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1,147</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27,827</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February 28,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right="213"/>
              <w:spacing w:after="0"/>
              <w:rPr>
                <w:sz w:val="20"/>
                <w:szCs w:val="20"/>
                <w:color w:val="auto"/>
              </w:rPr>
            </w:pPr>
            <w:r>
              <w:rPr>
                <w:rFonts w:ascii="Arial" w:cs="Arial" w:eastAsia="Arial" w:hAnsi="Arial"/>
                <w:sz w:val="14"/>
                <w:szCs w:val="14"/>
                <w:b w:val="1"/>
                <w:bCs w:val="1"/>
                <w:color w:val="auto"/>
                <w:w w:val="92"/>
              </w:rPr>
              <w:t>Nine months ended February 28,</w:t>
            </w:r>
          </w:p>
        </w:tc>
      </w:tr>
      <w:tr>
        <w:trPr>
          <w:trHeight w:val="264"/>
        </w:trPr>
        <w:tc>
          <w:tcPr>
            <w:tcW w:w="52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5,658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4,591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16,622</w:t>
            </w:r>
          </w:p>
        </w:tc>
        <w:tc>
          <w:tcPr>
            <w:tcW w:w="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12,982</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5,958</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1,763</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r>
      <w:tr>
        <w:trPr>
          <w:trHeight w:val="237"/>
        </w:trPr>
        <w:tc>
          <w:tcPr>
            <w:tcW w:w="5240" w:type="dxa"/>
            <w:vAlign w:val="bottom"/>
          </w:tcPr>
          <w:p>
            <w:pPr>
              <w:spacing w:after="0"/>
              <w:rPr>
                <w:sz w:val="20"/>
                <w:szCs w:val="20"/>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8,114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24,779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20,850</w:t>
            </w:r>
          </w:p>
        </w:tc>
      </w:tr>
      <w:tr>
        <w:trPr>
          <w:trHeight w:val="27"/>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96"/>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tcPr>
          <w:p>
            <w:pPr>
              <w:ind w:left="100"/>
              <w:spacing w:after="0"/>
              <w:rPr>
                <w:sz w:val="20"/>
                <w:szCs w:val="20"/>
                <w:color w:val="auto"/>
              </w:rPr>
            </w:pPr>
            <w:r>
              <w:rPr>
                <w:rFonts w:ascii="Arial" w:cs="Arial" w:eastAsia="Arial" w:hAnsi="Arial"/>
                <w:sz w:val="14"/>
                <w:szCs w:val="14"/>
                <w:b w:val="1"/>
                <w:bCs w:val="1"/>
                <w:color w:val="auto"/>
              </w:rPr>
              <w:t>February 28, 2015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2014</w:t>
            </w:r>
          </w:p>
        </w:tc>
      </w:tr>
      <w:tr>
        <w:trPr>
          <w:trHeight w:val="236"/>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116,567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73,767</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43,552</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13,197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13,197</w:t>
            </w:r>
          </w:p>
        </w:tc>
      </w:tr>
      <w:tr>
        <w:trPr>
          <w:trHeight w:val="27"/>
        </w:trPr>
        <w:tc>
          <w:tcPr>
            <w:tcW w:w="5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166,531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130,516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136"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2" w:right="259" w:bottom="1136"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2015</w:t>
            </w:r>
          </w:p>
        </w:tc>
        <w:tc>
          <w:tcPr>
            <w:tcW w:w="260" w:type="dxa"/>
            <w:vAlign w:val="bottom"/>
          </w:tcPr>
          <w:p>
            <w:pPr>
              <w:spacing w:after="0"/>
              <w:rPr>
                <w:sz w:val="16"/>
                <w:szCs w:val="16"/>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2014</w:t>
            </w:r>
          </w:p>
        </w:tc>
      </w:tr>
      <w:tr>
        <w:trPr>
          <w:trHeight w:val="236"/>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311,947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249,378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155,571</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35,410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38,041</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982</w:t>
            </w:r>
          </w:p>
        </w:tc>
      </w:tr>
      <w:tr>
        <w:trPr>
          <w:trHeight w:val="237"/>
        </w:trPr>
        <w:tc>
          <w:tcPr>
            <w:tcW w:w="8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477,329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443,972</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February 28, 2015 and 2014,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February 28,</w:t>
            </w:r>
          </w:p>
        </w:tc>
        <w:tc>
          <w:tcPr>
            <w:tcW w:w="320" w:type="dxa"/>
            <w:vAlign w:val="bottom"/>
          </w:tcPr>
          <w:p>
            <w:pPr>
              <w:spacing w:after="0"/>
              <w:rPr>
                <w:sz w:val="16"/>
                <w:szCs w:val="16"/>
                <w:color w:val="auto"/>
              </w:rPr>
            </w:pPr>
          </w:p>
        </w:tc>
        <w:tc>
          <w:tcPr>
            <w:tcW w:w="2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5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113,664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100,784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365,912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283,438</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39,589</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33,636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106,370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106,441</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14,852</w:t>
            </w:r>
          </w:p>
        </w:tc>
      </w:tr>
      <w:tr>
        <w:trPr>
          <w:trHeight w:val="237"/>
        </w:trPr>
        <w:tc>
          <w:tcPr>
            <w:tcW w:w="5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163,100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151,727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536,566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444,320</w:t>
            </w:r>
          </w:p>
        </w:tc>
      </w:tr>
      <w:tr>
        <w:trPr>
          <w:trHeight w:val="27"/>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87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nine months ended February 28, 2015 and 2014.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2014 (“2014 Annual Report”). In this quarterly report, our fiscal years, which end on May 31, are identified according to the calendar year in which they end (e.g., the fiscal year ending May 31, 2015 is referred to as “fiscal 2015”), and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in the “Business—Forward-Looking Statements,” and “Risk Factors” sections of our 2014 Annual Report as well as those discussed in our other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66" w:lineRule="exact"/>
        <w:rPr>
          <w:sz w:val="20"/>
          <w:szCs w:val="20"/>
          <w:color w:val="auto"/>
        </w:rPr>
      </w:pPr>
    </w:p>
    <w:p>
      <w:pPr>
        <w:jc w:val="both"/>
        <w:ind w:left="740" w:right="500" w:hanging="246"/>
        <w:spacing w:after="0" w:line="264"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along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Canadian services business, consisting primarily of NDT,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60" w:hanging="246"/>
        <w:spacing w:after="0" w:line="342" w:lineRule="auto"/>
        <w:tabs>
          <w:tab w:leader="none" w:pos="7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i w:val="1"/>
          <w:iCs w:val="1"/>
          <w:color w:val="auto"/>
        </w:rPr>
      </w:pPr>
    </w:p>
    <w:p>
      <w:pPr>
        <w:ind w:left="740" w:right="40" w:hanging="246"/>
        <w:spacing w:after="0" w:line="277"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are working on building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global economy continues to be fragile. Global financial markets continue to experience uncertainty, including tight liquidity and credit availability, relatively low consumer confidence, high unemployment rates, slow economic growth, fluctuating oil prices and volatile currency exchange rates. However, we believe these conditions have allowed us to selectively hire new talented individuals that otherwise might not have been available to us, to acquire new technologies in order to aggressively expand our proprietary portfolio of customized solutions, and to make acquisitions of complementary businesses at reasonable valuations.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and nine months ended February 28, 2015 and 2014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February 28,</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February 28,</w:t>
            </w:r>
          </w:p>
        </w:tc>
        <w:tc>
          <w:tcPr>
            <w:tcW w:w="94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163,100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151,727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536,566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444,320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39,300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139,767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126,554</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36,300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114,041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98,727</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27,827</w:t>
            </w:r>
          </w:p>
        </w:tc>
      </w:tr>
      <w:tr>
        <w:trPr>
          <w:trHeight w:val="27"/>
        </w:trPr>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2,309</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22,308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25,518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9,375</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13,851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16,143</w:t>
            </w:r>
          </w:p>
        </w:tc>
      </w:tr>
      <w:tr>
        <w:trPr>
          <w:trHeight w:val="229"/>
        </w:trPr>
        <w:tc>
          <w:tcPr>
            <w:tcW w:w="4960" w:type="dxa"/>
            <w:vAlign w:val="bottom"/>
          </w:tcPr>
          <w:p>
            <w:pPr>
              <w:ind w:left="180"/>
              <w:spacing w:after="0"/>
              <w:rPr>
                <w:sz w:val="20"/>
                <w:szCs w:val="20"/>
                <w:color w:val="auto"/>
              </w:rPr>
            </w:pPr>
            <w:r>
              <w:rPr>
                <w:rFonts w:ascii="Arial" w:cs="Arial" w:eastAsia="Arial" w:hAnsi="Arial"/>
                <w:sz w:val="18"/>
                <w:szCs w:val="18"/>
                <w:color w:val="auto"/>
                <w:w w:val="96"/>
              </w:rPr>
              <w:t>Less: net loss (income) attributable to noncontrolling interests,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380" w:type="dxa"/>
            <w:vAlign w:val="bottom"/>
          </w:tcPr>
          <w:p>
            <w:pPr>
              <w:spacing w:after="0"/>
              <w:rPr>
                <w:sz w:val="20"/>
                <w:szCs w:val="20"/>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(44)</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13,910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16,099</w:t>
            </w:r>
          </w:p>
        </w:tc>
      </w:tr>
      <w:tr>
        <w:trPr>
          <w:trHeight w:val="20"/>
        </w:trPr>
        <w:tc>
          <w:tcPr>
            <w:tcW w:w="4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6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three and nine months ended February 28, 2015 and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February 28,</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February 28,</w:t>
            </w:r>
          </w:p>
        </w:tc>
        <w:tc>
          <w:tcPr>
            <w:tcW w:w="90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21"/>
                <w:szCs w:val="2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 and Adjusted EBITDA data</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16,099</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9,375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24,779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20,850</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12,033</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50,564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48,633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Acquisition-related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10,990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52,383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51,116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Adjusted EBITDA is a performance measure used by management that is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and, if applicable, certain non-recurring items which we note.</w:t>
      </w:r>
    </w:p>
    <w:p>
      <w:pPr>
        <w:spacing w:after="0" w:line="15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Later in the MD&amp;A under the heading "Income for Operations", the non-GAAP financial performance measures "Income from operations before acquisition-related expense (benefit), net” is used for each of our three segments and the "Total Company", with tables reconciling the measure to a financial measure under GAAP. This non-GAAP measures excludes from the GAAP measure "Income from Operations" (a) transaction expenses related to acquisitions, such as professional fees and due diligence costs and (b) the net changes in the fair value of acquisition-related contingent consideration liabilities. These items have been excluded from the GAAP measure because these expenses 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MD&amp;A section "Liquidity and Capital Resources", we use the term free cash flow, a non-GAAP measurement. We define free cash flow as cash provided by operating activities less capital expenditures (which is classified as an investing activity). Free cash flow for the first nine months of fiscal 2015 was $22.5 million consisting of $34.3 million of operating cash flow less $11.8 million of capital expenditures. For the comparable period in fiscal 2014, free cash flow was $10.9 million consisting of $22.6 million of operating cash flow less $11.7 million of capital expenditures.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EBITDA, Adjusted EBITDA and "Income from operations before acquisition-related expense (benefit), net” for each of our three segments and the "Total Company", and free cash flow in evaluating our operating performance because they provide additional tools to compare our operating performance on a consistent basis and measure underlying trends and results in our business. EBITDA and Adjusted EBITDA remove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compensation, which is a non-cash expense and is excluded by management when evaluating the underlying performance of our business operations. Similarly, we believe that "Income from operations before acquisition-related expense (benefit), net” for each of our three segments and the "Total Company", provides investors with useful information and more meaningful period over period comparisons by identifying and excluding these acquisition-related costs so that the performance of the core business operations can be identified and compared.</w:t>
      </w:r>
    </w:p>
    <w:p>
      <w:pPr>
        <w:spacing w:after="0" w:line="18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EBITDA and Adjusted EBITDA should not be considered in isolation or as a substitute for analyzing our results as reported under U.S. generally accepted accounting principles. In addition, acquisitions are a part of our growth strategy, and therefore acquisition-related items are a necessary cost of the Company’s business. "Income from operations before acquisition-related expense (benefit), net” for each of our three segments and for the consolidated company and “free cash flow” are not metrics used to determine incentive compensation for executives or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Revenues were $163.1 million for the three months ended February 28, 2015 compared to $151.7 million for the three months ended February 28, 2014.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Revenues were $536.6 million for the nine months ended February 28, 2015 compared to $444.3 million for the nine months ended February 28, 2014.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nine months ended February 28, 2015 and 2014 were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left="5240"/>
        <w:spacing w:after="0"/>
        <w:rPr>
          <w:sz w:val="20"/>
          <w:szCs w:val="20"/>
          <w:color w:val="auto"/>
        </w:rPr>
      </w:pPr>
      <w:r>
        <w:rPr>
          <w:rFonts w:ascii="Arial" w:cs="Arial" w:eastAsia="Arial" w:hAnsi="Arial"/>
          <w:sz w:val="12"/>
          <w:szCs w:val="12"/>
          <w:b w:val="1"/>
          <w:bCs w:val="1"/>
          <w:color w:val="auto"/>
        </w:rPr>
        <w:t>Three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38100</wp:posOffset>
            </wp:positionV>
            <wp:extent cx="1964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6" w:lineRule="exact"/>
        <w:rPr>
          <w:sz w:val="20"/>
          <w:szCs w:val="20"/>
          <w:color w:val="auto"/>
        </w:rPr>
      </w:pPr>
    </w:p>
    <w:p>
      <w:pPr>
        <w:ind w:left="5760"/>
        <w:spacing w:after="0"/>
        <w:tabs>
          <w:tab w:leader="none" w:pos="73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1964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89"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38100</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26" w:lineRule="exact"/>
        <w:rPr>
          <w:sz w:val="20"/>
          <w:szCs w:val="20"/>
          <w:color w:val="auto"/>
        </w:rPr>
      </w:pPr>
    </w:p>
    <w:p>
      <w:pPr>
        <w:ind w:left="60"/>
        <w:spacing w:after="0"/>
        <w:tabs>
          <w:tab w:leader="none" w:pos="16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23495</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8160" w:space="720"/>
            <w:col w:w="25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121,845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109,122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404,651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313,794</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119,032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22,799</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r>
      <w:tr>
        <w:trPr>
          <w:trHeight w:val="237"/>
        </w:trPr>
        <w:tc>
          <w:tcPr>
            <w:tcW w:w="514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163,100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151,727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536,566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444,320</w:t>
            </w:r>
          </w:p>
        </w:tc>
      </w:tr>
      <w:tr>
        <w:trPr>
          <w:trHeight w:val="27"/>
        </w:trPr>
        <w:tc>
          <w:tcPr>
            <w:tcW w:w="5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growth rates for the three and nine months ended February 28, 2015 and 2014 were as follows:</w:t>
      </w:r>
    </w:p>
    <w:p>
      <w:pPr>
        <w:sectPr>
          <w:pgSz w:w="11900" w:h="16838" w:orient="portrait"/>
          <w:cols w:equalWidth="0" w:num="1">
            <w:col w:w="11420"/>
          </w:cols>
          <w:pgMar w:left="240" w:top="121" w:right="239" w:bottom="1440" w:gutter="0" w:footer="0" w:header="0"/>
          <w:type w:val="continuous"/>
        </w:sectPr>
      </w:pPr>
    </w:p>
    <w:p>
      <w:pPr>
        <w:spacing w:after="0" w:line="230" w:lineRule="exact"/>
        <w:rPr>
          <w:sz w:val="20"/>
          <w:szCs w:val="20"/>
          <w:color w:val="auto"/>
        </w:rPr>
      </w:pPr>
    </w:p>
    <w:p>
      <w:pPr>
        <w:jc w:val="center"/>
        <w:ind w:left="4940"/>
        <w:spacing w:after="0"/>
        <w:rPr>
          <w:sz w:val="20"/>
          <w:szCs w:val="20"/>
          <w:color w:val="auto"/>
        </w:rPr>
      </w:pPr>
      <w:r>
        <w:rPr>
          <w:rFonts w:ascii="Arial" w:cs="Arial" w:eastAsia="Arial" w:hAnsi="Arial"/>
          <w:sz w:val="13"/>
          <w:szCs w:val="13"/>
          <w:b w:val="1"/>
          <w:bCs w:val="1"/>
          <w:color w:val="auto"/>
        </w:rPr>
        <w:t>Three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31115</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14" w:lineRule="exact"/>
        <w:rPr>
          <w:sz w:val="20"/>
          <w:szCs w:val="20"/>
          <w:color w:val="auto"/>
        </w:rPr>
      </w:pPr>
    </w:p>
    <w:p>
      <w:pPr>
        <w:ind w:left="5540"/>
        <w:spacing w:after="0"/>
        <w:tabs>
          <w:tab w:leader="none" w:pos="71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23495</wp:posOffset>
            </wp:positionV>
            <wp:extent cx="2023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9"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31115</wp:posOffset>
            </wp:positionV>
            <wp:extent cx="2032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14" w:lineRule="exact"/>
        <w:rPr>
          <w:sz w:val="20"/>
          <w:szCs w:val="20"/>
          <w:color w:val="auto"/>
        </w:rPr>
      </w:pPr>
    </w:p>
    <w:p>
      <w:pPr>
        <w:ind w:left="40"/>
        <w:spacing w:after="0"/>
        <w:tabs>
          <w:tab w:leader="none" w:pos="16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23495</wp:posOffset>
            </wp:positionV>
            <wp:extent cx="2032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p>
      <w:pPr>
        <w:sectPr>
          <w:pgSz w:w="11900" w:h="16838" w:orient="portrait"/>
          <w:cols w:equalWidth="0" w:num="2">
            <w:col w:w="8080" w:space="720"/>
            <w:col w:w="26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growth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11,373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18,066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92,246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59,543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 Growth over prior year</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Comprised of:</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 of organic growth</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of acquisition growth</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 foreign exchange (decrease) increase</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third quarter of fiscal 2015, our revenue growth was primarily driven by our Services segment. Services segment revenues increased approximately 12% due to acquisition growth of approximately 13% and a decline in organic revenue of approximately 1%. Products and Systems segment revenues increased by approximately 12% driven by higher sales to international customers. International Segment revenues declined by approximately 12%, driven by an unfavorable impact of foreign exchanges rates that aggregated 10% of prior year sales, and additionally by fiscal year 2014 projects in the United Kingdom and product sales in Japan and Russia in fiscal 2014 that did not repeat in fiscal year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Oil and gas revenues grew by approximately 9% and remained the Company’s most significant vertical market, comprising 53% of total Company revenues in the third quarters of fiscal 2015 and 2014, respectively. We also experienced growth in several of our other target markets, primarily process industries and industrials. The Company’s top ten customers comprised approximately 36% of total revenues in the third quarter of fiscal 2015 compared with 43% in the third quarter of the prior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nine months of fiscal 2015, our revenue growth was primarily driven by our Services segment. Services segment revenues increased 29% due to acquisition growth of approximately 19% and organic growth of approximately 10%. International Segment’s revenues declined by approximately 4%, driven by unfavorable foreign exchanges rates of 3%, and additionally by projects in the United Kingdom and product sales in Japan and Russia in fiscal 2014 that did not repeat in fiscal year 2015. Products and Systems segment revenues declined approximately 1% primarily due to lower revenue in our Acoustic Emission product line.</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Oil and gas revenues grew by approximately 27% and remained the Company’s most significant vertical market, comprising 52% and 50% of total Company revenues in the first nine months of fiscal 2015 and 2014, respectively. We also experienced growth in several of our other target markets, primarily industrials, process industries, power generation and transmission, and public infrastructure. The Company’s top ten customers comprised approximately 33% of total revenues in the first nine months of fiscal 2015 compared with 38% in the first nine months of the prior fiscal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decreased by $0.6 million, or 1%, to $38.7 million in the third quarter of fiscal 2015, compared with $39.3 million in the third quarter of fiscal 2014. Gross profit increased by $13.2 million, or 10%, to $139.8 million during the first nine months of fiscal 2015, compared with $126.6 million in the first nine months of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February 28, 2015 and 2014 was as follows: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left="5240"/>
        <w:spacing w:after="0"/>
        <w:rPr>
          <w:sz w:val="20"/>
          <w:szCs w:val="20"/>
          <w:color w:val="auto"/>
        </w:rPr>
      </w:pPr>
      <w:r>
        <w:rPr>
          <w:rFonts w:ascii="Arial" w:cs="Arial" w:eastAsia="Arial" w:hAnsi="Arial"/>
          <w:sz w:val="12"/>
          <w:szCs w:val="12"/>
          <w:b w:val="1"/>
          <w:bCs w:val="1"/>
          <w:color w:val="auto"/>
        </w:rPr>
        <w:t>Three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38100</wp:posOffset>
            </wp:positionV>
            <wp:extent cx="1964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26" w:lineRule="exact"/>
        <w:rPr>
          <w:sz w:val="20"/>
          <w:szCs w:val="20"/>
          <w:color w:val="auto"/>
        </w:rPr>
      </w:pPr>
    </w:p>
    <w:p>
      <w:pPr>
        <w:ind w:left="5760"/>
        <w:spacing w:after="0"/>
        <w:tabs>
          <w:tab w:leader="none" w:pos="73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19640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89"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38100</wp:posOffset>
            </wp:positionV>
            <wp:extent cx="1938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26" w:lineRule="exact"/>
        <w:rPr>
          <w:sz w:val="20"/>
          <w:szCs w:val="20"/>
          <w:color w:val="auto"/>
        </w:rPr>
      </w:pPr>
    </w:p>
    <w:p>
      <w:pPr>
        <w:ind w:left="60"/>
        <w:spacing w:after="0"/>
        <w:tabs>
          <w:tab w:leader="none" w:pos="16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23495</wp:posOffset>
            </wp:positionV>
            <wp:extent cx="1938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8160" w:space="720"/>
            <w:col w:w="252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27,429</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26,216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101,452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83,881</w:t>
            </w:r>
          </w:p>
        </w:tc>
      </w:tr>
      <w:tr>
        <w:trPr>
          <w:trHeight w:val="27"/>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33,499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9,776</w:t>
            </w:r>
          </w:p>
        </w:tc>
      </w:tr>
      <w:tr>
        <w:trPr>
          <w:trHeight w:val="27"/>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7"/>
        </w:trPr>
        <w:tc>
          <w:tcPr>
            <w:tcW w:w="51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139,767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126,554</w:t>
            </w:r>
          </w:p>
        </w:tc>
      </w:tr>
      <w:tr>
        <w:trPr>
          <w:trHeight w:val="27"/>
        </w:trPr>
        <w:tc>
          <w:tcPr>
            <w:tcW w:w="5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percentage of revenues, gross profit was 24% and 26% for the third quarters of fiscal 2015 and 2014, respectively. The decrease in gross profit percentage was primarily attributable to the Services and International segments. Service segment gross profit margin was 150 basis points lower than in the third quarter of fiscal 2014. Services profit margins were adversely impacted by union strikes at several of the Company’s largest customer sites, which caused previously scheduled work for some of the Company’s service technicians to be deferred or canceled during the month of February 2015. The Company estimates this adversely impacted Services revenues by 2% and Services gross margin by approximately 50 basis points. The Company's continuing investment to expand into the Canadian oil sands region reduced the Services segment operating income by approximately $1.5 million during the third quarter. International segment gross margins decreased to 21% in the third quarter of fiscal 2015 compared with 26% in the prior year, due primarily to a lower levels of both project sales in the U.K. and product sales in several countries. Products and Systems segment gross margin improved to 49% compared to 48% in the prior year, driven by actions taken to reduce its cost base.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 percentage of revenues, gross profit was 26% and 28% for the first nine months of fiscal 2015 and 2014, respectively. The decrease in gross profit percentage was primarily attributable to the Services and International segments. Service segment gross profit margin declined to 25% compared to 27% in the first nine months of fiscal 2014, due primarily to a continued investment in expanding the Company’s capability to service the Canadian oil sands region, wage increases that exceeded price increases earlier in the Company’s fiscal year and the impact from the union strikes as noted above in the three month results. International segment gross margins decreased to 24% in the first nine months of fiscal 2015 compared with 28% in the prior year, due primarily to a lower level of both project sales in the U.K. and of product sales in several countries. Products and Systems segment gross margin improved to 45% compared to 43% in the prior year driven by cost reductions.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before acquisition-related expense (benefit), net, to income from operations for each of the Company's three segments and for the Company in total: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February 28,</w:t>
            </w:r>
          </w:p>
        </w:tc>
        <w:tc>
          <w:tcPr>
            <w:tcW w:w="280" w:type="dxa"/>
            <w:vAlign w:val="bottom"/>
          </w:tcPr>
          <w:p>
            <w:pPr>
              <w:spacing w:after="0"/>
              <w:rPr>
                <w:sz w:val="16"/>
                <w:szCs w:val="16"/>
                <w:color w:val="auto"/>
              </w:rPr>
            </w:pPr>
          </w:p>
        </w:tc>
        <w:tc>
          <w:tcPr>
            <w:tcW w:w="25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February 28,</w:t>
            </w:r>
          </w:p>
        </w:tc>
      </w:tr>
      <w:tr>
        <w:trPr>
          <w:trHeight w:val="264"/>
        </w:trPr>
        <w:tc>
          <w:tcPr>
            <w:tcW w:w="56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7,082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36,819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33,161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36,208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32,698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(Loss) Income from operations before acquisition-related (benefit)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5,526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(Loss) Income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w w:val="97"/>
              </w:rPr>
              <w:t>Loss from operations before acquisition-related (benefit) 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(14,564)</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(12,502)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4"/>
              </w:rPr>
              <w:t>Income from operations before acquisition-related (benefit) expense,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22,689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26,297</w:t>
            </w: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25,726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27,827</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three months ended February 28, 2015, income from operations exclusive of acquisition-related costs decreased $1.8 million, or 44%, compared with the prior year’s quarter. As a percentage of revenues, income from operations excluding acquisition-related items was 1% and 3% for the third quarters of fiscal 2015 and 2014, respectively.</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Operating expenses decreased by $1.4 million or 4%, compared with the prior year’s third quarter. The decrease was driven by lower acquisition-related expense and decreased operating expenses in the Services and Products and Systems segments. The Services segment experienced an organic year-on-year operating expenses reduction of approximately $1.4 million, excluding operating expenses incurred by recent acquisitions. The Products and Systems segment year-on-year operating expenses declined by $0.7 million, due primarily to actions taken to reduce its cost base.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the nine months ended February 28, 2015, income from operations exclusive of acquisition-related costs decreased $3.6 million or 14%, compared with the prior year. As a percentage of revenues, income from operations excluding acquisition-related items was 4% and 6% for the first half of fiscal 2015 and 2014, respectively.</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Operating expenses increased by $15.3 million, or 16% compared with the prior year’s first nine months, and by $16.8 million, or 17%, excluding acquisition-related items. This increase was driven by the Services segment, which incurred a year-on-year operating expense increase of $13.9 million or 27%, exclusive of acquisition-related charges. Operating expenses incurred by recently acquired companies accounted for $10.5 million of this increase. Corporate operating expenses increased $3.0 million or 25%, exclusive of acquisition-related charges primarily due to higher salary and benefits expenses due to growth, increased share-based compensation expense and the unfavorable impact of foreign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expense was approximately $1.2 million and $0.8 million for the third quarters of fiscal 2015 and 2014, respectively. The increase was primarily related to an increase in average borrowings in the third quarter of fiscal 2015. Interest expense was approximately $3.4 million and $2.3 million for the first nine months of fiscal 2015 and 2014, respectively. The increase was primarily related to an increase in average borrowings in the first nine months of fiscal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effective income tax rate was approximately 35% and 45% for the third quarter of fiscal 2015 and 2014, respectively. The decrease was primarily due to the impact of discrete items, partially offset by an increase in the projected annual tax rate. The Company’s effective income tax rate was approximately 38% and 37% for the first nine months of fiscal 2015 and 2014, respectively. The increase was primarily due to a lower proportion of income from various foreign jurisdictions that carry lower tax rates and higher state income taxes, partially offset by lower permanent tax differences.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February 28,</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34,317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22,589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15,511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11,251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February 28, 2015, cash provided by our operating activities was $34.3 million, an increase of $11.7 million from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comparable period of fiscal 2014. The improvement was primarily attributable to a $25.4 million improvement in the collections of accounts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offset in part by incremental net outflows of $15.0 million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and other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nine months ended February 28, 2015, cash used in investing activities was $46.4 million, an increase of $16.2 million over the comparable period of the prior fiscal year, principally due to acquisitions totaling $35.0 million, net of cash acquired, which also represented an increase of $15.9 million over the prior year. Cash used in investing activities also included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purchases of property, plant and equipment of $11.8 million. The Company generated free cash flow, (a non-GAAP measurement defined as operating cash flow reduced by capital expenditures), of $22.5 million, compared with $10.9 million in the prior year’s comparable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financing activities was $15.5 million for the nine months ended February 28, 2015, an increase of $4.3 million from the comparable period of fiscal 2014. The increase was driven by net borrowings of $35.5 million from our revolving credit facility, offset by repayments of debt, capital lease and contingent consideration obligations of approximately $20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less than $0.1 million and $(1.4) million for the nine months ended February 28,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On October 31, 2014, the Company entered into a Third Amendment and Modification Agreement (the “Amendment”), to our $125.0 million revolving line of credit, the Third Amended and Restated Credit Agreement (“Credit Agreement”), dated December 21, 2011, with Bank of America, N.A., as agent for the lenders and a lender, and JPMorgan Chase Bank, N.A., Keybank, National Association and TD Bank, N.A., as lenders. The Amendment increased the Company’s revolving line of credit to $175.0 million and provides that under certain circumstances the line of credit can be increased to $225.0 million. The Company may continue to borrow up to $30.0 million in non-U.S. Dollar currencies and use up to $10.0 million of the credit limit for the issuance of letters of credit. The Amendment also extended the original maturity date of the Credit Agreement from December 20, 2016 to October 30, 2019. See Note 10 — </w:t>
      </w: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included in this report, under the heading “Senior Credit Facility” for further detail.</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February 28, 2015, we had cash and cash equivalents totaling $13.4 million and available borrowing capacity of $73.6 million under our Credit Agreement with borrowings of $96.7 million and $4.7 million of letters of credit outstanding. We finance our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February 28, 2015,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the amendment to the Credit Agreement, discussed above under “Liquidity and Capital Resources- Cash Balance and Credit Facility Borrowings”, there have been no significant changes in our contractual obligations and outstanding indebtedness as disclosed in the 2014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nine months ended February 28, 2015,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2014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2014 Annual Report.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February 28, 2015,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February 28, 2015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2014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11 -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included in this report for a description of our other legal proceedings.</w:t>
      </w:r>
    </w:p>
    <w:p>
      <w:pPr>
        <w:spacing w:after="0" w:line="24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2014 Annual Report. There have been no material changes to the risk factors previously disclosed in the 2014 Annual Report.</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pursuant to the surrender of shares by employees to satisfy the minimum tax withholding obligations in connection with the vesting of restricted stock units.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Month Ending</w:t>
            </w:r>
          </w:p>
        </w:tc>
        <w:tc>
          <w:tcPr>
            <w:tcW w:w="4960" w:type="dxa"/>
            <w:vAlign w:val="bottom"/>
            <w:gridSpan w:val="2"/>
          </w:tcPr>
          <w:p>
            <w:pPr>
              <w:ind w:left="2860"/>
              <w:spacing w:after="0"/>
              <w:rPr>
                <w:sz w:val="20"/>
                <w:szCs w:val="20"/>
                <w:color w:val="auto"/>
              </w:rPr>
            </w:pPr>
            <w:r>
              <w:rPr>
                <w:rFonts w:ascii="Arial" w:cs="Arial" w:eastAsia="Arial" w:hAnsi="Arial"/>
                <w:sz w:val="14"/>
                <w:szCs w:val="14"/>
                <w:b w:val="1"/>
                <w:bCs w:val="1"/>
                <w:color w:val="auto"/>
              </w:rPr>
              <w:t>Total Number of Shares (or</w:t>
            </w:r>
          </w:p>
        </w:tc>
        <w:tc>
          <w:tcPr>
            <w:tcW w:w="240" w:type="dxa"/>
            <w:vAlign w:val="bottom"/>
          </w:tcPr>
          <w:p>
            <w:pPr>
              <w:spacing w:after="0"/>
              <w:rPr>
                <w:sz w:val="14"/>
                <w:szCs w:val="14"/>
                <w:color w:val="auto"/>
              </w:rPr>
            </w:pPr>
          </w:p>
        </w:tc>
        <w:tc>
          <w:tcPr>
            <w:tcW w:w="1920" w:type="dxa"/>
            <w:vAlign w:val="bottom"/>
          </w:tcPr>
          <w:p>
            <w:pPr>
              <w:jc w:val="right"/>
              <w:ind w:right="297"/>
              <w:spacing w:after="0"/>
              <w:rPr>
                <w:sz w:val="20"/>
                <w:szCs w:val="20"/>
                <w:color w:val="auto"/>
              </w:rPr>
            </w:pPr>
            <w:r>
              <w:rPr>
                <w:rFonts w:ascii="Arial" w:cs="Arial" w:eastAsia="Arial" w:hAnsi="Arial"/>
                <w:sz w:val="14"/>
                <w:szCs w:val="14"/>
                <w:b w:val="1"/>
                <w:bCs w:val="1"/>
                <w:color w:val="auto"/>
                <w:w w:val="99"/>
              </w:rPr>
              <w:t>Average Price Paid per</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Units) Purchased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Share (or Unit)</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4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January 31, 2015</w:t>
            </w:r>
          </w:p>
        </w:tc>
        <w:tc>
          <w:tcPr>
            <w:tcW w:w="4860" w:type="dxa"/>
            <w:vAlign w:val="bottom"/>
          </w:tcPr>
          <w:p>
            <w:pPr>
              <w:jc w:val="right"/>
              <w:ind w:right="37"/>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28, 2015</w:t>
            </w:r>
          </w:p>
        </w:tc>
        <w:tc>
          <w:tcPr>
            <w:tcW w:w="4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26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67"/>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2015</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121" w:right="7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2015</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2015</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2014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2015</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2019-12-29T17:25:16Z</dcterms:created>
  <dcterms:modified xsi:type="dcterms:W3CDTF">2019-12-29T17:25:16Z</dcterms:modified>
</cp:coreProperties>
</file>