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191135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181" w:lineRule="exact"/>
        <w:rPr>
          <w:sz w:val="24"/>
          <w:szCs w:val="24"/>
          <w:color w:val="auto"/>
        </w:rPr>
      </w:pPr>
    </w:p>
    <w:tbl>
      <w:tblPr>
        <w:tblLayout w:type="fixed"/>
        <w:tblInd w:w="3440" w:type="dxa"/>
        <w:tblCellMar>
          <w:top w:w="0" w:type="dxa"/>
          <w:left w:w="0" w:type="dxa"/>
          <w:bottom w:w="0" w:type="dxa"/>
          <w:right w:w="0" w:type="dxa"/>
        </w:tblCellMar>
      </w:tblPr>
      <w:tr>
        <w:trPr>
          <w:trHeight w:val="238"/>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196"/>
        </w:trPr>
        <w:tc>
          <w:tcPr>
            <w:tcW w:w="2960" w:type="dxa"/>
            <w:vAlign w:val="bottom"/>
          </w:tcPr>
          <w:p>
            <w:pPr>
              <w:jc w:val="center"/>
              <w:ind w:righ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460" w:type="dxa"/>
            <w:vAlign w:val="bottom"/>
          </w:tcPr>
          <w:p>
            <w:pPr>
              <w:jc w:val="center"/>
              <w:ind w:lef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8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1460" w:type="dxa"/>
            <w:vAlign w:val="bottom"/>
          </w:tcPr>
          <w:p>
            <w:pPr>
              <w:spacing w:after="0"/>
              <w:rPr>
                <w:sz w:val="24"/>
                <w:szCs w:val="24"/>
                <w:color w:val="auto"/>
              </w:rPr>
            </w:pPr>
          </w:p>
        </w:tc>
      </w:tr>
      <w:tr>
        <w:trPr>
          <w:trHeight w:val="250"/>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716-4000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56"/>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MG</w:t>
            </w:r>
          </w:p>
        </w:tc>
        <w:tc>
          <w:tcPr>
            <w:tcW w:w="8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89"/>
        </w:trPr>
        <w:tc>
          <w:tcPr>
            <w:tcW w:w="1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line="189" w:lineRule="exact"/>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231"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4, 2026, the registrant had 31,816,681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23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410845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3"/>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2"/>
            <w:vMerge w:val="continue"/>
          </w:tcPr>
          <w:p>
            <w:pPr>
              <w:spacing w:after="0"/>
              <w:rPr>
                <w:sz w:val="14"/>
                <w:szCs w:val="14"/>
                <w:color w:val="auto"/>
              </w:rPr>
            </w:pPr>
          </w:p>
        </w:tc>
        <w:tc>
          <w:tcPr>
            <w:tcW w:w="7520" w:type="dxa"/>
            <w:vAlign w:val="bottom"/>
            <w:gridSpan w:val="13"/>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Balance Sheets as of March 31, 2026 and December 31, 2025</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(Loss) for the three months ended March 31, 2026 and March</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Borders>
              <w:top w:val="single" w:sz="8" w:color="0E32E1"/>
              <w:bottom w:val="single" w:sz="8" w:color="0E32E1"/>
            </w:tcBorders>
            <w:gridSpan w:val="3"/>
          </w:tcPr>
          <w:p>
            <w:pPr>
              <w:spacing w:after="0" w:line="142" w:lineRule="exact"/>
              <w:rPr>
                <w:sz w:val="20"/>
                <w:szCs w:val="20"/>
                <w:color w:val="auto"/>
              </w:rPr>
            </w:pPr>
            <w:r>
              <w:rPr>
                <w:rFonts w:ascii="Times New Roman" w:cs="Times New Roman" w:eastAsia="Times New Roman" w:hAnsi="Times New Roman"/>
                <w:sz w:val="16"/>
                <w:szCs w:val="16"/>
                <w:color w:val="0E32E1"/>
              </w:rPr>
              <w:t>31, 2025</w:t>
            </w:r>
          </w:p>
        </w:tc>
        <w:tc>
          <w:tcPr>
            <w:tcW w:w="28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4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00" w:type="dxa"/>
            <w:vAlign w:val="bottom"/>
            <w:tcBorders>
              <w:top w:val="single" w:sz="8" w:color="0E32E1"/>
            </w:tcBorders>
          </w:tcPr>
          <w:p>
            <w:pPr>
              <w:spacing w:after="0"/>
              <w:rPr>
                <w:sz w:val="13"/>
                <w:szCs w:val="13"/>
                <w:color w:val="auto"/>
              </w:rPr>
            </w:pPr>
          </w:p>
        </w:tc>
        <w:tc>
          <w:tcPr>
            <w:tcW w:w="15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9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Income (Loss) for the three months ended March 31,</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vMerge w:val="continue"/>
          </w:tcPr>
          <w:p>
            <w:pPr>
              <w:spacing w:after="0"/>
              <w:rPr>
                <w:sz w:val="24"/>
                <w:szCs w:val="2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Borders>
              <w:top w:val="single" w:sz="8" w:color="0E32E1"/>
            </w:tcBorders>
            <w:gridSpan w:val="11"/>
          </w:tcPr>
          <w:p>
            <w:pPr>
              <w:spacing w:after="0" w:line="142" w:lineRule="exact"/>
              <w:rPr>
                <w:sz w:val="20"/>
                <w:szCs w:val="20"/>
                <w:color w:val="auto"/>
              </w:rPr>
            </w:pPr>
            <w:r>
              <w:rPr>
                <w:rFonts w:ascii="Times New Roman" w:cs="Times New Roman" w:eastAsia="Times New Roman" w:hAnsi="Times New Roman"/>
                <w:sz w:val="16"/>
                <w:szCs w:val="16"/>
                <w:color w:val="0E32E1"/>
              </w:rPr>
              <w:t>2026 and March 31, 2025</w:t>
            </w:r>
          </w:p>
        </w:tc>
        <w:tc>
          <w:tcPr>
            <w:tcW w:w="6320" w:type="dxa"/>
            <w:vAlign w:val="bottom"/>
            <w:tcBorders>
              <w:top w:val="single" w:sz="8" w:color="0E32E1"/>
            </w:tcBorders>
            <w:gridSpan w:val="6"/>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E32E1"/>
          </w:tcPr>
          <w:p>
            <w:pPr>
              <w:spacing w:after="0"/>
              <w:rPr>
                <w:sz w:val="2"/>
                <w:szCs w:val="2"/>
                <w:color w:val="auto"/>
              </w:rPr>
            </w:pPr>
          </w:p>
        </w:tc>
        <w:tc>
          <w:tcPr>
            <w:tcW w:w="240" w:type="dxa"/>
            <w:vAlign w:val="bottom"/>
            <w:shd w:val="clear" w:color="auto" w:fill="0E32E1"/>
          </w:tcPr>
          <w:p>
            <w:pPr>
              <w:spacing w:after="0"/>
              <w:rPr>
                <w:sz w:val="2"/>
                <w:szCs w:val="2"/>
                <w:color w:val="auto"/>
              </w:rPr>
            </w:pPr>
          </w:p>
        </w:tc>
        <w:tc>
          <w:tcPr>
            <w:tcW w:w="300" w:type="dxa"/>
            <w:vAlign w:val="bottom"/>
            <w:gridSpan w:val="2"/>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shd w:val="clear" w:color="auto" w:fill="0E32E1"/>
          </w:tcPr>
          <w:p>
            <w:pPr>
              <w:spacing w:after="0"/>
              <w:rPr>
                <w:sz w:val="2"/>
                <w:szCs w:val="2"/>
                <w:color w:val="auto"/>
              </w:rPr>
            </w:pPr>
          </w:p>
        </w:tc>
        <w:tc>
          <w:tcPr>
            <w:tcW w:w="440" w:type="dxa"/>
            <w:vAlign w:val="bottom"/>
            <w:tcBorders>
              <w:left w:val="single" w:sz="8" w:color="0E32E1"/>
            </w:tcBorders>
            <w:gridSpan w:val="3"/>
            <w:shd w:val="clear" w:color="auto" w:fill="0E32E1"/>
          </w:tcPr>
          <w:p>
            <w:pPr>
              <w:spacing w:after="0"/>
              <w:rPr>
                <w:sz w:val="2"/>
                <w:szCs w:val="2"/>
                <w:color w:val="auto"/>
              </w:rPr>
            </w:pPr>
          </w:p>
        </w:tc>
        <w:tc>
          <w:tcPr>
            <w:tcW w:w="560" w:type="dxa"/>
            <w:vAlign w:val="bottom"/>
            <w:gridSpan w:val="2"/>
            <w:shd w:val="clear" w:color="auto" w:fill="0E32E1"/>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Equity for the three months ended March 31, 2026 and March 31, 2025</w:t>
            </w: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20" w:type="dxa"/>
            <w:vAlign w:val="bottom"/>
            <w:tcBorders>
              <w:right w:val="single" w:sz="8" w:color="0E32E1"/>
            </w:tcBorders>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Cash Flows for the three months ended March 31, 2026 and March 31,</w:t>
            </w:r>
          </w:p>
        </w:tc>
        <w:tc>
          <w:tcPr>
            <w:tcW w:w="100" w:type="dxa"/>
            <w:vAlign w:val="bottom"/>
          </w:tcPr>
          <w:p>
            <w:pPr>
              <w:spacing w:after="0"/>
              <w:rPr>
                <w:sz w:val="24"/>
                <w:szCs w:val="2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42" w:lineRule="exact"/>
              <w:rPr>
                <w:sz w:val="20"/>
                <w:szCs w:val="20"/>
                <w:color w:val="auto"/>
              </w:rPr>
            </w:pPr>
            <w:r>
              <w:rPr>
                <w:rFonts w:ascii="Times New Roman" w:cs="Times New Roman" w:eastAsia="Times New Roman" w:hAnsi="Times New Roman"/>
                <w:sz w:val="16"/>
                <w:szCs w:val="16"/>
                <w:color w:val="0E32E1"/>
              </w:rPr>
              <w:t>2025</w:t>
            </w:r>
          </w:p>
        </w:tc>
        <w:tc>
          <w:tcPr>
            <w:tcW w:w="240" w:type="dxa"/>
            <w:vAlign w:val="bottom"/>
            <w:tcBorders>
              <w:top w:val="single" w:sz="8" w:color="0E32E1"/>
            </w:tcBorders>
          </w:tcPr>
          <w:p>
            <w:pPr>
              <w:spacing w:after="0"/>
              <w:rPr>
                <w:sz w:val="13"/>
                <w:szCs w:val="13"/>
                <w:color w:val="auto"/>
              </w:rPr>
            </w:pPr>
          </w:p>
        </w:tc>
        <w:tc>
          <w:tcPr>
            <w:tcW w:w="20" w:type="dxa"/>
            <w:vAlign w:val="bottom"/>
            <w:tcBorders>
              <w:top w:val="single" w:sz="8" w:color="0E32E1"/>
            </w:tcBorders>
          </w:tcPr>
          <w:p>
            <w:pPr>
              <w:spacing w:after="0"/>
              <w:rPr>
                <w:sz w:val="13"/>
                <w:szCs w:val="13"/>
                <w:color w:val="auto"/>
              </w:rPr>
            </w:pPr>
          </w:p>
        </w:tc>
        <w:tc>
          <w:tcPr>
            <w:tcW w:w="28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4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00" w:type="dxa"/>
            <w:vAlign w:val="bottom"/>
            <w:tcBorders>
              <w:top w:val="single" w:sz="8" w:color="0E32E1"/>
            </w:tcBorders>
          </w:tcPr>
          <w:p>
            <w:pPr>
              <w:spacing w:after="0"/>
              <w:rPr>
                <w:sz w:val="13"/>
                <w:szCs w:val="13"/>
                <w:color w:val="auto"/>
              </w:rPr>
            </w:pPr>
          </w:p>
        </w:tc>
        <w:tc>
          <w:tcPr>
            <w:tcW w:w="15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E32E1"/>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4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4"/>
                <w:szCs w:val="24"/>
                <w:color w:val="auto"/>
              </w:rPr>
            </w:pPr>
          </w:p>
        </w:tc>
        <w:tc>
          <w:tcPr>
            <w:tcW w:w="714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4"/>
          </w:tcPr>
          <w:p>
            <w:pPr>
              <w:spacing w:after="0"/>
              <w:rPr>
                <w:sz w:val="24"/>
                <w:szCs w:val="24"/>
                <w:color w:val="auto"/>
              </w:rPr>
            </w:pPr>
          </w:p>
        </w:tc>
        <w:tc>
          <w:tcPr>
            <w:tcW w:w="758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154,673</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93,164</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40,812</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165,143</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343,136</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31,816,681 and 31,567,434 shares issued</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256,863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235,104</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115,286</w:t>
            </w: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40,892</w:t>
            </w: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w:t>
            </w: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2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 net of taxes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w:t>
            </w:r>
          </w:p>
        </w:tc>
      </w:tr>
      <w:tr>
        <w:trPr>
          <w:trHeight w:val="234"/>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r>
      <w:tr>
        <w:trPr>
          <w:trHeight w:val="202"/>
        </w:trPr>
        <w:tc>
          <w:tcPr>
            <w:tcW w:w="7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3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2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9"/>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adjustments attributable to noncontrolling interests</w:t>
            </w:r>
          </w:p>
        </w:tc>
        <w:tc>
          <w:tcPr>
            <w:tcW w:w="10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Mistras Group, Inc.</w:t>
            </w:r>
          </w:p>
        </w:tc>
        <w:tc>
          <w:tcPr>
            <w:tcW w:w="100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820" w:type="dxa"/>
            <w:vAlign w:val="bottom"/>
          </w:tcPr>
          <w:p>
            <w:pPr>
              <w:spacing w:after="0"/>
              <w:rPr>
                <w:sz w:val="24"/>
                <w:szCs w:val="24"/>
                <w:color w:val="auto"/>
              </w:rPr>
            </w:pPr>
          </w:p>
        </w:tc>
        <w:tc>
          <w:tcPr>
            <w:tcW w:w="168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8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jc w:val="center"/>
              <w:ind w:right="18"/>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60" w:type="dxa"/>
            <w:vAlign w:val="bottom"/>
          </w:tcPr>
          <w:p>
            <w:pPr>
              <w:spacing w:after="0"/>
              <w:rPr>
                <w:sz w:val="8"/>
                <w:szCs w:val="8"/>
                <w:color w:val="auto"/>
              </w:rPr>
            </w:pPr>
          </w:p>
        </w:tc>
        <w:tc>
          <w:tcPr>
            <w:tcW w:w="118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Mistras Group,</w:t>
            </w: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90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Inc.</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1"/>
                <w:szCs w:val="11"/>
                <w:color w:val="auto"/>
              </w:rPr>
            </w:pP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Total equity</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4"/>
                <w:szCs w:val="14"/>
                <w:color w:val="auto"/>
              </w:rPr>
            </w:pPr>
          </w:p>
        </w:tc>
        <w:tc>
          <w:tcPr>
            <w:tcW w:w="900" w:type="dxa"/>
            <w:vAlign w:val="bottom"/>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8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235,104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235,645</w:t>
            </w:r>
          </w:p>
        </w:tc>
        <w:tc>
          <w:tcPr>
            <w:tcW w:w="0" w:type="dxa"/>
            <w:vAlign w:val="bottom"/>
          </w:tcPr>
          <w:p>
            <w:pPr>
              <w:spacing w:after="0"/>
              <w:rPr>
                <w:sz w:val="1"/>
                <w:szCs w:val="1"/>
                <w:color w:val="auto"/>
              </w:rPr>
            </w:pPr>
          </w:p>
        </w:tc>
      </w:tr>
      <w:tr>
        <w:trPr>
          <w:trHeight w:val="170"/>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(3,908)</w:t>
            </w:r>
          </w:p>
        </w:tc>
        <w:tc>
          <w:tcPr>
            <w:tcW w:w="0" w:type="dxa"/>
            <w:vAlign w:val="bottom"/>
          </w:tcPr>
          <w:p>
            <w:pPr>
              <w:spacing w:after="0"/>
              <w:rPr>
                <w:sz w:val="1"/>
                <w:szCs w:val="1"/>
                <w:color w:val="auto"/>
              </w:rPr>
            </w:pPr>
          </w:p>
        </w:tc>
      </w:tr>
      <w:tr>
        <w:trPr>
          <w:trHeight w:val="170"/>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70"/>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w:t>
            </w:r>
          </w:p>
        </w:tc>
        <w:tc>
          <w:tcPr>
            <w:tcW w:w="0" w:type="dxa"/>
            <w:vAlign w:val="bottom"/>
          </w:tcPr>
          <w:p>
            <w:pPr>
              <w:spacing w:after="0"/>
              <w:rPr>
                <w:sz w:val="1"/>
                <w:szCs w:val="1"/>
                <w:color w:val="auto"/>
              </w:rPr>
            </w:pPr>
          </w:p>
        </w:tc>
      </w:tr>
      <w:tr>
        <w:trPr>
          <w:trHeight w:val="200"/>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233,597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198,895</w:t>
            </w:r>
          </w:p>
        </w:tc>
        <w:tc>
          <w:tcPr>
            <w:tcW w:w="0" w:type="dxa"/>
            <w:vAlign w:val="bottom"/>
          </w:tcPr>
          <w:p>
            <w:pPr>
              <w:spacing w:after="0"/>
              <w:rPr>
                <w:sz w:val="1"/>
                <w:szCs w:val="1"/>
                <w:color w:val="auto"/>
              </w:rPr>
            </w:pPr>
          </w:p>
        </w:tc>
      </w:tr>
      <w:tr>
        <w:trPr>
          <w:trHeight w:val="170"/>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(3,168)</w:t>
            </w: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0" w:type="dxa"/>
            <w:vAlign w:val="bottom"/>
          </w:tcPr>
          <w:p>
            <w:pPr>
              <w:spacing w:after="0"/>
              <w:rPr>
                <w:sz w:val="1"/>
                <w:szCs w:val="1"/>
                <w:color w:val="auto"/>
              </w:rPr>
            </w:pPr>
          </w:p>
        </w:tc>
      </w:tr>
      <w:tr>
        <w:trPr>
          <w:trHeight w:val="170"/>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0" w:type="dxa"/>
            <w:vAlign w:val="bottom"/>
          </w:tcPr>
          <w:p>
            <w:pPr>
              <w:spacing w:after="0"/>
              <w:rPr>
                <w:sz w:val="1"/>
                <w:szCs w:val="1"/>
                <w:color w:val="auto"/>
              </w:rPr>
            </w:pPr>
          </w:p>
        </w:tc>
      </w:tr>
      <w:tr>
        <w:trPr>
          <w:trHeight w:val="169"/>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31,326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251,629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(13,170)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(40,200)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198,665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199,001</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(5,968)</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 to non-controlling interests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28,008</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24,989</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2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2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 included in accounts payable and accrued liabilities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0" w:type="dxa"/>
            <w:vAlign w:val="bottom"/>
          </w:tcPr>
          <w:p>
            <w:pPr>
              <w:spacing w:after="0"/>
              <w:rPr>
                <w:sz w:val="1"/>
                <w:szCs w:val="1"/>
                <w:color w:val="auto"/>
              </w:rPr>
            </w:pPr>
          </w:p>
        </w:tc>
      </w:tr>
      <w:tr>
        <w:trPr>
          <w:trHeight w:val="108"/>
        </w:trPr>
        <w:tc>
          <w:tcPr>
            <w:tcW w:w="7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global leader in technology-enabled industrial asset integrity and laboratory testing solutions, serving critical industries including oil &amp; gas, aerospace &amp; defense, power &amp; utilities, manufacturing, and civil infrastructure.</w:t>
      </w:r>
    </w:p>
    <w:p>
      <w:pPr>
        <w:spacing w:after="0" w:line="189"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integrity data for predictive analytics and benchmark analysis. With a long-standing track record of innovation and deep industry expertise, the Company helps clients reduce risk, extend asset life, and optimize operational performance.</w:t>
      </w:r>
    </w:p>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enhances value for its customers by integrating asset integrity protection throughout supply chains and centralizing integrity data through a suite of Industrial Internet of Things ("IoT")-connected software and monitoring solutions, including OneSuite®, which serves as a cloud-based ecosystem that pulls together the Company’s software and data services capabilities. This integrated approach enables customers to make data-driven decisions that improve asset reliability, enhance safety, reduce operational risk, and optimize performance across the asset lifecycle.</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core capabilities include NDT field inspections enhanced by advanced robotics, laboratory quality control, laboratory materials services, in-house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4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trade landscape continues to be highly volatile. In 2025, the U.S. government implemented a series of trade tariffs on goods imported into the</w:t>
      </w:r>
    </w:p>
    <w:p>
      <w:pPr>
        <w:spacing w:after="0" w:line="3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U.S. from various countries. In many cases, these tariffs resulted in reciprocal tariffs and other actions on goods being exported from the U.S. These associated tariffs are complex and continue to evolve as negotiations occur. In February 2026, the U.S. Supreme Court ruled that the International Emergency Economic Powers Act (“IEEPA”), which the U.S. government relied on to impose certain tariffs, does not authorize the administration to impose tariffs. On March 4, 2026, the U.S. Court of International Trade ordered the U.S. Customs and Border Protection (“CBP”) to process refunds of the IEEPA tariffs, although the Court immediately suspended the order while the CBP determines a refund process. The IEEPA tariffs remain subject to ongoing litigation between the administration and other parties. In response to the U.S. Supreme Court ruling mentioned above, the administration announced plans to implement new tariffs under alternative statutory authority. The full impact of the U.S. Supreme Court’s ruling and the administration’s response, including the timing and extent of any refunds and the impact of the new tariffs, remain uncertain. Ongoing changes to trade policies and related uncertainty may affect global economic conditions, supply chains and costs, and may reduce trade between the U.S. and impacted countries. Tariffs and trade barriers have not had a material effect on our business or results of operations during 2026 to date. However, new tariffs or other trade measures could result in increased costs to us or our suppliers and could impact the import of materials by our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including materials subject to our inspection and testing services, which could adversely affect demand for our services.</w:t>
      </w:r>
    </w:p>
    <w:p>
      <w:pPr>
        <w:spacing w:after="0" w:line="23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Geopolitical tensions in the Middle East, including the conflict involving the United States and Iran, have contributed to increased volatility in global energy markets and broader macroeconomic uncertainty. The conflict in the Middle East has significantly reduced the export of oil and natural gas from the Persian Gulf, creating upward pressure on oil and natural gas prices, and has also disrupted and increased the costs of certain other supplies. Fluctuations in crude oil and natural gas prices may influence capital spending and maintenance activity by customers in the oil and gas sector, which could affect demand for certain of our services, particularly field inspection and asset integrity solutions. Additionally, continued instability in the Middle East could contribute to supply chain disruptions, changes in foreign currency exchange rates, and delays in customer projects. While we have not experienced material impacts to date, the situation remains dynamic, and we continue to monitor developments and assess potential impacts on our operations,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2026 and December 31,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for the year ended December 31, 2025 (the "2025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consolidated subsidiaries in which the Company’s ownership interest is less than 100%, the non-controlling interests are reported in stockholders’ equity in the accompanying Unaudited Condensed Consolidated Balance Sheets. The non-controlling interests in net results, net of tax, are classified separately in the accompanying Unaudited Condensed Consolidated Statements of Income (Loss). All significant intercompany accounts and transactions have been eliminated in 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affect the Company's consolidated financial condition or results of operations as previously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Note 1 – </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2025 Annual Report. On an ongoing basis, the Company evaluates its estimates and assumptions, including among other things, those related to revenue recognition, long-lived assets, goodwill and acquisitions. Since the date of the 2025 Annual Report, there have been no material changes to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management concluded that it is more likely than not that a substantial portion of the Company's deferred tax assets will be realized.</w:t>
      </w:r>
    </w:p>
    <w:p>
      <w:pPr>
        <w:spacing w:after="0" w:line="25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13.8% for the three months ended March 31, 2026, compared to an effective income tax benefit of approximately 26.9% for the three months ended March 31, 2025.</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2026, was lower than the statutory rate primarily due to the impact of favorable discrete items related to stock compensation. The effective income tax rate benefit for the three months ended March 31, 2025, was higher than the statutory rate primarily due to the impact of an unfavorable discrete item related to stock compensation.</w:t>
      </w:r>
    </w:p>
    <w:p>
      <w:pPr>
        <w:spacing w:after="0" w:line="21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These tax reform provisions include the extension and modification of certain provisions of the Tax Cuts and Jobs Act and is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three months ended March 31,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November 4, 2024, the FASB issued ASU 2024-03, Income Statement - Reporting Comprehensive Income (Topic 220): Expense Disaggregation Disclosures, to require disaggregation of certain expense captions into specified categories in disclosures within the notes of the financial statements. The standard is effective for fiscal years beginning after December 31, 2026 and early adoption is permitted. The guidance is required to be applied prospectively and amendments in the ASU may be applied prospectively or retrospectively. We are currently evaluating the impacts this standard will have on our disclosures.</w:t>
      </w:r>
    </w:p>
    <w:p>
      <w:pPr>
        <w:spacing w:after="0" w:line="19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 Use Software (ASU 2025-06). This standard clarifies capitalization thresholds for software development costs and aligns accounting treatment more closely with the economic substance of modern software development activities. ASU 2025-06 is effective for annual and interim periods beginning after December 15, 2027 on a retrospective, prospective or modified prospective basis. Early adoption is permitted. We are currently evaluating the impact this standard will have on our disclosures.</w:t>
      </w:r>
    </w:p>
    <w:p>
      <w:pPr>
        <w:spacing w:after="0" w:line="21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 Scope Improvements (ASU 2025-11). This standard clarifies disclosure requirements and applicability for interim financial statements. This new guidance is effective for the Company for interim periods beginning October 1, 2028. Early adoption is permitted. The amendments in this ASU may be adopted using the prospective or retrospective methods. We are currently evaluating the impact this standard will have on our disclosures.</w:t>
      </w:r>
    </w:p>
    <w:p>
      <w:pPr>
        <w:spacing w:after="0" w:line="200" w:lineRule="exact"/>
        <w:rPr>
          <w:sz w:val="20"/>
          <w:szCs w:val="20"/>
          <w:color w:val="auto"/>
        </w:rPr>
      </w:pPr>
    </w:p>
    <w:p>
      <w:pPr>
        <w:spacing w:after="0" w:line="2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materials basis, which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Company's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majority of the Company's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85,482</w:t>
            </w: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27,639</w:t>
            </w:r>
          </w:p>
        </w:tc>
      </w:tr>
      <w:tr>
        <w:trPr>
          <w:trHeight w:val="229"/>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18,643</w:t>
            </w:r>
          </w:p>
        </w:tc>
      </w:tr>
      <w:tr>
        <w:trPr>
          <w:trHeight w:val="229"/>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w:t>
            </w:r>
          </w:p>
        </w:tc>
      </w:tr>
      <w:tr>
        <w:trPr>
          <w:trHeight w:val="229"/>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29"/>
        </w:trPr>
        <w:tc>
          <w:tcPr>
            <w:tcW w:w="20" w:type="dxa"/>
            <w:vAlign w:val="bottom"/>
          </w:tcPr>
          <w:p>
            <w:pPr>
              <w:spacing w:after="0"/>
              <w:rPr>
                <w:sz w:val="19"/>
                <w:szCs w:val="19"/>
                <w:color w:val="auto"/>
              </w:rPr>
            </w:pP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169,034</w:t>
            </w: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96,564</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20,404</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30"/>
        </w:trPr>
        <w:tc>
          <w:tcPr>
            <w:tcW w:w="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43"/>
        </w:trPr>
        <w:tc>
          <w:tcPr>
            <w:tcW w:w="2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120,808</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35,069</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118,264</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Unaudited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Unaudited Condensed Consolidated Balance Sheets at the end of each reporting period within accounts receivable, net or accrued expenses and other current liabilities.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2026 and 2025 that was included in the contract liability balance at the beginning of the year was $3.7 million and $3.3 million, respectively. Changes in the contract asset and liability balances during these periods were not materially impacted by any other factors. The Company applies the practical expedient to expense incremental costs incurred related to obtaining a contract when the amortization period of the asset that the Company otherwise would have recognized is one year or less.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14, 2024, the Company’s shareholders approved an amendment to increase the total number of shares that may be issued under the 2016 Plan by 1.3 million, for a total of 6.2 million shares that are authorized for issuance under the 2016 Plan, of which approximately 296,000 shares were available for future grants as of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January 6, 2025, an executive officer of the Company was granted a stock option for the purchase of 375,000 shares of the Company's common stock at an exercise price of $9.06, the closing price of the Company's common stock on the New York Stock Exchange (the "NYSE") on the grant date. These stock options can be exercised any time on or after January 6, 2026, and prior to their expiration date, which is the earlier of 10 years from the grant date or one year following the date the executive officer is no longer serving as an officer, director or in any other capacity of the Company.</w:t>
      </w:r>
    </w:p>
    <w:p>
      <w:pPr>
        <w:spacing w:after="0" w:line="2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stock option activity, weighted-average exercise prices and options outstanding as of March 31, 2026 (in thousands, except per share amounts and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Exerciseable at end of period: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recognized $0.1 million and $0.5 million of share-based compensation expense related to stock options during the three months ended March 31, 2026 and March 31, 2025, respectively. $0.1 million of share-based compensation expense related to stock options remains unrecognized as of the end of the current period, which is all expected to be recognized during 2026.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4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issues fully-vested common stock to its non-employee directors. The awards are issued to non-employee directors during the second quarter of each fiscal year. No awards were granted to non-employee directors during the three months ended March 31, 2026 and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43"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share-based compensation expense within Selling, general and administrative expenses related to Restricted Stock Unit ("RSU") awards of $0.7 million and $1.1 million, respectively. No share-based compensation expense was recognized within Reorganization and other costs related to RSU awards for the for the three months ended March 31, 2026. For the three months ended March 31, 2025, the Company recognized share-based compensation expense within Reorganization and other costs related to RSU awards of $0.5 million. As of March 31, 2026, there was $10.2 million of unrecognized compensation costs related to RSU awards, which is expected to be recognized over a remaining weighted-average period of 3.0 years. Upon vesting, RSUs are generally net share-settled to cover the required withholding tax and the remaining amount is converted into an equivalent number of shares of common stock.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RSU awards, with the respective fair value of the awards,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RSUs is as follows:</w:t>
      </w:r>
    </w:p>
    <w:p>
      <w:pPr>
        <w:spacing w:after="0" w:line="28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8"/>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the ultimate payout of which may vary between zero and 200% of the target award, based on the Company’s performance over a one-year period based on specific metrics approved by the Compensation Committee of the Board of Directors of the Company.</w:t>
      </w:r>
    </w:p>
    <w:p>
      <w:pPr>
        <w:spacing w:after="0" w:line="20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For 2026, the Compensation Committee (the “Compensation Committee”) of the Company’s Board of Directors is using the following three performance metrics for PRSU awards.</w:t>
      </w:r>
    </w:p>
    <w:p>
      <w:pPr>
        <w:spacing w:after="0" w:line="215" w:lineRule="exact"/>
        <w:rPr>
          <w:sz w:val="20"/>
          <w:szCs w:val="20"/>
          <w:color w:val="auto"/>
        </w:rPr>
      </w:pPr>
    </w:p>
    <w:p>
      <w:pPr>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2026, the Compensation Committee utilized the same metrics as 2025 PRSUs, but with revised performance goals and weighting.</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in four equal annual installments over the four years following completion of the performance period, for a total requisite service period of up to five years, and have no dividend equivalent rights. Upon vesting, PRSUs are generally net share-settled to cover required withholding tax amounts and the remaining amount is converted into an equivalent number of shares of common stock.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28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the Company recognized aggregate share-based compensation expense related to the awards described above of approximately $0.6 million and $0.2 million, respectively. At March 31, 2026, there was $6.9 million of total unrecognized compensation costs related to approximately 602,000 non-vested PRSUs, which is expected to be recognized over a remaining weighted-average period of 3.0 years.</w:t>
      </w:r>
    </w:p>
    <w:p>
      <w:pPr>
        <w:spacing w:after="0" w:line="200" w:lineRule="exact"/>
        <w:rPr>
          <w:sz w:val="20"/>
          <w:szCs w:val="20"/>
          <w:color w:val="auto"/>
        </w:rPr>
      </w:pPr>
    </w:p>
    <w:p>
      <w:pPr>
        <w:spacing w:after="0" w:line="2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Earnings (Loss) per Share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by the weighted-average number of shares outstanding during the period. Diluted earnings (loss)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7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9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stock options outstanding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790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309"/>
        </w:trPr>
        <w:tc>
          <w:tcPr>
            <w:tcW w:w="7940" w:type="dxa"/>
            <w:vAlign w:val="bottom"/>
            <w:gridSpan w:val="2"/>
          </w:tcPr>
          <w:p>
            <w:pPr>
              <w:jc w:val="right"/>
              <w:ind w:right="649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180" w:right="260" w:hanging="172"/>
        <w:spacing w:after="0" w:line="235" w:lineRule="auto"/>
        <w:tabs>
          <w:tab w:leader="none" w:pos="183"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March 31, 2026, 275,000 shares, related to RSUs were anti-dilutive and therefore were excluded from the calculation of diluted earnings (loss) per share. For the three months ended March 31, 2025, 145,000 shares, related to stock options and 808,000 shares, related to RSUs were excluded from the calculation of diluted earnings (loss) per share due to the net loss for the period.</w:t>
      </w:r>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 - billed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133,100</w:t>
            </w:r>
          </w:p>
        </w:tc>
      </w:tr>
      <w:tr>
        <w:trPr>
          <w:trHeight w:val="229"/>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receivable - unbilled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25,139</w:t>
            </w:r>
          </w:p>
        </w:tc>
      </w:tr>
      <w:tr>
        <w:trPr>
          <w:trHeight w:val="23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2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154,673</w:t>
            </w:r>
          </w:p>
        </w:tc>
      </w:tr>
      <w:tr>
        <w:trPr>
          <w:trHeight w:val="21"/>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Trade accounts receivable - unbilled are generally billed in the subsequent quarter to their revenue recognition. The Company considers Trade accounts receivable - unbilled as short-term in nature as they are normally converted to Trade accounts receivable - billed within 90 days, thus future changes in economic conditions will not have a significant effect on the credit loss estimate.</w:t>
      </w:r>
    </w:p>
    <w:p>
      <w:pPr>
        <w:sectPr>
          <w:pgSz w:w="11900" w:h="16838" w:orient="portrait"/>
          <w:cols w:equalWidth="0" w:num="1">
            <w:col w:w="11100"/>
          </w:cols>
          <w:pgMar w:left="320" w:top="11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consumable supplies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(257,033)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approximately $6.0 million for each period.</w:t>
      </w:r>
    </w:p>
    <w:p>
      <w:pPr>
        <w:spacing w:after="0" w:line="200" w:lineRule="exact"/>
        <w:rPr>
          <w:sz w:val="20"/>
          <w:szCs w:val="20"/>
          <w:color w:val="auto"/>
        </w:rPr>
      </w:pP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2025 and did not identify any changes in circumstances that would indicate the carrying value of goodwill may not be recoverable. Additionally, through March 31, 2026,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2026 and 2025 was approximately $2.0 million and $1.8 million, respectively.</w:t>
      </w:r>
    </w:p>
    <w:p>
      <w:pPr>
        <w:spacing w:after="0" w:line="200" w:lineRule="exact"/>
        <w:rPr>
          <w:sz w:val="20"/>
          <w:szCs w:val="20"/>
          <w:color w:val="auto"/>
        </w:rPr>
      </w:pPr>
    </w:p>
    <w:p>
      <w:pPr>
        <w:spacing w:after="0" w:line="2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33,102</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7"/>
                <w:szCs w:val="17"/>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0" w:type="dxa"/>
            <w:vAlign w:val="bottom"/>
          </w:tcPr>
          <w:p>
            <w:pPr>
              <w:spacing w:after="0"/>
              <w:rPr>
                <w:sz w:val="1"/>
                <w:szCs w:val="1"/>
                <w:color w:val="auto"/>
              </w:rPr>
            </w:pPr>
          </w:p>
        </w:tc>
      </w:tr>
      <w:tr>
        <w:trPr>
          <w:trHeight w:val="184"/>
        </w:trPr>
        <w:tc>
          <w:tcPr>
            <w:tcW w:w="7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secured term loan, net of unamortized debt issuance costs of $0.1 million and $0.2 million,</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165,143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August 1, 2022, the Company entered into a credit agreement (the “Credit Agreement”), which provides the Company with a $190 million 5-year committed revolving credit facility and a $125 million term loan with a balance of $93.6 million as of March 31, 2026.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52" w:lineRule="exact"/>
        <w:rPr>
          <w:sz w:val="20"/>
          <w:szCs w:val="20"/>
          <w:color w:val="auto"/>
        </w:rPr>
      </w:pPr>
    </w:p>
    <w:p>
      <w:pPr>
        <w:ind w:left="660" w:right="34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w:t>
      </w:r>
    </w:p>
    <w:p>
      <w:pPr>
        <w:ind w:left="1300" w:right="72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3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20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Total Consolidated Debt Leverage Ratio of no more than 4.0 to 1.0 at the end of each quarter through June 30, 2023 and stepping down to a maximum permitted ratio of no more than 3.75 to 1.0 for the remainder of the term.</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Fixed Charge Coverage Ratio of 1.25 to 1.0 for the duration of the Credit Agreement, as defined in the Credit Agreement.</w:t>
      </w:r>
    </w:p>
    <w:p>
      <w:pPr>
        <w:spacing w:after="0" w:line="188"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2"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6"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borrowings of $179.6 million and a total of $3.4 million of letters of credit outstanding under the Credit Agreement. The Company has capitalized costs associated with debt modifications of $0.4 million as of March 31, 2026, which are included in Other assets on the Unaudited Condensed Consolidated Balance Sheets and will be amortized into interest expense over the remaining term of the Credit Agreement through July 30, 2027.</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was in compliance with the terms and covenants of the Credit Agreement. The Company continuously monitors compliance with the covenants contained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 Company's other debt relates to bank financing provided at the local subsidiary level used to support working capital requirements and fund capital expenditures. At March 31, 2026, there was a total of other debt of approximately $1.8 million outstanding, payable at various times through 2030.</w:t>
      </w:r>
    </w:p>
    <w:p>
      <w:pPr>
        <w:spacing w:after="0" w:line="1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While uncertainties exist with respect to the ultimate resolution of lawsuits, investigations and claims asserted against it, except as stated below, the Company, based on currently available information, does not believe that any currently pending or threatened legal proceeding to which the Company is a party,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("the DEQ Proceeding") filed by the State of Arizona and the Arizona Department of Environmental Quality (collectively “DEQ”). The DEQ Proceeding,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the DEQ, and corrective and remedial action to bring the testing facility into compliance with laws and regulations. In addition, the DEQ is seeking unspecified penalties and costs in connection with the DEQ Proceeding.</w:t>
      </w:r>
    </w:p>
    <w:p>
      <w:pPr>
        <w:spacing w:after="0" w:line="2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Superior Court held a hearing in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and Mistras Arizona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 In April 2025, Mistras Arizona notified the DEQ that the improvements were completed, which the DEQ</w:t>
      </w:r>
    </w:p>
    <w:p>
      <w:pPr>
        <w:spacing w:after="0" w:line="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then inspected. Following the DEQ site visit, Mistras Arizona commenced its chrome plating operations on April 28, 2025. Mistras Arizona has been and intends to continue complying with the Superior Court's ruling. In the meantime, the DEQ Proceeding is ongoing.</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probable that additional investigation and/or remediation costs, as well as fines and penalties will be imposed related to the DEQ Proceeding. However, the Company is unable to estimate the range of loss that it may incur and whether these amounts will be material to the Company.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at a leased site within the footprint of the Motorola 52nd Street Superfund Site (the “Motorola Site”). Mistras Arizona has received two General Notice Letters from the US Environmental Protection Agency (the "EPA"), dated May 21, 2024 and December 1, 2025, informing Mistras Arizona that the EPA has identified it as a potentially responsible party in relation to the Motorola Site. On April 29, 2025, the Company received a notice from the EPA requesting information regarding the improvements and other matters related to Phoenix testing facility. Mistras Arizona provided the EPA with the requested information in July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had significant reductions in their unionized workers in 2018. The collective bargaining agreements for the</w:t>
      </w:r>
    </w:p>
    <w:p>
      <w:pPr>
        <w:spacing w:after="0" w:line="6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employees of these subsidiaries required contributions for these employees to two national multi-employer pension funds. The reduction in employees resulted in one of the Company's subsidiaries incurring a complete withdrawal to one of the pension funds under the Employee Retirement Income Security</w:t>
      </w:r>
    </w:p>
    <w:p>
      <w:pPr>
        <w:ind w:right="240"/>
        <w:spacing w:after="0" w:line="266" w:lineRule="auto"/>
        <w:rPr>
          <w:sz w:val="20"/>
          <w:szCs w:val="20"/>
          <w:color w:val="auto"/>
        </w:rPr>
      </w:pPr>
      <w:r>
        <w:rPr>
          <w:rFonts w:ascii="Times New Roman" w:cs="Times New Roman" w:eastAsia="Times New Roman" w:hAnsi="Times New Roman"/>
          <w:sz w:val="18"/>
          <w:szCs w:val="18"/>
          <w:color w:val="auto"/>
        </w:rPr>
        <w:t>Act of 1974 ("ERISA"), which was fully satisfied in 2019. The Company has determined that the subsidiary is likely to incur partial or complete withdrawal liability to the other pension fund. The balance of the estimated total amount of this potential liability as of March 31, 2026 is approximately $2.1 million, which was incurred in 2018 and 2019.</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which are also the Company's reportable segments, are:</w:t>
      </w:r>
    </w:p>
    <w:p>
      <w:pPr>
        <w:spacing w:after="0" w:line="223" w:lineRule="exact"/>
        <w:rPr>
          <w:sz w:val="20"/>
          <w:szCs w:val="20"/>
          <w:color w:val="auto"/>
        </w:rPr>
      </w:pPr>
    </w:p>
    <w:p>
      <w:pPr>
        <w:ind w:left="900" w:right="40" w:hanging="244"/>
        <w:spacing w:after="0" w:line="261" w:lineRule="auto"/>
        <w:tabs>
          <w:tab w:leader="none" w:pos="89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("CODM") reviews financial information at the operating segment level to allocate resources and to assess the operating results and financial performance for each operating segment. The Company's CODM is Natalia Shuman, our Chief Executive Officer, as she has final authority over performance assessment and resource allocation decisions. Our segments are based on the type and concentration of customers served, service requirements, methods of distribution and major product lines.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Segment income (loss) from operations is the primary performance measure used by the CODM to evaluate segment performance and allocate resources, including considering budget-to-actual variances and prior year-to-actual variances on a monthly basis in accordance with GAAP under ASC 280, Segment Reporting. Segment income (loss) from operations for each of the Company's reportable segments are comprised of revenue, selling, general &amp; administrative expenses, and "other expenses." "Other expenses" include cost of revenue, reorganization and environmental costs, depreciation and amortization and research and engineering.</w:t>
      </w: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Corporate and other assets are comprised principally of cash, deposits, property, plant and equipment, domestic deferred taxes, deferred charges and other assets. Corporate loss from operations consists of administrative charges related to corporate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line="5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personnel and other charges that cannot be readily identified for allocation to a particular segment.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segments are the same as those described in Note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Income (loss) from operations by operating segment includes intercompany transactions, which are eliminated in Corporate and eliminations</w:t>
      </w:r>
      <w:r>
        <w:rPr>
          <w:rFonts w:ascii="Times New Roman" w:cs="Times New Roman" w:eastAsia="Times New Roman" w:hAnsi="Times New Roman"/>
          <w:sz w:val="21"/>
          <w:szCs w:val="21"/>
          <w:color w:val="008080"/>
        </w:rPr>
        <w: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135,321</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174,264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(5,230)</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169,034</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6,526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(4,553)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127,366</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(7,203)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165,207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(3,592)</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6,869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(1,526)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126,975</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(8,935)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tables above only reconcile to income (loss) from operations as our measure of segment profitability and the remainder of the reconciliation to net income (loss) can be seen on the Unaudited Condensed Consolidated Statement of Income (Loss). Products and Systems segment revenue was comprised of approximately $0.5 million and $1.0 million of sales to the International segment, which were eliminated upon consolidation, for the three months ended March 31, 2026 and March 31, 2025, respectively. Intersegment revenue related to sales between other segments was immaterial for the three months ended March 31, 2026 and March 31, 2025.</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8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426,146</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7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4"/>
                <w:szCs w:val="24"/>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278,419</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2 - </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months ended March 31, 2026 and 2025. The MD&amp;A should be read together with our Unaudited Condensed Consolidated Financial Statements and related notes included in Item 1 in this Quarterly Report on Form 10-Q (the "Quarterly Report") and our audited consolidated financial statements and related notes included in our 2025 Annual Report. Unless otherwise specified or the context otherwise requires, “Mistras,” “the Company,” “we,” “us” and “our” refer to Mistras Group, Inc. and its consolidated subsidiaries. The MD&amp;A includes the following sections:</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including increases or changes in tariffs, trade restrictions or taxes; supply chain disruptions resulting from geopolitical instabilities and disputes (including those related to the wars in the Middle East and Ukraine); other impacts from the wars in the Middle East and Ukraine and related economic volatility and uncertainty resulting therefrom, include, without limitation, those discussed in the “Business—Forward-Looking Statements,” and “Risk Factors” sections of our 2025 Annual Report as well as those discussed in this Quarterly Report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is a global leader in technology-enabled industrial asset integrity solutions, serving critical industries including oil &amp; gas, aerospace &amp; defense, power &amp; utilities, manufacturing, and civil infrastructure.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the Company helps clients reduce risk, extend asset life, and optimize operational performance.</w:t>
      </w:r>
    </w:p>
    <w:p>
      <w:pPr>
        <w:spacing w:after="0" w:line="19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Company enhances value for its customers by integrating asset integrity protection throughout supply chains and centralizing integrity data through a suite of Industrial Internet of Things ("IoT")-connected software and monitoring solutions, including OneSuite®, which serves as a cloud-based ecosystem that pulls together the Company’s software and data services capabilities. This integrated approach enables customers to make data-driven decisions that improve asset reliability, enhance safety, reduce operational risk, and optimize performance across the asset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The Company’s core capabilities also include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61" w:lineRule="exact"/>
        <w:rPr>
          <w:sz w:val="20"/>
          <w:szCs w:val="20"/>
          <w:color w:val="auto"/>
        </w:rPr>
      </w:pPr>
    </w:p>
    <w:p>
      <w:pPr>
        <w:ind w:left="660" w:hanging="328"/>
        <w:spacing w:after="0" w:line="25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85" w:lineRule="exact"/>
        <w:rPr>
          <w:rFonts w:ascii="Times New Roman" w:cs="Times New Roman" w:eastAsia="Times New Roman" w:hAnsi="Times New Roman"/>
          <w:sz w:val="18"/>
          <w:szCs w:val="18"/>
          <w:i w:val="1"/>
          <w:iCs w:val="1"/>
          <w:color w:val="auto"/>
        </w:rPr>
      </w:pPr>
    </w:p>
    <w:p>
      <w:pPr>
        <w:ind w:left="660" w:right="74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across oil and gas, aerospace and defense, industrial, power generation and transmission (including alternative and renewable energy), infrastructure, research and engineering, petrochemical, and other process industries.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20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For example, ongoing geopolitical conflicts, including the war between Russia and Ukraine, the unrest in the Middle East, including the recent conflict between the U.S. and Iran, continue to contribute to global energy market volatility, supply chain disruption, and economic uncertainty that could affect certain of our end markets, particularly oil and gas customers. Among other things, we expect the timing of our oil and gas customers inspection spend to be impacted by volatility in oil prices resulting from these factors.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OneSuite platform. The software platform offers functions of our software and services brands as integrated apps on a cloud environment. OneSuite serves as a single access portal for customers' data activities and provides access to 90 plus applications being offered on one centralized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cash position and liquidity remains strong. As of March 31, 2026, our cash and cash equivalents balance was approximately $25.0 million, and we had available borrowing capacity of up to $100.7 million under the revolving credit facility under our Credit Agreement.</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global trade landscape continues to be highly volatile. In 2025, the U.S. government implemented a series of trade tariffs on goods imported into the U.S. from various countries. In many cases, these tariffs resulted in reciprocal tariffs and other</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actions on goods being exported from the U.S. These associated tariffs are complex and continue to evolve as negotiations occur. In February 2026, the U.S. Supreme Court ruled that the International Emergency Economic Powers Act (“IEEPA”), which the U.S. government relied on to impose certain tariffs, does not authorize the administration to impose tariffs. On March 4, 2026, the U.S. Court of International Trade ordered the U.S. Customs and Border Protection (“CBP”) to process refunds of the IEEPA tariffs, although the Court immediately suspended the order while the CBP determines a refund process. The IEEPA tariffs remain subject to ongoing litigation between the administration and other parties. In response to the U.S. Supreme Court ruling mentioned above, the administration announced plans to implement new tariffs under alternative statutory authority. The full impact of the U.S. Supreme Court’s ruling and the administration’s response, including the timing and extent of any refunds and the impact of the new tariffs, remain uncertain. Tariffs and trade barriers have not had a material effect on our business or results of operations during 2026 to date. However, new tariffs or trade measures could result in increased costs to us or our suppliers and could impact the import of materials by our customers, including materials subject to our inspection and testing services, which could adversely affect demand for our services.</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Geopolitical tensions in the Middle East, including the conflict involving the United States and Iran, have contributed to increased volatility in global energy markets and broader macroeconomic uncertainty. The conflict in the Middle East has significantly reduced the export of oil and natural gas from the Persian Gulf, creating upward pressure on oil and natural gas prices, and has also disrupted and increased the costs of certain other supplies. Fluctuations in crude oil and natural gas prices may influence capital spending and maintenance activity by customers in the oil and gas sector, which could affect demand for certain of our services, particularly field inspection and asset integrity solutions. Additionally, continued instability in the region could contribute to supply chain disruptions, changes in foreign currency exchange rates, and delays in customer projects. While we have not experienced material impacts to date, the situation remains dynamic, and we continue to monitor developments and assess potential impacts on our operations,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GAAP. In this MD&amp;A under the heading "Income from Operations", the non-GAAP financial performance measure "Income from operations before special items” is used for each of our three operating segments, “Corporate and Eliminations” and the "Total Company", with tables reconciling the measure to a financial measure under GAAP. This presentation excludes from "Income from Operations" (a) reorganization and other costs, which includes items such as severance, labor relations matters and asset and lease termination costs, and (b) environmental expense, which relates to costs associated with the environmental matter at the Phoenix lab operated by Mistras Arizona, as described in Note 13 to the Unaudited Condensed Consolidated Financial Statements in this Quarterly Report. These adjustments have been excluded from the GAAP measure because these expenses and credits are not related to our or any individual segment's core business operations.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before special items excludes the identified adjustments, which provides additional tools to compare our core business operating performance on a consistent basis and measure underlying trends and results in our business. Income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or any other measures derived in accordance with GAAP. Because Income from operations before special items may not be calculated in the same manner by all companies, this measure may not be comparable to other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months ended March 31, 2026 and 2025 were as follows:</w:t>
      </w:r>
    </w:p>
    <w:p>
      <w:pPr>
        <w:spacing w:after="0" w:line="28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169,034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161,615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44,732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40,892</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25.3 %</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Income (loss) from operations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(4,336)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(3,168)</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(3,186)</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Revenue was $169.0 million for the three months ended March 31, 2026, an increase of $7.4 million, or 4.6%, compared with the three months ended March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months ended March 31, 2026 and 2025 were as follows: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128,902</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33,214</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48"/>
        </w:trPr>
        <w:tc>
          <w:tcPr>
            <w:tcW w:w="7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the three months ended March 31, 2026, total revenue increased 4.6% versus the prior year comparable period due predominantly to a low-single-digit organic increase driven by increases in the aerospace and defense, power generation and transmission, infrastructure, research, and engineering, and petrochemical end markets. North America segment revenue increased 5.0%, driven predominantly by increases in the aerospace and defense, power generation and transmission, infrastructure, research, and engineering and petrochemical end markets as a result of strong market demand. International segment revenue increased 9.3%, due predominantly to a low-double-digit favorable impact of foreign exchange rates. Products and Systems segment revenue decreased by 14.2%, due to decreased sales volume and shipments as compared to the prior year comparable period.</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51% and 60% of total revenue for the three months ended March 31, 2026 and 2025, respectively. Aerospace and defense customer revenue comprised approximately 16% and 13% of total revenue for the three months ended March 31, 2026 and 2025, respectively. The Company’s top ten customers comprised approximately 36% of total revenue for the three months ended March 31, 2026, as compared to 37% for the three months ended March 31, 2025, with no customer accounting for 10% or more of total revenue in either three-month period.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retrospectively reclassified certain revenue types for each quarterly period in 2025 in order to conform the classification with the current period presentation. The table below presents the reclassified balances for each quarterly period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2025 Quarterly Revenues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31"/>
        </w:trPr>
        <w:tc>
          <w:tcPr>
            <w:tcW w:w="4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1"/>
                <w:szCs w:val="11"/>
                <w:color w:val="auto"/>
              </w:rPr>
            </w:pPr>
          </w:p>
        </w:tc>
        <w:tc>
          <w:tcPr>
            <w:tcW w:w="16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1"/>
                <w:szCs w:val="11"/>
                <w:color w:val="auto"/>
              </w:rPr>
            </w:pPr>
          </w:p>
        </w:tc>
        <w:tc>
          <w:tcPr>
            <w:tcW w:w="1500" w:type="dxa"/>
            <w:vAlign w:val="bottom"/>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4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40" w:type="dxa"/>
            <w:vAlign w:val="bottom"/>
          </w:tcPr>
          <w:p>
            <w:pPr>
              <w:spacing w:after="0"/>
              <w:rPr>
                <w:sz w:val="16"/>
                <w:szCs w:val="16"/>
                <w:color w:val="auto"/>
              </w:rPr>
            </w:pPr>
          </w:p>
        </w:tc>
        <w:tc>
          <w:tcPr>
            <w:tcW w:w="12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5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Integrated Field Solutions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155,678</w:t>
            </w:r>
          </w:p>
        </w:tc>
      </w:tr>
      <w:tr>
        <w:trPr>
          <w:trHeight w:val="22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In-Laboratory Services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25,777</w:t>
            </w:r>
          </w:p>
        </w:tc>
      </w:tr>
      <w:tr>
        <w:trPr>
          <w:trHeight w:val="248"/>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
        </w:trPr>
        <w:tc>
          <w:tcPr>
            <w:tcW w:w="4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4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Integrated Field Solutions</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In-Laboratory Services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8"/>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-1645285</wp:posOffset>
            </wp:positionV>
            <wp:extent cx="8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-1645285</wp:posOffset>
            </wp:positionV>
            <wp:extent cx="8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presenting the allocation of revenue by type in the table above, management makes certain assumptions in its allocation of revenue from laboratories that provide more than one type of service. The allocation methodology and assumptions made are consistent for the years presented.</w:t>
      </w:r>
    </w:p>
    <w:p>
      <w:pPr>
        <w:spacing w:after="0" w:line="17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Integrated Field Solutions revenue is comprised of revenue derived from on-site asset inspection, maintenance, and related technical services performed by our technicians at customer locations, as well as data-driven solutions, including software, analytics, and implementation services that provide insights and recommendations to enhance asset integrity and performance. Integrated Field Solutions revenue increased by $0.7 million for the three months ended March 31, 2026 as compared to the three months ended March 31, 2025, primarily due to increases in our power generation and transmission, infrastructure, research, and engineering and petrochemical end markets as a result of strong market demand, partially offset by decreases in sales volume in our oil and gas end market within our North America and International segments.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In-Laboratory Services revenue is comprised of quality assurance inspections of components and materials at our in-house laboratory facilities. In-Laboratory Services revenue increased by $6.7 million for the three months ended March 31, 2026 as compared to the three months ended March 31, 2025, primarily due to increased sales volumes in our aerospace and defense end market in our North America segment.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Gross profit increased by $3.8 million, or 9.4%, in the three months ended March 31, 2026 versus the prior year comparable period, primarily due to </w:t>
      </w:r>
      <w:r>
        <w:rPr>
          <w:rFonts w:ascii="Times New Roman" w:cs="Times New Roman" w:eastAsia="Times New Roman" w:hAnsi="Times New Roman"/>
          <w:sz w:val="18"/>
          <w:szCs w:val="18"/>
          <w:color w:val="1D2228"/>
        </w:rPr>
        <w:t>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2228"/>
        </w:rPr>
        <w:t xml:space="preserve">improved </w:t>
      </w:r>
      <w:r>
        <w:rPr>
          <w:rFonts w:ascii="Times New Roman" w:cs="Times New Roman" w:eastAsia="Times New Roman" w:hAnsi="Times New Roman"/>
          <w:sz w:val="18"/>
          <w:szCs w:val="18"/>
          <w:color w:val="000000"/>
        </w:rPr>
        <w:t>and diversified</w:t>
      </w:r>
      <w:r>
        <w:rPr>
          <w:rFonts w:ascii="Times New Roman" w:cs="Times New Roman" w:eastAsia="Times New Roman" w:hAnsi="Times New Roman"/>
          <w:sz w:val="18"/>
          <w:szCs w:val="18"/>
          <w:color w:val="1D2228"/>
        </w:rPr>
        <w:t xml:space="preserve"> business mix and operating efficiencies</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months ended March 31, 2026 and 2025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7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33,536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30,165</w:t>
            </w:r>
          </w:p>
        </w:tc>
      </w:tr>
      <w:tr>
        <w:trPr>
          <w:trHeight w:val="230"/>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23.4 %</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9,088</w:t>
            </w:r>
          </w:p>
        </w:tc>
      </w:tr>
      <w:tr>
        <w:trPr>
          <w:trHeight w:val="230"/>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1,623</w:t>
            </w:r>
          </w:p>
        </w:tc>
      </w:tr>
      <w:tr>
        <w:trPr>
          <w:trHeight w:val="229"/>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52.5 %</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6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44,732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40,892</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25.3 %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Gross profit margin was 26.5% and 25.3% for the three months ended March 31, 2026 and 2025, respectively. Gross profit margin for the North America segment increased by 1.4% for the three months ended March 31, 2026 as compared to the prior year comparable period primarily due to an improved and diversified business mix and operating efficiencies. International segment realized a 0.4% increase in gross profit margin to 27.8% for the three months ended March 31, 2026 as compared to the prior year comparable period primarily due to a favorable sales mix in the current year period. Products and Systems segment gross margin had a decrease of 12.3% to 40.2% for the three months ended March 31, 2026 primarily due to a less favorable sales mix as compared to the prior period.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2026 and 2025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w:t>
            </w: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23"/>
        </w:trPr>
        <w:tc>
          <w:tcPr>
            <w:tcW w:w="788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41,904</w:t>
            </w:r>
          </w:p>
        </w:tc>
      </w:tr>
      <w:tr>
        <w:trPr>
          <w:trHeight w:val="20"/>
        </w:trPr>
        <w:tc>
          <w:tcPr>
            <w:tcW w:w="7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Operating expenses decreased $1.9 million, or 4.4%, for the three months ended March 31, 2026 compared to the three months ended March 31, 2025. Selling, general and administrative expenses increased $1.3 million during the three months ended March 31, 2026 compared to the three months ended March 31, 2025, due to strategic investments in our operations to support commercial execution and promote growth in our strategic markets, while maintaining discipline in overhead costs. Reorganization and other costs decreased by $2.6 million to $0.5 million as compared to the prior year comparable period, due to lower restructuring activity, including workforce reductions and laboratory rationalization initiatives in the three months ended March 31, 2025, which did not recur at similar levels during the current year period. Environmental expense, net decreased by $0.7 million as compared to the prior year comparable period due to lower expenses related to the ongoing remediation efforts related to the Mistras Arizona claim discussed in Note 13</w:t>
      </w:r>
    </w:p>
    <w:p>
      <w:pPr>
        <w:spacing w:after="0" w:line="1" w:lineRule="exact"/>
        <w:rPr>
          <w:sz w:val="20"/>
          <w:szCs w:val="20"/>
          <w:color w:val="auto"/>
        </w:rPr>
      </w:pPr>
    </w:p>
    <w:p>
      <w:pPr>
        <w:ind w:firstLine="8"/>
        <w:spacing w:after="0" w:line="243" w:lineRule="auto"/>
        <w:tabs>
          <w:tab w:leader="none" w:pos="10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Commitments and Contingencies. Research and engineering expenses decreased by $0.1 million during the three months ended March 31, 2026 compared to the three months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ended March 31, 2025. Depreciation and amortization increased by $0.2 million during the three months ended March 31, 2026 compared to the three months ended March 31,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the income (loss) from operations (GAAP) to income (loss) from operations before special items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for each of our three segments, Corporate and Elimination and for the Company in total: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9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before special items (non-GAAP)</w:t>
            </w:r>
          </w:p>
        </w:tc>
        <w:tc>
          <w:tcPr>
            <w:tcW w:w="920" w:type="dxa"/>
            <w:vAlign w:val="bottom"/>
            <w:tcBorders>
              <w:top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tcPr>
          <w:p>
            <w:pPr>
              <w:spacing w:after="0"/>
              <w:rPr>
                <w:sz w:val="19"/>
                <w:szCs w:val="19"/>
                <w:color w:val="auto"/>
              </w:rPr>
            </w:pP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Quarterly Report for an explanation of the use of non-GAAP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For the three months ended March 31, 2026, income from operations (GAAP) increased $5.7 million or 562.6%, compared with the three months ended March 31, 2025, while income from operations before special items (non-GAAP) increased by $2.4 million, or 92.2%. The increase in income from operations was due to higher gross profit and lower reorganization and other costs. As a percentage of revenue, income from operations increased by 340 basis points to 2.8% in the three months ended March 31, 2026 compared to (0.6)% in the three months ended March 31, 2025. As a percentage of revenue, income from operations before special items increased by 140 basis points to 3.0% in the three months ended March 31, 2026 compared to 1.6% in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$2.9 million and $3.3 million for the three months ended March 31, 2026 and 2025, respectively. This decrease of $0.4 million in interest expense in the current year period was a result of lower interest rates during the three months ended March 31, 2026 in comparison to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approximately 13.8% for the three months ended March 31, 2026, compared to an effective income tax benefit of approximately 26.9% for the three months ended March 31, 2025.</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2026, was lower than the statutory rate primarily due to the impact of favorable discrete items related to stock compensation. The effective income tax benefit for the three months ended March 31, 2025, was higher than the statutory rate primarily due to the impact of an unfavorable discrete item related to stock compensation.</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expenses,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These tax reform provisions include the extension and modification of certain provisions of the Tax Cuts and Jobs Act.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three months ended March 31, 2026.</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cash provided by operating activities was $2.8 million, representing a year-over-year decrease of $2.8 million, or 50%. This decrease was primarily attributable to movements in working capital, as compared to the prior year comparable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cash used in investing activities was $5.6 million, representing a $0.1 million increase compared to the prior year comparable period. The increase is primarily attributable to an increase in expenditures for property, plant, and equipment of $1.4 million, partially offset by an increase in proceeds from the sale of equipment of $1.3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$0.3 million for the three months ended March 31, 2026, compared to net cash used in financing activities of $0.7 million for the three months ended March 31, 2025. During the three months ended March 31, 2026, net borrowings of debt were approximately $0.6 million higher than the prior year comparable period resulting in additional net debt borrowings during the current year period in comparison to the prior year comparable period. The increase in net debt borrowings is partially offset by $0.1 million more in taxes paid related to net share settlement of share-based awards during the three months ended March 31,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$0.1 million in the three months ended March 31, 2026, compared to an increase of $0.7 million for the three months ended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totaling $25.0 million and $100.7 million of unused commitments under our Credit Agreement with borrowings of $179.6 million and $3.4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As of March 31, 2026, we were in compliance with the terms of the Credit Agreement and will continuously monitor our compliance with the covenants contained in the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20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11 -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2025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2025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2025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Senior Executive Vice President, Chief Financial Officer, of the effectiveness of the design and operation of our disclosure controls (as defined in Rule 13a-15(e) of the Exchange Act) and procedures. Based upon that evaluation, our President and Chief Executive Officer and our Senior Executive Vice President, Chief Financial Officer concluded that, as of March 31, 2026,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See Note 13 - </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legal proceedings and no material developments with regard to any matters disclosed under Part I, Item 3 "Legal Proceedings" in our 2025 Annual Report, except as disclosed herein under Note 13 - </w:t>
      </w:r>
      <w:r>
        <w:rPr>
          <w:rFonts w:ascii="Times New Roman" w:cs="Times New Roman" w:eastAsia="Times New Roman" w:hAnsi="Times New Roman"/>
          <w:sz w:val="18"/>
          <w:szCs w:val="18"/>
          <w:b w:val="1"/>
          <w:bCs w:val="1"/>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to the Notes to the Unaudited Condensed Consolidated Financial Statements.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2025 Annual Report. There have been no material changes to the risk factors previously disclosed in the 2025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or settlement of restricted stock units.</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560" w:type="dxa"/>
            <w:vAlign w:val="bottom"/>
          </w:tcPr>
          <w:p>
            <w:pPr>
              <w:jc w:val="center"/>
              <w:ind w:left="64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jc w:val="right"/>
              <w:ind w:right="837"/>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340" w:type="dxa"/>
            <w:vAlign w:val="bottom"/>
            <w:gridSpan w:val="3"/>
            <w:vMerge w:val="continue"/>
          </w:tcPr>
          <w:p>
            <w:pPr>
              <w:spacing w:after="0"/>
              <w:rPr>
                <w:sz w:val="16"/>
                <w:szCs w:val="16"/>
                <w:color w:val="auto"/>
              </w:rPr>
            </w:pPr>
          </w:p>
        </w:tc>
        <w:tc>
          <w:tcPr>
            <w:tcW w:w="256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60" w:type="dxa"/>
            <w:vAlign w:val="bottom"/>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31, 2026</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February 28, 2026</w:t>
            </w:r>
          </w:p>
        </w:tc>
        <w:tc>
          <w:tcPr>
            <w:tcW w:w="2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2026</w:t>
            </w:r>
          </w:p>
        </w:tc>
        <w:tc>
          <w:tcPr>
            <w:tcW w:w="2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8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None.</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3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3"/>
        </w:trPr>
        <w:tc>
          <w:tcPr>
            <w:tcW w:w="3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4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1980" w:type="dxa"/>
            <w:vAlign w:val="bottom"/>
          </w:tcPr>
          <w:p>
            <w:pPr>
              <w:spacing w:after="0"/>
              <w:rPr>
                <w:sz w:val="15"/>
                <w:szCs w:val="15"/>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480"/>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204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9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0920"/>
          </w:cols>
          <w:pgMar w:left="320" w:top="117" w:right="6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Natalia Shuman-Fabbri, certify that:</w:t>
      </w:r>
    </w:p>
    <w:p>
      <w:pPr>
        <w:spacing w:after="0" w:line="90"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17145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04"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30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2026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2026-05-07T13:56:19Z</dcterms:created>
  <dcterms:modified xsi:type="dcterms:W3CDTF">2026-05-07T13:56:19Z</dcterms:modified>
</cp:coreProperties>
</file>