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780" w:right="160" w:hanging="448"/>
        <w:spacing w:after="0" w:line="256" w:lineRule="auto"/>
        <w:tabs>
          <w:tab w:leader="none" w:pos="65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February 28, 2014</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80" w:right="120" w:hanging="448"/>
        <w:spacing w:after="0" w:line="256" w:lineRule="auto"/>
        <w:tabs>
          <w:tab w:leader="none" w:pos="691"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transition period to</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001- 34481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1320" w:type="dxa"/>
        <w:tblCellMar>
          <w:top w:w="0" w:type="dxa"/>
          <w:left w:w="0" w:type="dxa"/>
          <w:bottom w:w="0" w:type="dxa"/>
          <w:right w:w="0" w:type="dxa"/>
        </w:tblCellMar>
      </w:tblPr>
      <w:tr>
        <w:trPr>
          <w:trHeight w:val="220"/>
        </w:trPr>
        <w:tc>
          <w:tcPr>
            <w:tcW w:w="6500" w:type="dxa"/>
            <w:vAlign w:val="bottom"/>
          </w:tcPr>
          <w:p>
            <w:pPr>
              <w:jc w:val="center"/>
              <w:ind w:right="3530"/>
              <w:spacing w:after="0"/>
              <w:rPr>
                <w:sz w:val="20"/>
                <w:szCs w:val="20"/>
                <w:color w:val="auto"/>
              </w:rPr>
            </w:pPr>
            <w:r>
              <w:rPr>
                <w:rFonts w:ascii="Arial" w:cs="Arial" w:eastAsia="Arial" w:hAnsi="Arial"/>
                <w:sz w:val="18"/>
                <w:szCs w:val="18"/>
                <w:b w:val="1"/>
                <w:bCs w:val="1"/>
                <w:color w:val="auto"/>
                <w:w w:val="91"/>
              </w:rPr>
              <w:t>Delaware</w:t>
            </w: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rPr>
              <w:t>22-3341267</w:t>
            </w:r>
          </w:p>
        </w:tc>
      </w:tr>
      <w:tr>
        <w:trPr>
          <w:trHeight w:val="216"/>
        </w:trPr>
        <w:tc>
          <w:tcPr>
            <w:tcW w:w="6500" w:type="dxa"/>
            <w:vAlign w:val="bottom"/>
          </w:tcPr>
          <w:p>
            <w:pPr>
              <w:jc w:val="center"/>
              <w:ind w:right="3530"/>
              <w:spacing w:after="0"/>
              <w:rPr>
                <w:sz w:val="20"/>
                <w:szCs w:val="20"/>
                <w:color w:val="auto"/>
              </w:rPr>
            </w:pPr>
            <w:r>
              <w:rPr>
                <w:rFonts w:ascii="Arial" w:cs="Arial" w:eastAsia="Arial" w:hAnsi="Arial"/>
                <w:sz w:val="18"/>
                <w:szCs w:val="18"/>
                <w:color w:val="auto"/>
                <w:w w:val="92"/>
              </w:rPr>
              <w:t>(State or other jurisdiction of</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3"/>
              </w:rPr>
              <w:t>(I.R.S. Employer</w:t>
            </w:r>
          </w:p>
        </w:tc>
      </w:tr>
      <w:tr>
        <w:trPr>
          <w:trHeight w:val="230"/>
        </w:trPr>
        <w:tc>
          <w:tcPr>
            <w:tcW w:w="6500" w:type="dxa"/>
            <w:vAlign w:val="bottom"/>
          </w:tcPr>
          <w:p>
            <w:pPr>
              <w:jc w:val="center"/>
              <w:ind w:right="3530"/>
              <w:spacing w:after="0"/>
              <w:rPr>
                <w:sz w:val="20"/>
                <w:szCs w:val="20"/>
                <w:color w:val="auto"/>
              </w:rPr>
            </w:pPr>
            <w:r>
              <w:rPr>
                <w:rFonts w:ascii="Arial" w:cs="Arial" w:eastAsia="Arial" w:hAnsi="Arial"/>
                <w:sz w:val="18"/>
                <w:szCs w:val="18"/>
                <w:color w:val="auto"/>
                <w:w w:val="92"/>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00" w:type="dxa"/>
            <w:vAlign w:val="bottom"/>
          </w:tcPr>
          <w:p>
            <w:pPr>
              <w:jc w:val="center"/>
              <w:ind w:right="3530"/>
              <w:spacing w:after="0"/>
              <w:rPr>
                <w:sz w:val="20"/>
                <w:szCs w:val="20"/>
                <w:color w:val="auto"/>
              </w:rPr>
            </w:pPr>
            <w:r>
              <w:rPr>
                <w:rFonts w:ascii="Arial" w:cs="Arial" w:eastAsia="Arial" w:hAnsi="Arial"/>
                <w:sz w:val="18"/>
                <w:szCs w:val="18"/>
                <w:b w:val="1"/>
                <w:bCs w:val="1"/>
                <w:color w:val="auto"/>
                <w:w w:val="91"/>
              </w:rPr>
              <w:t>195 Clarksville Road</w:t>
            </w:r>
          </w:p>
        </w:tc>
        <w:tc>
          <w:tcPr>
            <w:tcW w:w="1520" w:type="dxa"/>
            <w:vAlign w:val="bottom"/>
          </w:tcPr>
          <w:p>
            <w:pPr>
              <w:spacing w:after="0"/>
              <w:rPr>
                <w:sz w:val="24"/>
                <w:szCs w:val="24"/>
                <w:color w:val="auto"/>
              </w:rPr>
            </w:pPr>
          </w:p>
        </w:tc>
      </w:tr>
      <w:tr>
        <w:trPr>
          <w:trHeight w:val="220"/>
        </w:trPr>
        <w:tc>
          <w:tcPr>
            <w:tcW w:w="6500" w:type="dxa"/>
            <w:vAlign w:val="bottom"/>
          </w:tcPr>
          <w:p>
            <w:pPr>
              <w:jc w:val="center"/>
              <w:ind w:right="3530"/>
              <w:spacing w:after="0"/>
              <w:rPr>
                <w:sz w:val="20"/>
                <w:szCs w:val="20"/>
                <w:color w:val="auto"/>
              </w:rPr>
            </w:pPr>
            <w:r>
              <w:rPr>
                <w:rFonts w:ascii="Arial" w:cs="Arial" w:eastAsia="Arial" w:hAnsi="Arial"/>
                <w:sz w:val="18"/>
                <w:szCs w:val="18"/>
                <w:b w:val="1"/>
                <w:bCs w:val="1"/>
                <w:color w:val="auto"/>
                <w:w w:val="89"/>
              </w:rPr>
              <w:t>Princeton Junction, New Jersey</w:t>
            </w: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08550</w:t>
            </w:r>
          </w:p>
        </w:tc>
      </w:tr>
      <w:tr>
        <w:trPr>
          <w:trHeight w:val="230"/>
        </w:trPr>
        <w:tc>
          <w:tcPr>
            <w:tcW w:w="6500" w:type="dxa"/>
            <w:vAlign w:val="bottom"/>
          </w:tcPr>
          <w:p>
            <w:pPr>
              <w:jc w:val="center"/>
              <w:ind w:right="3550"/>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jc w:val="center"/>
              <w:ind w:left="110"/>
              <w:spacing w:after="0"/>
              <w:rPr>
                <w:sz w:val="20"/>
                <w:szCs w:val="20"/>
                <w:color w:val="auto"/>
              </w:rPr>
            </w:pPr>
            <w:r>
              <w:rPr>
                <w:rFonts w:ascii="Arial" w:cs="Arial" w:eastAsia="Arial" w:hAnsi="Arial"/>
                <w:sz w:val="18"/>
                <w:szCs w:val="18"/>
                <w:color w:val="auto"/>
                <w:w w:val="94"/>
              </w:rPr>
              <w:t>(Zip Code)</w:t>
            </w:r>
          </w:p>
        </w:tc>
      </w:tr>
      <w:tr>
        <w:trPr>
          <w:trHeight w:val="418"/>
        </w:trPr>
        <w:tc>
          <w:tcPr>
            <w:tcW w:w="6500" w:type="dxa"/>
            <w:vAlign w:val="bottom"/>
          </w:tcPr>
          <w:p>
            <w:pPr>
              <w:jc w:val="right"/>
              <w:ind w:right="1450"/>
              <w:spacing w:after="0"/>
              <w:rPr>
                <w:sz w:val="20"/>
                <w:szCs w:val="20"/>
                <w:color w:val="auto"/>
              </w:rPr>
            </w:pPr>
            <w:r>
              <w:rPr>
                <w:rFonts w:ascii="Arial" w:cs="Arial" w:eastAsia="Arial" w:hAnsi="Arial"/>
                <w:sz w:val="18"/>
                <w:szCs w:val="18"/>
                <w:b w:val="1"/>
                <w:bCs w:val="1"/>
                <w:color w:val="auto"/>
              </w:rPr>
              <w:t>(609) 716-4000</w:t>
            </w:r>
          </w:p>
        </w:tc>
        <w:tc>
          <w:tcPr>
            <w:tcW w:w="1520" w:type="dxa"/>
            <w:vAlign w:val="bottom"/>
          </w:tcPr>
          <w:p>
            <w:pPr>
              <w:spacing w:after="0"/>
              <w:rPr>
                <w:sz w:val="24"/>
                <w:szCs w:val="24"/>
                <w:color w:val="auto"/>
              </w:rPr>
            </w:pPr>
          </w:p>
        </w:tc>
      </w:tr>
      <w:tr>
        <w:trPr>
          <w:trHeight w:val="230"/>
        </w:trPr>
        <w:tc>
          <w:tcPr>
            <w:tcW w:w="6500" w:type="dxa"/>
            <w:vAlign w:val="bottom"/>
          </w:tcPr>
          <w:p>
            <w:pPr>
              <w:jc w:val="center"/>
              <w:ind w:left="219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205740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81" w:lineRule="exact"/>
        <w:rPr>
          <w:sz w:val="24"/>
          <w:szCs w:val="24"/>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o No</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320"/>
          </w:cols>
          <w:pgMar w:left="240" w:top="233" w:right="339" w:bottom="0" w:gutter="0" w:footer="0" w:header="0"/>
        </w:sectPr>
      </w:pPr>
    </w:p>
    <w:p>
      <w:pPr>
        <w:spacing w:after="0" w:line="222"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jc w:val="center"/>
        <w:ind w:right="1400"/>
        <w:spacing w:after="0"/>
        <w:rPr>
          <w:sz w:val="20"/>
          <w:szCs w:val="20"/>
          <w:color w:val="auto"/>
        </w:rPr>
      </w:pPr>
      <w:r>
        <w:rPr>
          <w:rFonts w:ascii="Arial" w:cs="Arial" w:eastAsia="Arial" w:hAnsi="Arial"/>
          <w:sz w:val="18"/>
          <w:szCs w:val="18"/>
          <w:color w:val="auto"/>
        </w:rPr>
        <w:t>Non-accelerated filer o</w:t>
      </w:r>
    </w:p>
    <w:p>
      <w:pPr>
        <w:spacing w:after="0" w:line="9"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jc w:val="center"/>
        <w:ind w:right="1580"/>
        <w:spacing w:after="0"/>
        <w:rPr>
          <w:sz w:val="20"/>
          <w:szCs w:val="20"/>
          <w:color w:val="auto"/>
        </w:rPr>
      </w:pPr>
      <w:r>
        <w:rPr>
          <w:rFonts w:ascii="Arial" w:cs="Arial" w:eastAsia="Arial" w:hAnsi="Arial"/>
          <w:sz w:val="18"/>
          <w:szCs w:val="18"/>
          <w:color w:val="auto"/>
        </w:rPr>
        <w:t>Accelerated filer x</w:t>
      </w:r>
    </w:p>
    <w:p>
      <w:pPr>
        <w:spacing w:after="0" w:line="23" w:lineRule="exact"/>
        <w:rPr>
          <w:sz w:val="24"/>
          <w:szCs w:val="24"/>
          <w:color w:val="auto"/>
        </w:rPr>
      </w:pPr>
    </w:p>
    <w:p>
      <w:pPr>
        <w:jc w:val="center"/>
        <w:ind w:right="1580"/>
        <w:spacing w:after="0"/>
        <w:rPr>
          <w:sz w:val="20"/>
          <w:szCs w:val="20"/>
          <w:color w:val="auto"/>
        </w:rPr>
      </w:pPr>
      <w:r>
        <w:rPr>
          <w:rFonts w:ascii="Arial" w:cs="Arial" w:eastAsia="Arial" w:hAnsi="Arial"/>
          <w:sz w:val="16"/>
          <w:szCs w:val="16"/>
          <w:color w:val="auto"/>
        </w:rPr>
        <w:t>Smaller reporting company o</w:t>
      </w:r>
    </w:p>
    <w:p>
      <w:pPr>
        <w:spacing w:after="0" w:line="416" w:lineRule="exact"/>
        <w:rPr>
          <w:sz w:val="24"/>
          <w:szCs w:val="24"/>
          <w:color w:val="auto"/>
        </w:rPr>
      </w:pPr>
    </w:p>
    <w:p>
      <w:pPr>
        <w:sectPr>
          <w:pgSz w:w="11900" w:h="16838" w:orient="portrait"/>
          <w:cols w:equalWidth="0" w:num="2">
            <w:col w:w="6900" w:space="720"/>
            <w:col w:w="3700"/>
          </w:cols>
          <w:pgMar w:left="240" w:top="233" w:right="339" w:bottom="0" w:gutter="0" w:footer="0" w:header="0"/>
          <w:type w:val="continuous"/>
        </w:sectPr>
      </w:pPr>
    </w:p>
    <w:p>
      <w:pPr>
        <w:spacing w:after="0" w:line="34" w:lineRule="exact"/>
        <w:rPr>
          <w:sz w:val="24"/>
          <w:szCs w:val="24"/>
          <w:color w:val="auto"/>
        </w:rPr>
      </w:pPr>
    </w:p>
    <w:p>
      <w:pPr>
        <w:ind w:left="660"/>
        <w:spacing w:after="0"/>
        <w:tabs>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o Yes</w:t>
      </w:r>
      <w:r>
        <w:rPr>
          <w:sz w:val="20"/>
          <w:szCs w:val="20"/>
          <w:color w:val="auto"/>
        </w:rPr>
        <w:tab/>
      </w:r>
      <w:r>
        <w:rPr>
          <w:rFonts w:ascii="Arial" w:cs="Arial" w:eastAsia="Arial" w:hAnsi="Arial"/>
          <w:sz w:val="18"/>
          <w:szCs w:val="18"/>
          <w:color w:val="auto"/>
        </w:rPr>
        <w:t>x No</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April 1, 2014, the registrant had 28,440,896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TABLE OF CONTENTS</w:t>
      </w:r>
    </w:p>
    <w:p>
      <w:pPr>
        <w:sectPr>
          <w:pgSz w:w="11900" w:h="16838" w:orient="portrait"/>
          <w:cols w:equalWidth="0" w:num="1">
            <w:col w:w="11320"/>
          </w:cols>
          <w:pgMar w:left="240" w:top="233" w:right="339" w:bottom="0" w:gutter="0" w:footer="0" w:header="0"/>
          <w:type w:val="continuous"/>
        </w:sectPr>
      </w:pPr>
    </w:p>
    <w:bookmarkStart w:id="1" w:name="page2"/>
    <w:bookmarkEnd w:id="1"/>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gridSpan w:val="12"/>
            <w:vMerge w:val="restart"/>
          </w:tcPr>
          <w:p>
            <w:pPr>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PART I—FINANCIAL INFORMATION</w:t>
              </w:r>
            </w:hyperlink>
          </w:p>
        </w:tc>
        <w:tc>
          <w:tcPr>
            <w:tcW w:w="7260" w:type="dxa"/>
            <w:vAlign w:val="bottom"/>
            <w:gridSpan w:val="15"/>
            <w:vMerge w:val="restart"/>
          </w:tcPr>
          <w:p>
            <w:pPr>
              <w:spacing w:after="0"/>
              <w:rPr>
                <w:sz w:val="14"/>
                <w:szCs w:val="14"/>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980" w:type="dxa"/>
            <w:vAlign w:val="bottom"/>
            <w:tcBorders>
              <w:bottom w:val="single" w:sz="8" w:color="0000EE"/>
            </w:tcBorders>
            <w:gridSpan w:val="12"/>
            <w:vMerge w:val="continue"/>
          </w:tcPr>
          <w:p>
            <w:pPr>
              <w:spacing w:after="0"/>
              <w:rPr>
                <w:sz w:val="13"/>
                <w:szCs w:val="13"/>
                <w:color w:val="auto"/>
              </w:rPr>
            </w:pPr>
          </w:p>
        </w:tc>
        <w:tc>
          <w:tcPr>
            <w:tcW w:w="7260" w:type="dxa"/>
            <w:vAlign w:val="bottom"/>
            <w:gridSpan w:val="15"/>
            <w:vMerge w:val="continue"/>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ITEM 1.</w:t>
              </w:r>
            </w:hyperlink>
          </w:p>
        </w:tc>
        <w:tc>
          <w:tcPr>
            <w:tcW w:w="3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gridSpan w:val="2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as of February 28, 2014 (unaudited) and May 31, 2013</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Statements of Income for the three and nine months ended February 28, 2014</w:t>
              </w:r>
            </w:hyperlink>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8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2013</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Statements of Comprehensive Income for the three and nine months ended</w:t>
              </w:r>
            </w:hyperlink>
          </w:p>
        </w:tc>
        <w:tc>
          <w:tcPr>
            <w:tcW w:w="460" w:type="dxa"/>
            <w:vAlign w:val="bottom"/>
            <w:gridSpan w:val="3"/>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February 28, 2014 and 2013</w:t>
              </w:r>
            </w:hyperlink>
          </w:p>
        </w:tc>
        <w:tc>
          <w:tcPr>
            <w:tcW w:w="644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Cash Flows for the nine months ended February 28, 2014 and</w:t>
              </w:r>
            </w:hyperlink>
          </w:p>
        </w:tc>
        <w:tc>
          <w:tcPr>
            <w:tcW w:w="36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2013</w:t>
              </w:r>
            </w:hyperlink>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Condensed Consolidated Financial Statements</w:t>
              </w:r>
            </w:hyperlink>
          </w:p>
        </w:tc>
        <w:tc>
          <w:tcPr>
            <w:tcW w:w="3680" w:type="dxa"/>
            <w:vAlign w:val="bottom"/>
            <w:gridSpan w:val="6"/>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800" w:type="dxa"/>
            <w:vAlign w:val="bottom"/>
            <w:gridSpan w:val="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6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3.</w:t>
              </w:r>
            </w:hyperlink>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020" w:type="dxa"/>
            <w:vAlign w:val="bottom"/>
            <w:gridSpan w:val="5"/>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64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4.</w:t>
              </w:r>
            </w:hyperlink>
          </w:p>
        </w:tc>
        <w:tc>
          <w:tcPr>
            <w:tcW w:w="3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Controls and Procedures</w:t>
              </w:r>
            </w:hyperlink>
          </w:p>
        </w:tc>
        <w:tc>
          <w:tcPr>
            <w:tcW w:w="6700" w:type="dxa"/>
            <w:vAlign w:val="bottom"/>
            <w:gridSpan w:val="11"/>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12"/>
        </w:trPr>
        <w:tc>
          <w:tcPr>
            <w:tcW w:w="268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PART II—OTHER INFORMATION</w:t>
              </w:r>
            </w:hyperlink>
          </w:p>
        </w:tc>
        <w:tc>
          <w:tcPr>
            <w:tcW w:w="7560" w:type="dxa"/>
            <w:vAlign w:val="bottom"/>
            <w:gridSpan w:val="16"/>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1.</w:t>
              </w:r>
            </w:hyperlink>
          </w:p>
        </w:tc>
        <w:tc>
          <w:tcPr>
            <w:tcW w:w="300" w:type="dxa"/>
            <w:vAlign w:val="bottom"/>
            <w:gridSpan w:val="2"/>
          </w:tcPr>
          <w:p>
            <w:pPr>
              <w:spacing w:after="0"/>
              <w:rPr>
                <w:sz w:val="24"/>
                <w:szCs w:val="24"/>
                <w:color w:val="auto"/>
              </w:rPr>
            </w:pPr>
          </w:p>
        </w:tc>
        <w:tc>
          <w:tcPr>
            <w:tcW w:w="8640" w:type="dxa"/>
            <w:vAlign w:val="bottom"/>
            <w:gridSpan w:val="21"/>
          </w:tcPr>
          <w:p>
            <w:pPr>
              <w:ind w:left="160"/>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00" w:type="dxa"/>
            <w:vAlign w:val="bottom"/>
            <w:gridSpan w:val="4"/>
          </w:tcPr>
          <w:p>
            <w:pPr>
              <w:spacing w:after="0"/>
              <w:rPr>
                <w:rFonts w:ascii="Arial" w:cs="Arial" w:eastAsia="Arial" w:hAnsi="Arial"/>
                <w:sz w:val="18"/>
                <w:szCs w:val="18"/>
                <w:color w:val="0000EE"/>
                <w:w w:val="97"/>
              </w:rPr>
            </w:pPr>
            <w:hyperlink w:anchor="page20">
              <w:r>
                <w:rPr>
                  <w:rFonts w:ascii="Arial" w:cs="Arial" w:eastAsia="Arial" w:hAnsi="Arial"/>
                  <w:sz w:val="18"/>
                  <w:szCs w:val="18"/>
                  <w:color w:val="0000EE"/>
                  <w:w w:val="97"/>
                </w:rPr>
                <w:t>ITEM 1.A.</w:t>
              </w:r>
            </w:hyperlink>
          </w:p>
        </w:tc>
        <w:tc>
          <w:tcPr>
            <w:tcW w:w="140" w:type="dxa"/>
            <w:vAlign w:val="bottom"/>
          </w:tcPr>
          <w:p>
            <w:pPr>
              <w:spacing w:after="0"/>
              <w:rPr>
                <w:sz w:val="24"/>
                <w:szCs w:val="24"/>
                <w:color w:val="auto"/>
              </w:rPr>
            </w:pPr>
          </w:p>
        </w:tc>
        <w:tc>
          <w:tcPr>
            <w:tcW w:w="8640" w:type="dxa"/>
            <w:vAlign w:val="bottom"/>
            <w:gridSpan w:val="21"/>
          </w:tcPr>
          <w:p>
            <w:pPr>
              <w:ind w:left="160"/>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800" w:type="dxa"/>
            <w:vAlign w:val="bottom"/>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140" w:type="dxa"/>
            <w:vAlign w:val="bottom"/>
          </w:tcPr>
          <w:p>
            <w:pPr>
              <w:spacing w:after="0"/>
              <w:rPr>
                <w:sz w:val="24"/>
                <w:szCs w:val="24"/>
                <w:color w:val="auto"/>
              </w:rPr>
            </w:pPr>
          </w:p>
        </w:tc>
        <w:tc>
          <w:tcPr>
            <w:tcW w:w="8640" w:type="dxa"/>
            <w:vAlign w:val="bottom"/>
            <w:gridSpan w:val="21"/>
          </w:tcPr>
          <w:p>
            <w:pPr>
              <w:ind w:left="160"/>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3.</w:t>
              </w:r>
            </w:hyperlink>
          </w:p>
        </w:tc>
        <w:tc>
          <w:tcPr>
            <w:tcW w:w="300" w:type="dxa"/>
            <w:vAlign w:val="bottom"/>
            <w:gridSpan w:val="2"/>
          </w:tcPr>
          <w:p>
            <w:pPr>
              <w:spacing w:after="0"/>
              <w:rPr>
                <w:sz w:val="24"/>
                <w:szCs w:val="24"/>
                <w:color w:val="auto"/>
              </w:rPr>
            </w:pPr>
          </w:p>
        </w:tc>
        <w:tc>
          <w:tcPr>
            <w:tcW w:w="8640" w:type="dxa"/>
            <w:vAlign w:val="bottom"/>
            <w:gridSpan w:val="21"/>
          </w:tcPr>
          <w:p>
            <w:pPr>
              <w:ind w:left="160"/>
              <w:spacing w:after="0"/>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4.</w:t>
              </w:r>
            </w:hyperlink>
          </w:p>
        </w:tc>
        <w:tc>
          <w:tcPr>
            <w:tcW w:w="300" w:type="dxa"/>
            <w:vAlign w:val="bottom"/>
            <w:gridSpan w:val="2"/>
          </w:tcPr>
          <w:p>
            <w:pPr>
              <w:spacing w:after="0"/>
              <w:rPr>
                <w:sz w:val="24"/>
                <w:szCs w:val="24"/>
                <w:color w:val="auto"/>
              </w:rPr>
            </w:pPr>
          </w:p>
        </w:tc>
        <w:tc>
          <w:tcPr>
            <w:tcW w:w="8640" w:type="dxa"/>
            <w:vAlign w:val="bottom"/>
            <w:gridSpan w:val="21"/>
          </w:tcPr>
          <w:p>
            <w:pPr>
              <w:ind w:left="160"/>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720" w:type="dxa"/>
            <w:vAlign w:val="bottom"/>
            <w:gridSpan w:val="1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5.</w:t>
              </w:r>
            </w:hyperlink>
          </w:p>
        </w:tc>
        <w:tc>
          <w:tcPr>
            <w:tcW w:w="300" w:type="dxa"/>
            <w:vAlign w:val="bottom"/>
            <w:gridSpan w:val="2"/>
          </w:tcPr>
          <w:p>
            <w:pPr>
              <w:spacing w:after="0"/>
              <w:rPr>
                <w:sz w:val="24"/>
                <w:szCs w:val="24"/>
                <w:color w:val="auto"/>
              </w:rPr>
            </w:pPr>
          </w:p>
        </w:tc>
        <w:tc>
          <w:tcPr>
            <w:tcW w:w="8640" w:type="dxa"/>
            <w:vAlign w:val="bottom"/>
            <w:gridSpan w:val="21"/>
          </w:tcPr>
          <w:p>
            <w:pPr>
              <w:ind w:left="160"/>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7180" w:type="dxa"/>
            <w:vAlign w:val="bottom"/>
            <w:gridSpan w:val="1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ITEM 6.</w:t>
              </w:r>
            </w:hyperlink>
          </w:p>
        </w:tc>
        <w:tc>
          <w:tcPr>
            <w:tcW w:w="2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8640" w:type="dxa"/>
            <w:vAlign w:val="bottom"/>
            <w:gridSpan w:val="21"/>
          </w:tcPr>
          <w:p>
            <w:pPr>
              <w:ind w:left="160"/>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00" w:type="dxa"/>
            <w:vAlign w:val="bottom"/>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540" w:type="dxa"/>
            <w:vAlign w:val="bottom"/>
            <w:gridSpan w:val="2"/>
          </w:tcPr>
          <w:p>
            <w:pPr>
              <w:jc w:val="center"/>
              <w:ind w:right="425"/>
              <w:spacing w:after="0"/>
              <w:rPr>
                <w:sz w:val="20"/>
                <w:szCs w:val="20"/>
                <w:color w:val="auto"/>
              </w:rPr>
            </w:pPr>
            <w:r>
              <w:rPr>
                <w:rFonts w:ascii="Arial" w:cs="Arial" w:eastAsia="Arial" w:hAnsi="Arial"/>
                <w:sz w:val="18"/>
                <w:szCs w:val="18"/>
                <w:b w:val="1"/>
                <w:bCs w:val="1"/>
                <w:color w:val="auto"/>
              </w:rPr>
              <w:t>PART I—FINANCIAL INFORMATION</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6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540" w:type="dxa"/>
            <w:vAlign w:val="bottom"/>
            <w:gridSpan w:val="2"/>
          </w:tcPr>
          <w:p>
            <w:pPr>
              <w:jc w:val="center"/>
              <w:ind w:right="425"/>
              <w:spacing w:after="0"/>
              <w:rPr>
                <w:sz w:val="20"/>
                <w:szCs w:val="20"/>
                <w:color w:val="auto"/>
              </w:rPr>
            </w:pPr>
            <w:r>
              <w:rPr>
                <w:rFonts w:ascii="Arial" w:cs="Arial" w:eastAsia="Arial" w:hAnsi="Arial"/>
                <w:sz w:val="18"/>
                <w:szCs w:val="18"/>
                <w:b w:val="1"/>
                <w:bCs w:val="1"/>
                <w:color w:val="auto"/>
                <w:w w:val="90"/>
              </w:rPr>
              <w:t>Mistras Group, Inc. and Subsidiaries</w:t>
            </w: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540" w:type="dxa"/>
            <w:vAlign w:val="bottom"/>
            <w:gridSpan w:val="2"/>
          </w:tcPr>
          <w:p>
            <w:pPr>
              <w:jc w:val="center"/>
              <w:ind w:right="445"/>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540" w:type="dxa"/>
            <w:vAlign w:val="bottom"/>
            <w:gridSpan w:val="2"/>
          </w:tcPr>
          <w:p>
            <w:pPr>
              <w:jc w:val="center"/>
              <w:ind w:right="445"/>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4"/>
                <w:szCs w:val="2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February 28, 2014</w:t>
            </w: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CCEEFF"/>
            </w:tcBorders>
            <w:shd w:val="clear" w:color="auto" w:fill="CCEEFF"/>
          </w:tcPr>
          <w:p>
            <w:pPr>
              <w:spacing w:after="0"/>
              <w:rPr>
                <w:sz w:val="17"/>
                <w:szCs w:val="17"/>
                <w:color w:val="auto"/>
              </w:rPr>
            </w:pPr>
          </w:p>
        </w:tc>
        <w:tc>
          <w:tcPr>
            <w:tcW w:w="4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126,304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108,554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Inventories</w:t>
            </w:r>
          </w:p>
        </w:tc>
        <w:tc>
          <w:tcPr>
            <w:tcW w:w="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12,516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Deferred income taxes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3,029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14,637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3"/>
          </w:tcPr>
          <w:p>
            <w:pPr>
              <w:ind w:left="340"/>
              <w:spacing w:after="0"/>
              <w:rPr>
                <w:sz w:val="20"/>
                <w:szCs w:val="20"/>
                <w:color w:val="auto"/>
              </w:rPr>
            </w:pPr>
            <w:r>
              <w:rPr>
                <w:rFonts w:ascii="Arial" w:cs="Arial" w:eastAsia="Arial" w:hAnsi="Arial"/>
                <w:sz w:val="18"/>
                <w:szCs w:val="18"/>
                <w:color w:val="auto"/>
              </w:rPr>
              <w:t>Total current assets</w:t>
            </w:r>
          </w:p>
        </w:tc>
        <w:tc>
          <w:tcPr>
            <w:tcW w:w="4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166,436</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74,428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52,180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132,321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95"/>
              </w:rPr>
              <w:t>Other assets</w:t>
            </w: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1,352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3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426,717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376,660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w w:val="96"/>
              </w:rPr>
              <w:t>Accrued expenses and other current liabilities</w:t>
            </w:r>
          </w:p>
        </w:tc>
        <w:tc>
          <w:tcPr>
            <w:tcW w:w="4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48,212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47,839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4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7,542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3"/>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4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7,147</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6,766</w:t>
            </w:r>
          </w:p>
        </w:tc>
        <w:tc>
          <w:tcPr>
            <w:tcW w:w="0" w:type="dxa"/>
            <w:vAlign w:val="bottom"/>
          </w:tcPr>
          <w:p>
            <w:pPr>
              <w:spacing w:after="0"/>
              <w:rPr>
                <w:sz w:val="1"/>
                <w:szCs w:val="1"/>
                <w:color w:val="auto"/>
              </w:rPr>
            </w:pPr>
          </w:p>
        </w:tc>
      </w:tr>
    </w:tbl>
    <w:p>
      <w:pPr>
        <w:sectPr>
          <w:pgSz w:w="11900" w:h="16925" w:orient="portrait"/>
          <w:cols w:equalWidth="0" w:num="1">
            <w:col w:w="11420"/>
          </w:cols>
          <w:pgMar w:left="240" w:top="118"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1,485</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6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75,464</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73,883</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13,036</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13,862</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19,152</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18,778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6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195,397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Preferred stock, 10,000,000 shares authorized</w:t>
            </w: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$0.01 par value, 200,000,000 shares authorized</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199,254</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195,241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35,081</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(3,573)</w:t>
            </w:r>
          </w:p>
        </w:tc>
        <w:tc>
          <w:tcPr>
            <w:tcW w:w="42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16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231,046</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1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274</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6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231,320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1660" w:type="dxa"/>
            <w:vAlign w:val="bottom"/>
          </w:tcPr>
          <w:p>
            <w:pPr>
              <w:spacing w:after="0"/>
              <w:rPr>
                <w:sz w:val="18"/>
                <w:szCs w:val="18"/>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426,717</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376,660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February 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 February 28,</w:t>
            </w:r>
          </w:p>
        </w:tc>
        <w:tc>
          <w:tcPr>
            <w:tcW w:w="0" w:type="dxa"/>
            <w:vAlign w:val="bottom"/>
          </w:tcPr>
          <w:p>
            <w:pPr>
              <w:spacing w:after="0"/>
              <w:rPr>
                <w:sz w:val="1"/>
                <w:szCs w:val="1"/>
                <w:color w:val="auto"/>
              </w:rPr>
            </w:pPr>
          </w:p>
        </w:tc>
      </w:tr>
      <w:tr>
        <w:trPr>
          <w:trHeight w:val="142"/>
        </w:trPr>
        <w:tc>
          <w:tcPr>
            <w:tcW w:w="47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142,967</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124,510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414,448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351,466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29,872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33,311</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151,727</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444,320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revenues:</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104,196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91,209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291,680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248,769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and systems sold</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13,022</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Depreciation related to services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4,257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12,333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12,565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related to products and systems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112,427</w:t>
            </w:r>
          </w:p>
        </w:tc>
        <w:tc>
          <w:tcPr>
            <w:tcW w:w="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99,455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317,766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126,554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31,794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90,342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74,063</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Research and engineering</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757</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2,186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7,729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6,535</w:t>
            </w: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Acquisition-related expense, net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978</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(1,530)</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792</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984</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9,375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9,749</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60" w:type="dxa"/>
            <w:vAlign w:val="bottom"/>
          </w:tcPr>
          <w:p>
            <w:pPr>
              <w:ind w:left="180"/>
              <w:spacing w:after="0" w:line="201" w:lineRule="exact"/>
              <w:rPr>
                <w:sz w:val="20"/>
                <w:szCs w:val="20"/>
                <w:color w:val="auto"/>
              </w:rPr>
            </w:pPr>
            <w:r>
              <w:rPr>
                <w:rFonts w:ascii="Arial" w:cs="Arial" w:eastAsia="Arial" w:hAnsi="Arial"/>
                <w:sz w:val="18"/>
                <w:szCs w:val="18"/>
                <w:color w:val="auto"/>
                <w:w w:val="95"/>
              </w:rPr>
              <w:t>Less: net income attributable to noncontrolling interests, net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of taxes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Mistras Group, Inc.</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0.10</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Diluted</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0.55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28,396</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28,175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28,338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28,121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29,374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29,101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29,249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40"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February 28,</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 February 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(loss)/income, net of tax:</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(1,553)</w:t>
            </w:r>
          </w:p>
        </w:tc>
        <w:tc>
          <w:tcPr>
            <w:tcW w:w="9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1,633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879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(loss)/income</w:t>
            </w:r>
          </w:p>
        </w:tc>
        <w:tc>
          <w:tcPr>
            <w:tcW w:w="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4,384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w w:val="99"/>
              </w:rPr>
              <w:t>less: comprehensive income attributable to noncontrolling</w:t>
            </w: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interest</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940" w:type="dxa"/>
            <w:vAlign w:val="bottom"/>
          </w:tcPr>
          <w:p>
            <w:pPr>
              <w:spacing w:after="0"/>
              <w:rPr>
                <w:sz w:val="20"/>
                <w:szCs w:val="20"/>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shd w:val="clear" w:color="auto" w:fill="CCEEFF"/>
          </w:tcPr>
          <w:p>
            <w:pPr>
              <w:ind w:left="160"/>
              <w:spacing w:after="0" w:line="201" w:lineRule="exact"/>
              <w:rPr>
                <w:sz w:val="20"/>
                <w:szCs w:val="20"/>
                <w:color w:val="auto"/>
              </w:rPr>
            </w:pPr>
            <w:r>
              <w:rPr>
                <w:rFonts w:ascii="Arial" w:cs="Arial" w:eastAsia="Arial" w:hAnsi="Arial"/>
                <w:sz w:val="18"/>
                <w:szCs w:val="18"/>
                <w:color w:val="auto"/>
              </w:rPr>
              <w:t>Comprehensive (loss)/income attributable to Mistras</w:t>
            </w:r>
          </w:p>
        </w:tc>
        <w:tc>
          <w:tcPr>
            <w:tcW w:w="4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vMerge w:val="continue"/>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707"/>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940" w:type="dxa"/>
            <w:vAlign w:val="bottom"/>
            <w:vMerge w:val="restart"/>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3"/>
              </w:rPr>
              <w:t>4,384</w:t>
            </w:r>
          </w:p>
        </w:tc>
        <w:tc>
          <w:tcPr>
            <w:tcW w:w="44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16,978</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17,314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Group, Inc.</w:t>
            </w:r>
          </w:p>
        </w:tc>
        <w:tc>
          <w:tcPr>
            <w:tcW w:w="126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 February 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16,143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20,850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Share-based compensation expense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4,013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adjustment to contingent consideration liabilities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 of acquisitions of businesses: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(13,235)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(6,273)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2,419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(11,661)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intangible assets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Acquisition of businesses, net of cash acquired</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(19,057)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(33,601)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 of equipment</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(7,938)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borrowings against revolver</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26,063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Payment of contingent consideration for business acquisitions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(909)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paid related to net share settlement of share-based awards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exercise of stock options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(1,431)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Beginning of period</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7,802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 of period</w:t>
            </w: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 of cash paid</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11,345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Equipment acquired through capital lease obligations</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8,140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notes payable and other debt obligations primarily related to acquisitions</w:t>
            </w:r>
          </w:p>
        </w:tc>
        <w:tc>
          <w:tcPr>
            <w:tcW w:w="13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33"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&amp;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Mistras Group, Inc. (the Company) is a leading “one source” global provider of technology-enabled asset protection solutions used to evaluate the structural integrity and reliability of critical energy, industrial and public infrastructure. The Company combines industry leading products and technologies, expertise in mechanical integrity (MI), non-destructive testing (NDT) services, destructive testing services, and proprietary data analysis software to deliver a comprehensive portfolio of customized solutions, ranging from routine inspections to complex, and plant-wide asset integrity assessments. These mission critical solutions enhance customers’ ability to extend the useful life of their assets, increase productivity, minimize repair costs, comply with governmental safety and environmental regulations, manage risk and avoid catastrophic disasters. The Company serves a global customer base of companies with asset-intensive infrastructure, including companies in the oil and gas, aerospace and defense, fossil and nuclear power, alternative and renewable energy, public infrastructure, chemicals, transportation, primary metals and metalworking, pharmaceuticals and food processing industries.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condensed consolidated financial statements contained in this report are unaudited. In the opinion of management, the condensed consolidated financial statements include all adjustments, which are of a normal recurring nature, necessary for a fair presentation of the results for the interim periods of the fiscal years ending May 31, 2014 and 2013. Reference to a fiscal year means the fiscal year ended May 31.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the Company’s Annual Report on Form 10-K (“Annual Report”) for fiscal 2013, as filed with the Securities and Exchange Commission on August 14,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and its wholly and majority-owned subsidiaries. For subsidiaries in which the Company’s ownership interest is less than 100%, the noncontrolling interests are reported in stockholders’ equity in the accompanying condensed consolidated balance sheets. The noncontrolling interests in operating results, net of tax, is classified separately in the accompanying condensed consolidated statements of income.</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All significant intercompany accounts and transactions have been eliminated in consolidation. The fiscal year for Mistras Group, Inc. and its subsidiaries end on May 31, except for the companies in the International segment, which end on April 30. Accordingly, the Company’s International segment subsidiaries are consolidated on a one-month lag. Therefore, in the fiscal quarter and year of acquisition, results of acquired subsidiaries in the International segment are generally included in consolidated results for one less month than the actual number of months from the acquisition date to the end of the reporting period. Management does not believe that any events occurred during the one-month lag period that would have a material effect on the Company’s consolidated financial statements as of or for any period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Company’s significant accounting policies are disclosed in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Annual Report. On an ongoing basis, the Company evaluates its estimates and assumptions, including, among other things those related to revenue recognition, valuations of accounts receivable, long-lived assets, goodwill, deferred tax assets and uncertain tax positions. Since the date of the Annual Report, there have been no material changes to the Company’s significant accounting policies.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February 2013, the FASB issued Accounting Standard Update (ASU) 2013-02, Reporting of Amounts Reclassified Out of Accumulated Other Comprehensive Income, which expands the disclosure requirements for amounts reclassified out of accumulated other comprehensive income. The update does not change the current requirements for reporting net income or other comprehensive income in financial statements and is effective for annual and interim reporting periods beginning after December 15, 2012. The adoption of this pronouncement did not have a material impact on the Company’s consolidated financial statements. Other recently issued accounting pronouncements did not, or are not believed by management to likely have a material impact on the Company’s current or future consolidated financial statements.</w:t>
      </w:r>
    </w:p>
    <w:p>
      <w:pPr>
        <w:sectPr>
          <w:pgSz w:w="11900" w:h="16838" w:orient="portrait"/>
          <w:cols w:equalWidth="0" w:num="1">
            <w:col w:w="11420"/>
          </w:cols>
          <w:pgMar w:left="240" w:top="125" w:right="239" w:bottom="0" w:gutter="0" w:footer="0" w:header="0"/>
        </w:sectPr>
      </w:pPr>
    </w:p>
    <w:bookmarkStart w:id="5" w:name="page6"/>
    <w:bookmarkEnd w:id="5"/>
    <w:p>
      <w:pPr>
        <w:spacing w:after="0" w:line="3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has share-based incentive awards outstanding to its eligible employees and directors under two employee stock ownership plans: (i) the 2007 Stock Option Plan (the 2007 Plan), and (ii) the 2009 Long-Term Incentive Plan (the 2009 Plan). No further awards may be granted under the 2007 Plan, although awards granted under the 2007 Plan remain outstanding in accordance with their terms. Awards granted under the 2009 Plan may be in the form of stock options, restricted stock units and other forms of share-based incentives, including performance share units, stock appreciation rights and deferred stock rights.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three months ended February 28, 2014 and 2013, the Company recognized share-based compensation expense related to stock option awards of less than $0.1 million and $0.8 million, respectively. For the nine months ended February 28, 2014 and 2013, the Company recognized share-based compensation expense related to stock option awards of $0.7 million and $2.3 million, respectively. As of February 28, 2014, there was less than $0.1 million of unrecognized compensation costs, net of estimated forfeitures, related to stock option awards, which are expected to be recognized over a remaining weighted average period of 2.0 years. Cash proceeds from, and the aggregate intrinsic value of, stock options exercised during the three and nine months ended February 28, 2014 and 2013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6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February 28,</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Nine months ended February 28,</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options exercised</w:t>
            </w:r>
          </w:p>
        </w:tc>
        <w:tc>
          <w:tcPr>
            <w:tcW w:w="180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349</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w:t>
            </w:r>
          </w:p>
        </w:tc>
        <w:tc>
          <w:tcPr>
            <w:tcW w:w="110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Aggregate intrinsic value of options exercised</w:t>
            </w:r>
          </w:p>
        </w:tc>
        <w:tc>
          <w:tcPr>
            <w:tcW w:w="1800" w:type="dxa"/>
            <w:vAlign w:val="bottom"/>
            <w:gridSpan w:val="2"/>
          </w:tcPr>
          <w:p>
            <w:pPr>
              <w:jc w:val="right"/>
              <w:ind w:right="80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458</w:t>
            </w: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370</w:t>
            </w:r>
          </w:p>
        </w:tc>
        <w:tc>
          <w:tcPr>
            <w:tcW w:w="11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836</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granted during the nine months ended February 28, 2014 and 2013.</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also recognized approximately $1.0 million and $0.8 million during the three months ended February 28, 2014 and 2013, respectively, in share-based compensation expense related to restricted stock unit awards. For the nine months ended February 28, 2014 and 2013, the Company recognized share-based compensation expense related to restricted stock unit awards of $2.9 million and $2.1 million, respectively. As of February 28, 2014, there was approximately $9.8 million of unrecognized compensation costs, net of estimated forfeitures, related to restricted stock unit awards, which are expected to be recognized over a remaining weighted average period of 2.6 years.</w:t>
      </w:r>
    </w:p>
    <w:p>
      <w:pPr>
        <w:spacing w:after="0" w:line="18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During the first nine months of fiscal 2014 and 2013, the Company granted approximately 19,000 and 13,000 shares of fully-vested common stock to its five non-employee directors, in connection with its non-employee director compensation plan. These shares had grant date fair values of approximately $0.4 million and $0.3 million, respectively, which was recorded as share-based compensation expense during the nine months ended February 28, 2014 and 2013.</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first nine months of fiscal 2014 and 2013, respectively, approximately 178,000 and 123,000 restricted stock units vested. The fair value of these units was $3.3 million and $1.9 million, respectively. Upon vesting, restricted stock units are generally net share-settled to cover the required withholding tax and the remaining amount is converted into an equivalent number of shares of common stock. The restricted stock units that vested in the first nine months of fiscal 2014 and 2013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were net-share settled such that the Company withheld approximately 55,000 and 37,000 shares, respectively, having value equivalent to the employees’ minimum statutory obligation for the applicable income and other employment taxes, and remitted the cash to the appropriate taxing authorities. The shares withheld were based on the value of the restricted stock units on their vesting date as determined by the Company’s closing stock price. Payments to taxing authorities for employees’ tax obligations for the nine month periods ended February 28, 2014 and 2013 totaled $1.0 million and $0.8 million, respectively, and are reflected as a financing activity within the condensed consolidated statements of cash flows. These net-share settlements had the effect of share repurchases by the Company, as they reduced and retired the number of shares that would have otherwise been issued as a result of the vesting and did not represent an expense to the Company.</w:t>
      </w:r>
    </w:p>
    <w:p>
      <w:pPr>
        <w:spacing w:after="0" w:line="18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160" w:firstLine="8"/>
        <w:spacing w:after="0" w:line="277"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dilutive effect of assumed conversion of equity awards using the treasury stock method. With respect to the number of weighted-average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February 28,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February 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Numerator:</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Mistras Group, Inc.</w:t>
            </w:r>
          </w:p>
        </w:tc>
        <w:tc>
          <w:tcPr>
            <w:tcW w:w="10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2,751</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16,099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Denominator:</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28,396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28,175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28,338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28,121</w:t>
            </w:r>
          </w:p>
        </w:tc>
        <w:tc>
          <w:tcPr>
            <w:tcW w:w="0" w:type="dxa"/>
            <w:vAlign w:val="bottom"/>
          </w:tcPr>
          <w:p>
            <w:pPr>
              <w:spacing w:after="0"/>
              <w:rPr>
                <w:sz w:val="1"/>
                <w:szCs w:val="1"/>
                <w:color w:val="auto"/>
              </w:rPr>
            </w:pPr>
          </w:p>
        </w:tc>
      </w:tr>
      <w:tr>
        <w:trPr>
          <w:trHeight w:val="250"/>
        </w:trPr>
        <w:tc>
          <w:tcPr>
            <w:tcW w:w="4260" w:type="dxa"/>
            <w:vAlign w:val="bottom"/>
            <w:gridSpan w:val="2"/>
          </w:tcPr>
          <w:p>
            <w:pPr>
              <w:spacing w:after="0"/>
              <w:rPr>
                <w:sz w:val="20"/>
                <w:szCs w:val="20"/>
                <w:color w:val="auto"/>
              </w:rPr>
            </w:pPr>
            <w:r>
              <w:rPr>
                <w:rFonts w:ascii="Arial" w:cs="Arial" w:eastAsia="Arial" w:hAnsi="Arial"/>
                <w:sz w:val="18"/>
                <w:szCs w:val="18"/>
                <w:color w:val="auto"/>
              </w:rPr>
              <w:t>Basic earnings per share</w:t>
            </w:r>
          </w:p>
        </w:tc>
        <w:tc>
          <w:tcPr>
            <w:tcW w:w="74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8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Diluted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75" w:orient="portrait"/>
          <w:cols w:equalWidth="0" w:num="1">
            <w:col w:w="11420"/>
          </w:cols>
          <w:pgMar w:left="240" w:top="121"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10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1,201</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2,751</w:t>
            </w:r>
          </w:p>
        </w:tc>
        <w:tc>
          <w:tcPr>
            <w:tcW w:w="6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16,099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16,195</w:t>
            </w:r>
          </w:p>
        </w:tc>
        <w:tc>
          <w:tcPr>
            <w:tcW w:w="80" w:type="dxa"/>
            <w:vAlign w:val="bottom"/>
          </w:tcPr>
          <w:p>
            <w:pPr>
              <w:spacing w:after="0"/>
              <w:rPr>
                <w:sz w:val="20"/>
                <w:szCs w:val="20"/>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28,396</w:t>
            </w: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28,175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28,338</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28,121</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849</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r>
      <w:tr>
        <w:trPr>
          <w:trHeight w:val="210"/>
        </w:trPr>
        <w:tc>
          <w:tcPr>
            <w:tcW w:w="4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29,374</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29,249</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tcPr>
          <w:p>
            <w:pPr>
              <w:spacing w:after="0"/>
              <w:rPr>
                <w:sz w:val="18"/>
                <w:szCs w:val="18"/>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third quarter of fiscal 2014, the Company completed the acquisitions of an asset protection business located in Texas and two businesses located in Canada to continue its market expansion strategy. The Company’s initial cash payments for these acquisitions was $17.8 million. In addition to the initial cash payment, the Company may pay up to $5.7 million in contingent consideration which may be earned based upon the acquired companies achieving specific performance metrics over specified periods ranging from 2 to 3 years. The Company is in the process of completing the preliminary purchase price allocations.</w:t>
      </w:r>
    </w:p>
    <w:p>
      <w:pPr>
        <w:spacing w:after="0" w:line="18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the second quarter of fiscal 2014, the Company completed an acquisition of a professional engineering consulting and technical training services company serving the hydrocarbon processing and other energy-related industries. This company was acquired to complement service offerings within the Company’s Services segment and expand its technical capabilities. The Company acquired 100% of the common stock in exchange for $1.5 million in cash.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assets and liabilities of the acquired businesses were included in the Company’s consolidated balance sheet based upon their estimated fair values on the date of acquisition as determined in a preliminary purchase price allocation, using available information and making assumptions management believes are reasonable. The Company is still in the process of completing its valuation of the assets, both tangible and intangible, and liabilities acquired. The results of operations for these acquisitions are included in the Services segment’s results of operations from the dates of acquisition. The Company’s preliminary allocation of purchase price for these acquisitions is included in the table below, which summarizes the estimated fair value of the assets acquired and liabilities assumed at the date of acquisition:</w:t>
      </w:r>
    </w:p>
    <w:p>
      <w:pPr>
        <w:spacing w:after="0" w:line="207"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Number of Entities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19,329</w:t>
            </w:r>
          </w:p>
        </w:tc>
        <w:tc>
          <w:tcPr>
            <w:tcW w:w="80" w:type="dxa"/>
            <w:vAlign w:val="bottom"/>
          </w:tcPr>
          <w:p>
            <w:pPr>
              <w:spacing w:after="0"/>
              <w:rPr>
                <w:sz w:val="18"/>
                <w:szCs w:val="1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3,676</w:t>
            </w:r>
          </w:p>
        </w:tc>
        <w:tc>
          <w:tcPr>
            <w:tcW w:w="80" w:type="dxa"/>
            <w:vAlign w:val="bottom"/>
            <w:shd w:val="clear" w:color="auto" w:fill="CCEEFF"/>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Consideration transferred</w:t>
            </w: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2,731</w:t>
            </w:r>
          </w:p>
        </w:tc>
        <w:tc>
          <w:tcPr>
            <w:tcW w:w="80" w:type="dxa"/>
            <w:vAlign w:val="bottom"/>
          </w:tcPr>
          <w:p>
            <w:pPr>
              <w:spacing w:after="0"/>
              <w:rPr>
                <w:sz w:val="18"/>
                <w:szCs w:val="1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CCEEFF"/>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(938)</w:t>
            </w: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5,758</w:t>
            </w:r>
          </w:p>
        </w:tc>
        <w:tc>
          <w:tcPr>
            <w:tcW w:w="80" w:type="dxa"/>
            <w:vAlign w:val="bottom"/>
            <w:shd w:val="clear" w:color="auto" w:fill="CCEEFF"/>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15,982</w:t>
            </w:r>
          </w:p>
        </w:tc>
        <w:tc>
          <w:tcPr>
            <w:tcW w:w="80" w:type="dxa"/>
            <w:vAlign w:val="bottom"/>
          </w:tcPr>
          <w:p>
            <w:pPr>
              <w:spacing w:after="0"/>
              <w:rPr>
                <w:sz w:val="18"/>
                <w:szCs w:val="18"/>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and other long-term liabilities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(2,223)</w:t>
            </w: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amortization period of intangible assets acquired ranges from 3 to 5 years. The Company recorded approximately $16.0 million of goodwill in connection with these acquisitions, reflecting the strategic fit and revenue and earnings growth potential of these businesses.</w:t>
      </w:r>
    </w:p>
    <w:p>
      <w:pPr>
        <w:spacing w:after="0" w:line="17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Revenues and operating income from these acquisitions for the periods subsequent to the closing of these transactions were approximately $7.2 million and $0.5 million, respectively, for the three and nine month periods ended February 28, 2014. These acquisitions are not significant and no pro forma financial information has been included in this report.</w:t>
      </w:r>
    </w:p>
    <w:p>
      <w:pPr>
        <w:spacing w:after="0" w:line="18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three and nine month periods ended February 28, 2014, the Company incurred acquisition-related costs of $0.4 million and $0.9 million, respectively, in connection with due diligence, professional fees, and other expenses related to the completed acquisitions as well as its other acquisition activity. Additionally, the Company adjusted the fair value of certain previously recorded acquisition-related contingent consideration liabilities. For the three month period ended February 28, 2014, these adjustments resulted in a net increase of acquisition-related contingent consideration liabilities and a corresponding decrease in income from operations of approximately $0.6 million. For the nine month period ended February 28, 2014, these adjustments resulted in a net decrease of acquisition-related contingent consideration liabilities and a corresponding increase in income from operations of approximately $2.4 million. The Company’s aggregate acquisition-related contingent consideration liabilities were approximately $15.5 million and $15.4 million as of February 28, 2014 and May 31, 2013, respectively.</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three and nine month periods ended February 28, 2013, the Company incurred acquisition-related costs of $0.3 million and $1.2 million in connection with due diligence, professional fees, and other expenses for its acquisition activity. Additionally, the Company adjusted the fair value of certain acquisition-related contingent consideration liabilities. For the three and nine month periods ended February 28, 2013, these adjustments resulted in a net decrease of acquisition-related contingent consideration liabilities and a corresponding increase in income from operations of approximately $1.5 million and $2.2 million, respectively.</w:t>
      </w:r>
    </w:p>
    <w:p>
      <w:pPr>
        <w:sectPr>
          <w:pgSz w:w="11900" w:h="16838" w:orient="portrait"/>
          <w:cols w:equalWidth="0" w:num="1">
            <w:col w:w="11420"/>
          </w:cols>
          <w:pgMar w:left="240" w:top="125"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fair value adjustments to acquisition-related contingent consideration liabilities and the acquisition-related transaction costs have been classified as acquisition-related expense, net, in the condensed consolidated statements of income for the three and nine month periods ended February 28, 2014 and 2013.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5.</w:t>
            </w:r>
          </w:p>
        </w:tc>
        <w:tc>
          <w:tcPr>
            <w:tcW w:w="4740" w:type="dxa"/>
            <w:vAlign w:val="bottom"/>
          </w:tcPr>
          <w:p>
            <w:pPr>
              <w:ind w:left="500"/>
              <w:spacing w:after="0"/>
              <w:rPr>
                <w:sz w:val="20"/>
                <w:szCs w:val="20"/>
                <w:color w:val="auto"/>
              </w:rPr>
            </w:pPr>
            <w:r>
              <w:rPr>
                <w:rFonts w:ascii="Arial" w:cs="Arial" w:eastAsia="Arial" w:hAnsi="Arial"/>
                <w:sz w:val="18"/>
                <w:szCs w:val="18"/>
                <w:b w:val="1"/>
                <w:bCs w:val="1"/>
                <w:color w:val="auto"/>
              </w:rPr>
              <w:t>Accounts Receivable, net</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00" w:type="dxa"/>
            <w:vAlign w:val="bottom"/>
            <w:gridSpan w:val="3"/>
          </w:tcPr>
          <w:p>
            <w:pPr>
              <w:spacing w:after="0"/>
              <w:rPr>
                <w:sz w:val="20"/>
                <w:szCs w:val="20"/>
                <w:color w:val="auto"/>
              </w:rPr>
            </w:pPr>
            <w:r>
              <w:rPr>
                <w:rFonts w:ascii="Arial" w:cs="Arial" w:eastAsia="Arial" w:hAnsi="Arial"/>
                <w:sz w:val="18"/>
                <w:szCs w:val="18"/>
                <w:color w:val="auto"/>
              </w:rPr>
              <w:t>Accounts receivable consisted of the following:</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February 28, 2014</w:t>
            </w:r>
          </w:p>
        </w:tc>
        <w:tc>
          <w:tcPr>
            <w:tcW w:w="180" w:type="dxa"/>
            <w:vAlign w:val="bottom"/>
          </w:tcPr>
          <w:p>
            <w:pPr>
              <w:spacing w:after="0"/>
              <w:rPr>
                <w:sz w:val="24"/>
                <w:szCs w:val="2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1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128,364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(2,060)</w:t>
            </w: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108,554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6.</w:t>
            </w:r>
          </w:p>
        </w:tc>
        <w:tc>
          <w:tcPr>
            <w:tcW w:w="4520" w:type="dxa"/>
            <w:vAlign w:val="bottom"/>
          </w:tcPr>
          <w:p>
            <w:pPr>
              <w:ind w:left="500"/>
              <w:spacing w:after="0"/>
              <w:rPr>
                <w:sz w:val="20"/>
                <w:szCs w:val="20"/>
                <w:color w:val="auto"/>
              </w:rPr>
            </w:pPr>
            <w:r>
              <w:rPr>
                <w:rFonts w:ascii="Arial" w:cs="Arial" w:eastAsia="Arial" w:hAnsi="Arial"/>
                <w:sz w:val="18"/>
                <w:szCs w:val="18"/>
                <w:b w:val="1"/>
                <w:bCs w:val="1"/>
                <w:color w:val="auto"/>
              </w:rPr>
              <w:t>Inventories</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80" w:type="dxa"/>
            <w:vAlign w:val="bottom"/>
            <w:gridSpan w:val="3"/>
          </w:tcPr>
          <w:p>
            <w:pPr>
              <w:spacing w:after="0"/>
              <w:rPr>
                <w:sz w:val="20"/>
                <w:szCs w:val="20"/>
                <w:color w:val="auto"/>
              </w:rPr>
            </w:pPr>
            <w:r>
              <w:rPr>
                <w:rFonts w:ascii="Arial" w:cs="Arial" w:eastAsia="Arial" w:hAnsi="Arial"/>
                <w:sz w:val="18"/>
                <w:szCs w:val="18"/>
                <w:color w:val="auto"/>
              </w:rPr>
              <w:t>Inventories consisted of the following:</w:t>
            </w: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February 28, 2014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1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3,409</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2,457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Services-related consumable supplies</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3,219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5380" w:type="dxa"/>
            <w:vAlign w:val="bottom"/>
          </w:tcPr>
          <w:p>
            <w:pPr>
              <w:ind w:left="500"/>
              <w:spacing w:after="0"/>
              <w:rPr>
                <w:sz w:val="20"/>
                <w:szCs w:val="20"/>
                <w:color w:val="auto"/>
              </w:rPr>
            </w:pPr>
            <w:r>
              <w:rPr>
                <w:rFonts w:ascii="Arial" w:cs="Arial" w:eastAsia="Arial" w:hAnsi="Arial"/>
                <w:sz w:val="18"/>
                <w:szCs w:val="18"/>
                <w:b w:val="1"/>
                <w:bCs w:val="1"/>
                <w:color w:val="auto"/>
              </w:rPr>
              <w:t>Property, Plant and Equipment, net</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4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24"/>
                <w:szCs w:val="24"/>
                <w:color w:val="auto"/>
              </w:rPr>
            </w:pPr>
          </w:p>
        </w:tc>
        <w:tc>
          <w:tcPr>
            <w:tcW w:w="18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February 28, 2014</w:t>
            </w:r>
          </w:p>
        </w:tc>
        <w:tc>
          <w:tcPr>
            <w:tcW w:w="180" w:type="dxa"/>
            <w:vAlign w:val="bottom"/>
          </w:tcPr>
          <w:p>
            <w:pPr>
              <w:spacing w:after="0"/>
              <w:rPr>
                <w:sz w:val="24"/>
                <w:szCs w:val="24"/>
                <w:color w:val="auto"/>
              </w:rPr>
            </w:pP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22,704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20,973</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6,804</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137,237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tcBorders>
            <w:shd w:val="clear" w:color="auto" w:fill="CCEEFF"/>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168,672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(94,244)</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(81,603)</w:t>
            </w:r>
          </w:p>
        </w:tc>
        <w:tc>
          <w:tcPr>
            <w:tcW w:w="0" w:type="dxa"/>
            <w:vAlign w:val="bottom"/>
          </w:tcPr>
          <w:p>
            <w:pPr>
              <w:spacing w:after="0"/>
              <w:rPr>
                <w:sz w:val="1"/>
                <w:szCs w:val="1"/>
                <w:color w:val="auto"/>
              </w:rPr>
            </w:pPr>
          </w:p>
        </w:tc>
      </w:tr>
      <w:tr>
        <w:trPr>
          <w:trHeight w:val="210"/>
        </w:trPr>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Depreciation expense for the three months ended February 28, 2014 and 2013 was approximately $4.9 million and $5.0 million, respectively. Depreciation expense for the nine months ended February 28, 2014 and 2013 was approximately $14.1 million and $14.0 million, respectively.</w:t>
      </w:r>
    </w:p>
    <w:p>
      <w:pPr>
        <w:spacing w:after="0" w:line="14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are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February 28, 2014</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5"/>
              </w:rPr>
              <w:t>May 31, 2013</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800" w:type="dxa"/>
            <w:vAlign w:val="bottom"/>
          </w:tcPr>
          <w:p>
            <w:pPr>
              <w:jc w:val="center"/>
              <w:ind w:right="56"/>
              <w:spacing w:after="0" w:line="119" w:lineRule="exact"/>
              <w:rPr>
                <w:sz w:val="20"/>
                <w:szCs w:val="20"/>
                <w:color w:val="auto"/>
              </w:rPr>
            </w:pPr>
            <w:r>
              <w:rPr>
                <w:rFonts w:ascii="Arial" w:cs="Arial" w:eastAsia="Arial" w:hAnsi="Arial"/>
                <w:sz w:val="13"/>
                <w:szCs w:val="13"/>
                <w:b w:val="1"/>
                <w:bCs w:val="1"/>
                <w:color w:val="auto"/>
              </w:rPr>
              <w:t>Net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780" w:type="dxa"/>
            <w:vAlign w:val="bottom"/>
          </w:tcPr>
          <w:p>
            <w:pPr>
              <w:jc w:val="center"/>
              <w:ind w:right="36"/>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74,292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69,901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Software/Technology</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14,969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(8,694)</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6,275</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14,336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(7,629)</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6,743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(3,463)</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3,280</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(2,935)</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104,527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(52,347</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Amortization expense for the three months ended February 28, 2014 and 2013 was approximately $2.4 million and $2.2 million, respectively. Amortization expense for the nine months ended February 28, 2014 and 2013 was approximately $6.7 million and $5.7 million, respectively.</w:t>
      </w:r>
    </w:p>
    <w:p>
      <w:pPr>
        <w:spacing w:after="0" w:line="1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ectPr>
          <w:pgSz w:w="11900" w:h="16838" w:orient="portrait"/>
          <w:cols w:equalWidth="0" w:num="1">
            <w:col w:w="11420"/>
          </w:cols>
          <w:pgMar w:left="240" w:top="368" w:right="239" w:bottom="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28, 2014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ind w:left="10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23,581</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Contingent consideration, current portion</w:t>
            </w:r>
          </w:p>
        </w:tc>
        <w:tc>
          <w:tcPr>
            <w:tcW w:w="22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3,314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workers’ compensation and health benefits</w:t>
            </w:r>
          </w:p>
        </w:tc>
        <w:tc>
          <w:tcPr>
            <w:tcW w:w="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2,773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48,212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47,839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rPr>
              <w:t>10.</w:t>
            </w:r>
          </w:p>
        </w:tc>
        <w:tc>
          <w:tcPr>
            <w:tcW w:w="6980" w:type="dxa"/>
            <w:vAlign w:val="bottom"/>
          </w:tcPr>
          <w:p>
            <w:pPr>
              <w:ind w:left="1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52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February 28, 2014</w:t>
            </w:r>
          </w:p>
        </w:tc>
        <w:tc>
          <w:tcPr>
            <w:tcW w:w="180" w:type="dxa"/>
            <w:vAlign w:val="bottom"/>
          </w:tcPr>
          <w:p>
            <w:pPr>
              <w:spacing w:after="0"/>
              <w:rPr>
                <w:sz w:val="24"/>
                <w:szCs w:val="2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May 31,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credit facility</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65,631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200" w:type="dxa"/>
            <w:vAlign w:val="bottom"/>
          </w:tcPr>
          <w:p>
            <w:pPr>
              <w:spacing w:after="0"/>
              <w:rPr>
                <w:sz w:val="18"/>
                <w:szCs w:val="18"/>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10,537</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15,740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2"/>
          </w:tcPr>
          <w:p>
            <w:pPr>
              <w:ind w:left="160"/>
              <w:spacing w:after="0"/>
              <w:rPr>
                <w:sz w:val="20"/>
                <w:szCs w:val="20"/>
                <w:color w:val="auto"/>
              </w:rPr>
            </w:pPr>
            <w:r>
              <w:rPr>
                <w:rFonts w:ascii="Arial" w:cs="Arial" w:eastAsia="Arial" w:hAnsi="Arial"/>
                <w:sz w:val="18"/>
                <w:szCs w:val="18"/>
                <w:color w:val="auto"/>
              </w:rPr>
              <w:t>Total debt</w:t>
            </w:r>
          </w:p>
        </w:tc>
        <w:tc>
          <w:tcPr>
            <w:tcW w:w="2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81,425</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(7,542)</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2"/>
          </w:tcPr>
          <w:p>
            <w:pPr>
              <w:ind w:left="16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73,883</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52,849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has a credit agreement with a $125.0 million revolving line of credit, which, under certain circumstances, can be increased to $150.0 million, and a maturity date of December 20, 2016. The Company may borrow up to $30.0 million in non-U.S. dollar currencies and use up to $10.0 million of the credit limit for the issuance of letters of credit. As of February 28, 2014, borrowings of $65.6 million and letters of credit of $3.6 million were outstanding under the credit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Loans under the credit agreement bear interest at LIBOR plus an applicable LIBOR margin ranging from 1% to 2%, or a base rate less a margin of 0.25% to 1.25%, at the option of the Company, or based upon the Company’s Funded Debt Leverage Ratio. Funded Debt Leverage Ratio is generally the ratio of (1) all outstanding indebtedness for borrowed money and other interest-bearing indebtedness as of the date of determination to (2) EBITDA (which is defined in the agreement as (a) net income, less (b) income (or plus loss) from discontinued operations and extraordinary items, plus (c) income tax expenses, plus</w:t>
      </w:r>
    </w:p>
    <w:p>
      <w:pPr>
        <w:spacing w:after="0" w:line="2" w:lineRule="exact"/>
        <w:rPr>
          <w:sz w:val="20"/>
          <w:szCs w:val="20"/>
          <w:color w:val="auto"/>
        </w:rPr>
      </w:pPr>
    </w:p>
    <w:p>
      <w:pPr>
        <w:ind w:right="20" w:firstLine="8"/>
        <w:spacing w:after="0" w:line="290" w:lineRule="auto"/>
        <w:tabs>
          <w:tab w:leader="none" w:pos="2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interest expense, plus (e) depreciation, depletion, and amortization (including non-cash loss on retirement of assets), plus (f) share-based compensation expense, less (g) cash expense related to share-based compensation, plus or minus certain other adjustments) for the period of four consecutive fiscal quarters immediately preceding the date of determination. The Company has the benefit of the lowest margin if its Funded Debt Leverage Ratio is equal to or less than 0.5 to 1, and the margin increases as the ratio increases, to the maximum margin if the ratio is greater than 2.5 to 1. The Company will also bear additional costs for market disruption, regulatory changes effecting the lenders’ funding costs, and default pricing of an additional 2% interest rate margin if the Funded Debt Leverage Ratio exceeds 3.0 to 1. Amounts borrowed under the credit agreement are secured by liens on substantially all of the assets of the Company.</w:t>
      </w:r>
    </w:p>
    <w:p>
      <w:pPr>
        <w:spacing w:after="0" w:line="16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credit agreement contains financial covenants requiring that the Company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the Company’s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if the acquired business is a separate subsidiary, in certain circumstances the lenders will receive the benefit of a guaranty of the subsidiary and liens on its assets and a pledge of its stock.</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February 28, 2014, the Company was in compliance with the terms of the credit agreement. The Company continuously monitors its compliance with its covenants.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Several of the Company’s international subsidiaries have entered into a four million Euro facility agreement which enables each of them to borrow in Euros to finance the purchase of equipment. The Company has guaranteed the obligations of the subsidiaries under this facility agreement, and the interest rate charged on the loan balance is based upon the Company’s Funded Debt Leverage Ratio under the Company’s credit agreement. The facility agreement matures in October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connection with some of its acquisitions made prior to the end of fiscal 2013, the Company issued subordinated notes payable to the sellers of the acquired businesses. The maturity of these notes range from three to five years from the date of acquisition, with stated interest rates ranging from 0% to 4%. The</w:t>
      </w:r>
    </w:p>
    <w:p>
      <w:pPr>
        <w:sectPr>
          <w:pgSz w:w="11900" w:h="16838" w:orient="portrait"/>
          <w:cols w:equalWidth="0" w:num="1">
            <w:col w:w="11420"/>
          </w:cols>
          <w:pgMar w:left="240" w:top="125" w:right="239" w:bottom="0" w:gutter="0" w:footer="0" w:header="0"/>
        </w:sectPr>
      </w:pPr>
    </w:p>
    <w:bookmarkStart w:id="9" w:name="page10"/>
    <w:bookmarkEnd w:id="9"/>
    <w:p>
      <w:pPr>
        <w:ind w:right="180"/>
        <w:spacing w:after="0" w:line="277" w:lineRule="auto"/>
        <w:rPr>
          <w:sz w:val="20"/>
          <w:szCs w:val="20"/>
          <w:color w:val="auto"/>
        </w:rPr>
      </w:pPr>
      <w:r>
        <w:rPr>
          <w:rFonts w:ascii="Arial" w:cs="Arial" w:eastAsia="Arial" w:hAnsi="Arial"/>
          <w:sz w:val="18"/>
          <w:szCs w:val="18"/>
          <w:color w:val="auto"/>
        </w:rPr>
        <w:t>Company has discounted these obligations to reflect a 2% to 4% market interest rate. Unamortized discount on the notes was de minimis as of February 28, 2014 and May 31, 2013. Amortization is recorded as interest expense in the condensed consolidated statement of income.</w:t>
      </w:r>
    </w:p>
    <w:p>
      <w:pPr>
        <w:spacing w:after="0" w:line="170" w:lineRule="exact"/>
        <w:rPr>
          <w:sz w:val="20"/>
          <w:szCs w:val="20"/>
          <w:color w:val="auto"/>
        </w:rPr>
      </w:pPr>
    </w:p>
    <w:p>
      <w:pPr>
        <w:jc w:val="both"/>
        <w:ind w:right="800"/>
        <w:spacing w:after="0" w:line="312"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capital lease obligations approximates their carrying amounts based on anticipated interest rates which management believes would currently be available to the Company for similar issues of debt.</w:t>
      </w:r>
    </w:p>
    <w:p>
      <w:pPr>
        <w:spacing w:after="0" w:line="143"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The three levels of the hierarchy are defined as follows:</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Level 2 — Observable inputs other than quoted prices included in Level 1, including quoted prices for similar assets or liabilities in active markets, quoted prices for identical assets or liabilities in inactive markets, inputs other than quoted prices that are observable for the asset or liability and inputs derived principally from or corroborated by observable market data.</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Level 3 — Unobservable inputs reflecting the Company’s own assumptions about inputs that market participants would use in pricing the asset or liability based on the best information available.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accordance with the fair value hierarchy described above, the following table shows the fair value of the Company’s financial liabilities that are required to be remeasured at fair value on a recurring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ind w:left="579"/>
              <w:spacing w:after="0"/>
              <w:rPr>
                <w:sz w:val="20"/>
                <w:szCs w:val="20"/>
                <w:color w:val="auto"/>
              </w:rPr>
            </w:pPr>
            <w:r>
              <w:rPr>
                <w:rFonts w:ascii="Arial" w:cs="Arial" w:eastAsia="Arial" w:hAnsi="Arial"/>
                <w:sz w:val="14"/>
                <w:szCs w:val="14"/>
                <w:b w:val="1"/>
                <w:bCs w:val="1"/>
                <w:color w:val="auto"/>
                <w:w w:val="96"/>
              </w:rPr>
              <w:t>February 28, 2014</w:t>
            </w: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92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920"/>
              <w:spacing w:after="0"/>
              <w:rPr>
                <w:sz w:val="20"/>
                <w:szCs w:val="20"/>
                <w:color w:val="auto"/>
              </w:rPr>
            </w:pPr>
            <w:r>
              <w:rPr>
                <w:rFonts w:ascii="Arial" w:cs="Arial" w:eastAsia="Arial" w:hAnsi="Arial"/>
                <w:sz w:val="18"/>
                <w:szCs w:val="18"/>
                <w:color w:val="auto"/>
                <w:w w:val="88"/>
              </w:rPr>
              <w:t>—</w:t>
            </w:r>
          </w:p>
        </w:tc>
        <w:tc>
          <w:tcPr>
            <w:tcW w:w="700" w:type="dxa"/>
            <w:vAlign w:val="bottom"/>
            <w:gridSpan w:val="3"/>
          </w:tcPr>
          <w:p>
            <w:pPr>
              <w:jc w:val="right"/>
              <w:ind w:right="265"/>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15,463</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15,463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EFF"/>
          </w:tcPr>
          <w:p>
            <w:pPr>
              <w:ind w:left="92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5"/>
          </w:tcPr>
          <w:p>
            <w:pPr>
              <w:jc w:val="center"/>
              <w:ind w:left="579"/>
              <w:spacing w:after="0"/>
              <w:rPr>
                <w:sz w:val="20"/>
                <w:szCs w:val="20"/>
                <w:color w:val="auto"/>
              </w:rPr>
            </w:pPr>
            <w:r>
              <w:rPr>
                <w:rFonts w:ascii="Arial" w:cs="Arial" w:eastAsia="Arial" w:hAnsi="Arial"/>
                <w:sz w:val="14"/>
                <w:szCs w:val="14"/>
                <w:b w:val="1"/>
                <w:bCs w:val="1"/>
                <w:color w:val="auto"/>
                <w:w w:val="95"/>
              </w:rPr>
              <w:t>May 31, 2013</w:t>
            </w: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ind w:right="43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920"/>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900"/>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265"/>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w w:val="87"/>
              </w:rPr>
              <w:t>15,438</w:t>
            </w:r>
          </w:p>
        </w:tc>
        <w:tc>
          <w:tcPr>
            <w:tcW w:w="2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83"/>
              </w:rPr>
              <w:t>15,438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fair value of contingent consideration liabilities that was classified as Level 3 in the table above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18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subject to lawsuits, investigations and claims that arise in the ordinary course of business. Although the Company cannot predict with certainty the ultimate resolution of lawsuits, investigations and claims asserted against it, the Company believes that, except for the matters discussed below, the reasonably possible range of loss for all other pending legal proceeding to which the Company is a party in the aggregate is immaterial. The costs of defense and amounts that may be paid in such matters may be covered by insurance.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January 2012, the Company received notice of a governmental investigation concerning an environmental incident which occurred in February 2011 outside of the premises of its Cudahy, California location. No human injury or property damage was reported or appears to have been caused as a result of this incident. While management cannot predict the ultimate outcome of this matter, based on its internal investigation to date, the Company does not believe the outcome will have a material effect on its financial condition or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1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fiscal 2013, the Company performed radiography work on the construction of a pipeline project in Georgia. The Company has received notice that the pipeline project owner contends that certain of the x-ray images the Company’s technicians prepared regarding the project did not meet the code quality interpretation standards required by API (American Petroleum Institute) 1104. The project owner is claiming damages as a result of the alleged quality defects of the Company’s x-ray images. No lawsuit has yet to be filed in this matter. At the present time, the Company is unable to determine the likely outcome or reasonably estimate the amount or range of potential liability related to this matter, and accordingly, has not established any reserves for this matter.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contingencies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Company is liable for contingent consideration in connection with certain of its acquisitions. As of February 28, 2014, total potential acquisition-related contingent consideration ranged from zero to approximately $31.0 million and would be payable upon the achievement of specific performance metrics by certain of the acquired companies over the next five years of operations.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and Note 11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to these consolidated financial statements for further discussion of the Company’s acquisitions.</w:t>
      </w:r>
    </w:p>
    <w:p>
      <w:pPr>
        <w:spacing w:after="0" w:line="183"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Subsequent to February 28, 2014, the Company completed the acquisition of an asset protection business located in Russia to continue its market expansion strategy. The Company’s cash outlay for this acquisition was approximately $0.5 million. In addition, the Company will pay deferred consideration of approximately $0.3 million over the next three years. The Company is in the process of completing the preliminary purchase price allocation. This acquisition is not significant and no pro forma information has been included.</w:t>
      </w:r>
    </w:p>
    <w:p>
      <w:pPr>
        <w:spacing w:after="0" w:line="18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980" w:right="60" w:hanging="324"/>
        <w:spacing w:after="0" w:line="264"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Canadian services business, consisting primarily of non-destructive testing and inspection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Company’s other two segments to global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in Europe, the Middle East, Africa, Asia and South America, but not to customers in China and South Korea, which are served by the Products and Systems segment.</w:t>
      </w:r>
    </w:p>
    <w:p>
      <w:pPr>
        <w:spacing w:after="0" w:line="181" w:lineRule="exact"/>
        <w:rPr>
          <w:rFonts w:ascii="Arial" w:cs="Arial" w:eastAsia="Arial" w:hAnsi="Arial"/>
          <w:sz w:val="18"/>
          <w:szCs w:val="18"/>
          <w:color w:val="auto"/>
        </w:rPr>
      </w:pPr>
    </w:p>
    <w:p>
      <w:pPr>
        <w:ind w:left="980" w:right="340" w:hanging="324"/>
        <w:spacing w:after="0" w:line="277" w:lineRule="auto"/>
        <w:tabs>
          <w:tab w:leader="none" w:pos="94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The accounting policies of the reportable segments are the same as those described in Note 1 — </w:t>
      </w:r>
      <w:r>
        <w:rPr>
          <w:rFonts w:ascii="Arial" w:cs="Arial" w:eastAsia="Arial" w:hAnsi="Arial"/>
          <w:sz w:val="17"/>
          <w:szCs w:val="17"/>
          <w:i w:val="1"/>
          <w:iCs w:val="1"/>
          <w:color w:val="auto"/>
        </w:rPr>
        <w:t>Description of Business and Basis of Presentation</w:t>
      </w:r>
      <w:r>
        <w:rPr>
          <w:rFonts w:ascii="Arial" w:cs="Arial" w:eastAsia="Arial" w:hAnsi="Arial"/>
          <w:sz w:val="17"/>
          <w:szCs w:val="17"/>
          <w:color w:val="auto"/>
        </w:rPr>
        <w:t>. 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share-based compensation and certain other acquisition-related charges and balances, technology and product development costs, certain gains and losses from dispositions, and litigation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Selected consolidated financial information by segment for the periods shown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February 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 February 28,</w:t>
            </w:r>
          </w:p>
        </w:tc>
      </w:tr>
      <w:tr>
        <w:trPr>
          <w:trHeight w:val="142"/>
        </w:trPr>
        <w:tc>
          <w:tcPr>
            <w:tcW w:w="35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7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109,122</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90,537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313,794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278,147</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38,064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119,032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88,722</w:t>
            </w: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7,610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22,799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25,618</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(7,710)</w:t>
            </w:r>
          </w:p>
        </w:tc>
      </w:tr>
      <w:tr>
        <w:trPr>
          <w:trHeight w:val="210"/>
        </w:trPr>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151,727</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444,320</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3"/>
              </w:rPr>
              <w:t>Three months ended February 28,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Nine months ended February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26,216</w:t>
            </w:r>
          </w:p>
        </w:tc>
        <w:tc>
          <w:tcPr>
            <w:tcW w:w="180" w:type="dxa"/>
            <w:vAlign w:val="bottom"/>
          </w:tcPr>
          <w:p>
            <w:pPr>
              <w:spacing w:after="0"/>
              <w:rPr>
                <w:sz w:val="18"/>
                <w:szCs w:val="18"/>
                <w:color w:val="auto"/>
              </w:rPr>
            </w:pP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20,496</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83,881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10,086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33,499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Products and Systems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3,790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9,776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(676)</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3"/>
              </w:rPr>
              <w:t>Three months ended February 28,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Nine months ended February 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2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6,293</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32,698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Products and Systems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1,699</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(4,623)</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20" w:type="dxa"/>
            <w:vAlign w:val="bottom"/>
            <w:gridSpan w:val="15"/>
          </w:tcPr>
          <w:p>
            <w:pPr>
              <w:spacing w:after="0"/>
              <w:rPr>
                <w:sz w:val="20"/>
                <w:szCs w:val="20"/>
                <w:color w:val="auto"/>
              </w:rPr>
            </w:pPr>
            <w:r>
              <w:rPr>
                <w:rFonts w:ascii="Arial" w:cs="Arial" w:eastAsia="Arial" w:hAnsi="Arial"/>
                <w:sz w:val="18"/>
                <w:szCs w:val="18"/>
                <w:color w:val="auto"/>
                <w:w w:val="91"/>
              </w:rPr>
              <w:t>Income by operating segment includes intercompany transactions, which are eliminated in Corporate and eliminations.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3"/>
              </w:rPr>
              <w:t>Three months ended February 28,</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Nine months ended February 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2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4,660</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12,982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Products and Systems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7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7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4420" w:type="dxa"/>
            <w:vAlign w:val="bottom"/>
            <w:gridSpan w:val="6"/>
          </w:tcPr>
          <w:p>
            <w:pPr>
              <w:jc w:val="center"/>
              <w:ind w:left="1410"/>
              <w:spacing w:after="0"/>
              <w:rPr>
                <w:sz w:val="20"/>
                <w:szCs w:val="20"/>
                <w:color w:val="auto"/>
              </w:rPr>
            </w:pPr>
            <w:r>
              <w:rPr>
                <w:rFonts w:ascii="Arial" w:cs="Arial" w:eastAsia="Arial" w:hAnsi="Arial"/>
                <w:sz w:val="18"/>
                <w:szCs w:val="18"/>
                <w:b w:val="1"/>
                <w:bCs w:val="1"/>
                <w:color w:val="auto"/>
                <w:w w:val="90"/>
              </w:rPr>
              <w:t>Mistras Group,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520" w:type="dxa"/>
            <w:vAlign w:val="bottom"/>
            <w:gridSpan w:val="9"/>
          </w:tcPr>
          <w:p>
            <w:pPr>
              <w:ind w:left="380"/>
              <w:spacing w:after="0"/>
              <w:rPr>
                <w:sz w:val="20"/>
                <w:szCs w:val="20"/>
                <w:color w:val="auto"/>
              </w:rPr>
            </w:pPr>
            <w:r>
              <w:rPr>
                <w:rFonts w:ascii="Arial" w:cs="Arial" w:eastAsia="Arial" w:hAnsi="Arial"/>
                <w:sz w:val="18"/>
                <w:szCs w:val="18"/>
                <w:b w:val="1"/>
                <w:bCs w:val="1"/>
                <w:color w:val="auto"/>
                <w:w w:val="89"/>
              </w:rPr>
              <w:t>Notes to Unaudited Condensed Consolidated Financial Statements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520" w:type="dxa"/>
            <w:vAlign w:val="bottom"/>
            <w:gridSpan w:val="9"/>
          </w:tcPr>
          <w:p>
            <w:pPr>
              <w:jc w:val="center"/>
              <w:ind w:left="290"/>
              <w:spacing w:after="0"/>
              <w:rPr>
                <w:sz w:val="20"/>
                <w:szCs w:val="20"/>
                <w:color w:val="auto"/>
              </w:rPr>
            </w:pPr>
            <w:r>
              <w:rPr>
                <w:rFonts w:ascii="Arial" w:cs="Arial" w:eastAsia="Arial" w:hAnsi="Arial"/>
                <w:sz w:val="18"/>
                <w:szCs w:val="18"/>
                <w:b w:val="1"/>
                <w:bCs w:val="1"/>
                <w:color w:val="auto"/>
                <w:w w:val="89"/>
              </w:rPr>
              <w:t>(tabular dollars in thousands, except per share data)</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ind w:left="80"/>
              <w:spacing w:after="0"/>
              <w:rPr>
                <w:sz w:val="20"/>
                <w:szCs w:val="20"/>
                <w:color w:val="auto"/>
              </w:rPr>
            </w:pPr>
            <w:r>
              <w:rPr>
                <w:rFonts w:ascii="Arial" w:cs="Arial" w:eastAsia="Arial" w:hAnsi="Arial"/>
                <w:sz w:val="14"/>
                <w:szCs w:val="14"/>
                <w:b w:val="1"/>
                <w:bCs w:val="1"/>
                <w:color w:val="auto"/>
              </w:rPr>
              <w:t>February 28, 2014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May 31, 2013</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center"/>
              <w:ind w:left="1014"/>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16,775</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14,527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26,528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27,520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Products and Systems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8,623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52,180</w:t>
            </w:r>
          </w:p>
        </w:tc>
        <w:tc>
          <w:tcPr>
            <w:tcW w:w="1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51,992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ind w:left="80"/>
              <w:spacing w:after="0"/>
              <w:rPr>
                <w:sz w:val="20"/>
                <w:szCs w:val="20"/>
                <w:color w:val="auto"/>
              </w:rPr>
            </w:pPr>
            <w:r>
              <w:rPr>
                <w:rFonts w:ascii="Arial" w:cs="Arial" w:eastAsia="Arial" w:hAnsi="Arial"/>
                <w:sz w:val="14"/>
                <w:szCs w:val="14"/>
                <w:b w:val="1"/>
                <w:bCs w:val="1"/>
                <w:color w:val="auto"/>
              </w:rPr>
              <w:t>February 28, 2014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May 31, 2013</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center"/>
              <w:ind w:left="1014"/>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240,047</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200,326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146,094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138,108</w:t>
            </w: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Products and Systems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37,179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37,948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426,717</w:t>
            </w:r>
          </w:p>
        </w:tc>
        <w:tc>
          <w:tcPr>
            <w:tcW w:w="1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376,660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ind w:left="80"/>
              <w:spacing w:after="0"/>
              <w:rPr>
                <w:sz w:val="20"/>
                <w:szCs w:val="20"/>
                <w:color w:val="auto"/>
              </w:rPr>
            </w:pPr>
            <w:r>
              <w:rPr>
                <w:rFonts w:ascii="Arial" w:cs="Arial" w:eastAsia="Arial" w:hAnsi="Arial"/>
                <w:sz w:val="14"/>
                <w:szCs w:val="14"/>
                <w:b w:val="1"/>
                <w:bCs w:val="1"/>
                <w:color w:val="auto"/>
              </w:rPr>
              <w:t>February 28, 2014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May 31, 2013</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jc w:val="center"/>
              <w:ind w:left="1014"/>
              <w:spacing w:after="0"/>
              <w:rPr>
                <w:sz w:val="20"/>
                <w:szCs w:val="20"/>
                <w:color w:val="auto"/>
              </w:rPr>
            </w:pPr>
            <w:r>
              <w:rPr>
                <w:rFonts w:ascii="Arial" w:cs="Arial" w:eastAsia="Arial" w:hAnsi="Arial"/>
                <w:sz w:val="18"/>
                <w:szCs w:val="18"/>
                <w:color w:val="auto"/>
                <w:w w:val="79"/>
              </w:rPr>
              <w:t>$</w:t>
            </w:r>
          </w:p>
        </w:tc>
        <w:tc>
          <w:tcPr>
            <w:tcW w:w="5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76,672</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61,285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42,452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40,788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ind w:left="160"/>
              <w:spacing w:after="0"/>
              <w:rPr>
                <w:sz w:val="20"/>
                <w:szCs w:val="20"/>
                <w:color w:val="auto"/>
              </w:rPr>
            </w:pPr>
            <w:r>
              <w:rPr>
                <w:rFonts w:ascii="Arial" w:cs="Arial" w:eastAsia="Arial" w:hAnsi="Arial"/>
                <w:sz w:val="18"/>
                <w:szCs w:val="18"/>
                <w:color w:val="auto"/>
              </w:rPr>
              <w:t>Products and Systems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13,197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13,197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132,321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115,270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-4641215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-4641215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area for the three and nine months ended February 28, 2014 and 2013, respectively,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 February 28,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 February 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1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100,784</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83,273</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283,438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255,108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Americas</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12,417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13,234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39,589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160"/>
              <w:spacing w:after="0"/>
              <w:rPr>
                <w:sz w:val="20"/>
                <w:szCs w:val="20"/>
                <w:color w:val="auto"/>
              </w:rPr>
            </w:pPr>
            <w:r>
              <w:rPr>
                <w:rFonts w:ascii="Arial" w:cs="Arial" w:eastAsia="Arial" w:hAnsi="Arial"/>
                <w:sz w:val="18"/>
                <w:szCs w:val="18"/>
                <w:color w:val="auto"/>
              </w:rPr>
              <w:t>Europe</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33,636</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32,897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106,441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Asia-Pacific</w:t>
            </w: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14,852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151,727</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444,320</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333" w:right="199" w:bottom="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following Management’s Discussion and Analysis (“MD&amp;A”) includes a narrative explanation and analysis of our results of operations and financial condition for the three and nine months ended February 28, 2014 and 2013. The MD&amp;A should be read together with our condensed consolidated financial statements and related notes included in Item 1 in this Quarterly Report on Form 10-Q and our audited consolidated financial statements and related notes included in our Annual Report on Form 10-K for fiscal 2013 (“2013 Annual Report”). In this quarterly report, our fiscal years, which end on May 31, are identified according to the calendar year in which they end (e.g., the fiscal year ending May 31, 2014 is referred to as “fiscal 2014”), and unless otherwise specified or the context otherwise requires, “Mistras,” “the Company,” “we,” “us” and “our” refer to Mistras Group, Inc. and its consolidated subsidiaries. The MD&amp;A includes disclosure in the following areas:</w:t>
      </w:r>
    </w:p>
    <w:p>
      <w:pPr>
        <w:spacing w:after="0" w:line="178" w:lineRule="exact"/>
        <w:rPr>
          <w:sz w:val="20"/>
          <w:szCs w:val="20"/>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(Securities Act), and Section 21E of the Securities Exchange Act of 1934 (Exchange Act). Such forward-looking statements include those that express plans, anticipated events, intentions, contingencies,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unknown risks, uncertainties or other factors. Factors that could cause or contribute to differences in results and outcomes from those in our forward-looking statements include, without limitation, those discussed elsewhere in this Report in Part II, Item 1A “Risk Factors” and in the “Business—Forward-Looking Statements,” and “Risk Factors” sections of our 2013 Annual Report as well as those discussed in our other Securities and Exchange Commission (SEC) filings.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 xml:space="preserve">We offer our customers “one source for asset protection solutions” </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Non-Destructive Testing (NDT), Destructive Testing (DT) and predictive maintenance (PdM) services, proprietary data analysis and enterprise inspection warehousing software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Our operations consist of three reportable segments: Services, International and Products and Systems.</w:t>
      </w:r>
    </w:p>
    <w:p>
      <w:pPr>
        <w:spacing w:after="0" w:line="172" w:lineRule="exact"/>
        <w:rPr>
          <w:sz w:val="20"/>
          <w:szCs w:val="20"/>
          <w:color w:val="auto"/>
        </w:rPr>
      </w:pPr>
    </w:p>
    <w:p>
      <w:pPr>
        <w:ind w:left="660" w:right="180" w:hanging="328"/>
        <w:spacing w:after="0" w:line="264"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primarily in North America with the largest concentration in the United States and a growing Canadian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business, consisting primarily of non-destructive testing and inspection services that are used to evaluate the structural integrity and reliability of critical energy, industrial and public infrastructure.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80" w:hanging="328"/>
        <w:spacing w:after="0" w:line="342" w:lineRule="auto"/>
        <w:tabs>
          <w:tab w:leader="none" w:pos="624"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offers services, products and systems similar to those of the other segments to global markets, principally in Europe, the Middle East,</w:t>
      </w:r>
      <w:r>
        <w:rPr>
          <w:rFonts w:ascii="Arial" w:cs="Arial" w:eastAsia="Arial" w:hAnsi="Arial"/>
          <w:sz w:val="16"/>
          <w:szCs w:val="16"/>
          <w:i w:val="1"/>
          <w:iCs w:val="1"/>
          <w:color w:val="auto"/>
        </w:rPr>
        <w:t xml:space="preserve"> </w:t>
      </w:r>
      <w:r>
        <w:rPr>
          <w:rFonts w:ascii="Arial" w:cs="Arial" w:eastAsia="Arial" w:hAnsi="Arial"/>
          <w:sz w:val="16"/>
          <w:szCs w:val="16"/>
          <w:color w:val="auto"/>
        </w:rPr>
        <w:t>Africa, Asia and South America, but not to customers in China and South Korea, which are served by the Products and Systems segment.</w:t>
      </w:r>
    </w:p>
    <w:p>
      <w:pPr>
        <w:spacing w:after="0" w:line="123" w:lineRule="exact"/>
        <w:rPr>
          <w:rFonts w:ascii="Arial" w:cs="Arial" w:eastAsia="Arial" w:hAnsi="Arial"/>
          <w:sz w:val="16"/>
          <w:szCs w:val="16"/>
          <w:color w:val="auto"/>
        </w:rPr>
      </w:pPr>
    </w:p>
    <w:p>
      <w:pPr>
        <w:ind w:left="660" w:right="160" w:hanging="328"/>
        <w:spacing w:after="0" w:line="277" w:lineRule="auto"/>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instrumentation, predominantly in the United States.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 role our solutions play in helping to ensure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petrochemical), aerospace and defense, fossil and nuclear power, alternative and renewable energy, public infrastructure, chemicals, transportation, primary metals and metalworking, pharmaceuticals and food processing industries.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believe continued growth can be realized in all of our target markets. Concurrent with this growth, we have worked to build our infrastructure to profitably absorb additional growth and have made a number of acquisitions in an effort to leverage our fixed costs, grow our base of experienced, certified personnel, expand our product and technical capabilities and increase our geographical reach.</w:t>
      </w:r>
    </w:p>
    <w:p>
      <w:pPr>
        <w:sectPr>
          <w:pgSz w:w="11900" w:h="16838" w:orient="portrait"/>
          <w:cols w:equalWidth="0" w:num="1">
            <w:col w:w="11400"/>
          </w:cols>
          <w:pgMar w:left="240" w:top="341" w:right="259" w:bottom="0" w:gutter="0" w:footer="0" w:header="0"/>
        </w:sectPr>
      </w:pPr>
    </w:p>
    <w:bookmarkStart w:id="13" w:name="page14"/>
    <w:bookmarkEnd w:id="13"/>
    <w:p>
      <w:pPr>
        <w:ind w:right="6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advantages over our competition.</w:t>
      </w:r>
    </w:p>
    <w:p>
      <w:pPr>
        <w:spacing w:after="0" w:line="18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global economy has shown some signs of improvement, but continues to be fragile. Global financial markets continue to experience uncertainty, including tight liquidity and credit availability, relatively low consumer confidence, slow economic growth, high unemployment rates, volatile currency exchange rates and continued uncertainty about economic stability. However, we believe these conditions have allowed us to capitalize on an opportunity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of operations for the three and nine months ended February 28, 2014 and 2013 were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p>
      <w:pPr>
        <w:spacing w:after="0" w:line="217"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Three months ended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13970</wp:posOffset>
            </wp:positionV>
            <wp:extent cx="1903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tbl>
      <w:tblPr>
        <w:tblLayout w:type="fixed"/>
        <w:tblInd w:w="5520" w:type="dxa"/>
        <w:tblCellMar>
          <w:top w:w="0" w:type="dxa"/>
          <w:left w:w="0" w:type="dxa"/>
          <w:bottom w:w="0" w:type="dxa"/>
          <w:right w:w="0" w:type="dxa"/>
        </w:tblCellMar>
      </w:tblPr>
      <w:tr>
        <w:trPr>
          <w:trHeight w:val="161"/>
        </w:trPr>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w w:val="89"/>
              </w:rPr>
              <w:t>2014</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r>
      <w:tr>
        <w:trPr>
          <w:trHeight w:val="186"/>
        </w:trPr>
        <w:tc>
          <w:tcPr>
            <w:tcW w:w="380" w:type="dxa"/>
            <w:vAlign w:val="bottom"/>
          </w:tcPr>
          <w:p>
            <w:pPr>
              <w:spacing w:after="0"/>
              <w:rPr>
                <w:sz w:val="16"/>
                <w:szCs w:val="16"/>
                <w:color w:val="auto"/>
              </w:rPr>
            </w:pPr>
          </w:p>
        </w:tc>
        <w:tc>
          <w:tcPr>
            <w:tcW w:w="1560" w:type="dxa"/>
            <w:vAlign w:val="bottom"/>
          </w:tcPr>
          <w:p>
            <w:pPr>
              <w:jc w:val="right"/>
              <w:ind w:right="408"/>
              <w:spacing w:after="0"/>
              <w:rPr>
                <w:sz w:val="20"/>
                <w:szCs w:val="20"/>
                <w:color w:val="auto"/>
              </w:rPr>
            </w:pPr>
            <w:r>
              <w:rPr>
                <w:rFonts w:ascii="Arial" w:cs="Arial" w:eastAsia="Arial" w:hAnsi="Arial"/>
                <w:sz w:val="14"/>
                <w:szCs w:val="14"/>
                <w:b w:val="1"/>
                <w:bCs w:val="1"/>
                <w:color w:val="auto"/>
                <w:w w:val="97"/>
              </w:rPr>
              <w:t>($ 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-111760</wp:posOffset>
            </wp:positionV>
            <wp:extent cx="1903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13970</wp:posOffset>
            </wp:positionV>
            <wp:extent cx="18954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61"/>
        </w:trPr>
        <w:tc>
          <w:tcPr>
            <w:tcW w:w="380" w:type="dxa"/>
            <w:vAlign w:val="bottom"/>
          </w:tcPr>
          <w:p>
            <w:pPr>
              <w:jc w:val="right"/>
              <w:ind w:right="8"/>
              <w:spacing w:after="0"/>
              <w:rPr>
                <w:sz w:val="20"/>
                <w:szCs w:val="20"/>
                <w:color w:val="auto"/>
              </w:rPr>
            </w:pPr>
            <w:r>
              <w:rPr>
                <w:rFonts w:ascii="Arial" w:cs="Arial" w:eastAsia="Arial" w:hAnsi="Arial"/>
                <w:sz w:val="14"/>
                <w:szCs w:val="14"/>
                <w:b w:val="1"/>
                <w:bCs w:val="1"/>
                <w:color w:val="auto"/>
                <w:w w:val="89"/>
              </w:rPr>
              <w:t>2014</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r>
      <w:tr>
        <w:trPr>
          <w:trHeight w:val="186"/>
        </w:trPr>
        <w:tc>
          <w:tcPr>
            <w:tcW w:w="380" w:type="dxa"/>
            <w:vAlign w:val="bottom"/>
          </w:tcPr>
          <w:p>
            <w:pPr>
              <w:spacing w:after="0"/>
              <w:rPr>
                <w:sz w:val="16"/>
                <w:szCs w:val="16"/>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w w:val="97"/>
              </w:rPr>
              <w:t>($ 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-111760</wp:posOffset>
            </wp:positionV>
            <wp:extent cx="18954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40" w:space="720"/>
            <w:col w:w="2660"/>
          </w:cols>
          <w:pgMar w:left="240" w:top="125" w:right="239" w:bottom="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6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151,727</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133,661</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444,320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384,777</w:t>
            </w: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39,300</w:t>
            </w:r>
          </w:p>
        </w:tc>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34,206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126,554</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109,828</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Gross profit as a % of Revenue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36,300</w:t>
            </w:r>
          </w:p>
        </w:tc>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29,224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98,727</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81,393</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Operating expenses as a % of Revenue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3,000</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27,827</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28,435</w:t>
            </w:r>
          </w:p>
        </w:tc>
      </w:tr>
      <w:tr>
        <w:trPr>
          <w:trHeight w:val="216"/>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Income from Operations as a % of Revenue</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792</w:t>
            </w:r>
          </w:p>
        </w:tc>
        <w:tc>
          <w:tcPr>
            <w:tcW w:w="4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2,309</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2,458</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25,518</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984</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9,375</w:t>
            </w:r>
          </w:p>
        </w:tc>
        <w:tc>
          <w:tcPr>
            <w:tcW w:w="4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9,749</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16,143</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16,228</w:t>
            </w:r>
          </w:p>
        </w:tc>
        <w:tc>
          <w:tcPr>
            <w:tcW w:w="160" w:type="dxa"/>
            <w:vAlign w:val="bottom"/>
            <w:tcBorders>
              <w:top w:val="single" w:sz="8" w:color="CCEEFF"/>
            </w:tcBorders>
            <w:shd w:val="clear" w:color="auto" w:fill="CCEEFF"/>
          </w:tcPr>
          <w:p>
            <w:pPr>
              <w:spacing w:after="0"/>
              <w:rPr>
                <w:sz w:val="18"/>
                <w:szCs w:val="18"/>
                <w:color w:val="auto"/>
              </w:rPr>
            </w:pPr>
          </w:p>
        </w:tc>
      </w:tr>
      <w:tr>
        <w:trPr>
          <w:trHeight w:val="202"/>
        </w:trPr>
        <w:tc>
          <w:tcPr>
            <w:tcW w:w="4760" w:type="dxa"/>
            <w:vAlign w:val="bottom"/>
          </w:tcPr>
          <w:p>
            <w:pPr>
              <w:ind w:left="180"/>
              <w:spacing w:after="0" w:line="201" w:lineRule="exact"/>
              <w:rPr>
                <w:sz w:val="20"/>
                <w:szCs w:val="20"/>
                <w:color w:val="auto"/>
              </w:rPr>
            </w:pPr>
            <w:r>
              <w:rPr>
                <w:rFonts w:ascii="Arial" w:cs="Arial" w:eastAsia="Arial" w:hAnsi="Arial"/>
                <w:sz w:val="18"/>
                <w:szCs w:val="18"/>
                <w:color w:val="auto"/>
                <w:w w:val="95"/>
              </w:rPr>
              <w:t>Less: net income attributable to noncontrolling interests, net</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760" w:type="dxa"/>
            <w:vAlign w:val="bottom"/>
          </w:tcPr>
          <w:p>
            <w:pPr>
              <w:ind w:left="360"/>
              <w:spacing w:after="0"/>
              <w:rPr>
                <w:sz w:val="20"/>
                <w:szCs w:val="20"/>
                <w:color w:val="auto"/>
              </w:rPr>
            </w:pPr>
            <w:r>
              <w:rPr>
                <w:rFonts w:ascii="Arial" w:cs="Arial" w:eastAsia="Arial" w:hAnsi="Arial"/>
                <w:sz w:val="18"/>
                <w:szCs w:val="18"/>
                <w:color w:val="auto"/>
              </w:rPr>
              <w:t>of taxes</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0"/>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Mistras Group, Inc.</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EBITDA and Adjusted EBITDA, non-GAAP measures explained below, for the three and nine months ended February 28, 2014 and 2013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 February 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 February 28,</w:t>
            </w:r>
          </w:p>
        </w:tc>
      </w:tr>
      <w:tr>
        <w:trPr>
          <w:trHeight w:val="142"/>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and Adjusted EBITDA data</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168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1,201</w:t>
            </w:r>
          </w:p>
        </w:tc>
        <w:tc>
          <w:tcPr>
            <w:tcW w:w="30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2,751</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16,099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16,195</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792</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984</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1,349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9,375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9,749</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20,850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19,693</w:t>
            </w: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EBITDA</w:t>
            </w:r>
          </w:p>
        </w:tc>
        <w:tc>
          <w:tcPr>
            <w:tcW w:w="840" w:type="dxa"/>
            <w:vAlign w:val="bottom"/>
          </w:tcPr>
          <w:p>
            <w:pPr>
              <w:spacing w:after="0"/>
              <w:rPr>
                <w:sz w:val="18"/>
                <w:szCs w:val="18"/>
                <w:color w:val="auto"/>
              </w:rPr>
            </w:pPr>
          </w:p>
        </w:tc>
        <w:tc>
          <w:tcPr>
            <w:tcW w:w="840" w:type="dxa"/>
            <w:vAlign w:val="bottom"/>
            <w:tcBorders>
              <w:top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10,277</w:t>
            </w:r>
          </w:p>
        </w:tc>
        <w:tc>
          <w:tcPr>
            <w:tcW w:w="300" w:type="dxa"/>
            <w:vAlign w:val="bottom"/>
          </w:tcPr>
          <w:p>
            <w:pPr>
              <w:spacing w:after="0"/>
              <w:rPr>
                <w:sz w:val="18"/>
                <w:szCs w:val="18"/>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48,633</w:t>
            </w:r>
          </w:p>
        </w:tc>
        <w:tc>
          <w:tcPr>
            <w:tcW w:w="28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48,095</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Acquisition-related expense, net</w:t>
            </w: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978</w:t>
            </w:r>
          </w:p>
        </w:tc>
        <w:tc>
          <w:tcPr>
            <w:tcW w:w="4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(1,530)</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(1,006)</w:t>
            </w:r>
          </w:p>
        </w:tc>
      </w:tr>
      <w:tr>
        <w:trPr>
          <w:trHeight w:val="210"/>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12,521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EBITDA and Adjusted EBITDA are performance measures used by management that are not calculated in accordance with U.S. generally accepted accounting principles (GAAP). EBITDA is defined in this Quarterly Report as net income attributable to Mistras Group, Inc. plus: interest expense, provision for income taxes and depreciation and amortization. Adjusted EBITDA is defined in this Quarterly Report as net income attributable to Mistras Group, Inc. plus: interest expense, provision for income taxes, depreciation and amortization, share-based compensation expense, and, if applicable, certain acquisition-related expense (including adjustments to the fair value of contingent consideration) and certain non-recurring items (which items are in the reconciliation table above if applicable).</w:t>
      </w:r>
    </w:p>
    <w:p>
      <w:pPr>
        <w:spacing w:after="0" w:line="193"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for our executive and employee incentive compensation programs.</w:t>
      </w:r>
    </w:p>
    <w:p>
      <w:pPr>
        <w:spacing w:after="0" w:line="166"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We believe investors and other users of our financial statements benefit from the presentation of EBITDA and Adjusted EBITDA in evaluating our operating performance because it provides an additional tool to compare our operating performance on a consistent basis and measure underlying trends and results in our business. EBITDA and Adjusted EBITDA removes the impact of certain items that management believes do not directly reflect our core operations. For instance, Adjusted EBITDA generally excludes interest expense, taxes and depreciation and amortization, each of which</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14" w:name="page15"/>
    <w:bookmarkEnd w:id="14"/>
    <w:p>
      <w:pPr>
        <w:spacing w:after="0" w:line="3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can vary substantially from company to company depending upon accounting methods and the book value and age of assets, capital structure, capital investment cycles and the method by which assets were acquired. It also eliminates share-based compensation, which is a non-cash expense and is excluded by management when evaluating the underlying performance of our business operations.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EBITDA and Adjusted EBITDA should not be considered in isolation or as a substitute for analyzing our results as reported under U.S. GAAP.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Revenues were $151.7 million for the three months ended February 28, 2014 compared to $133.7 million for the three months ended February 28, 2013.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Revenues were $444.3 million for the nine months ended February 28, 2014 compared to $384.8 million for the nine months ended February 28, 2013.</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Revenues by segment for the three and nine months ended February 28, 2014 and 2013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February 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Nine months ended February 28,</w:t>
            </w:r>
          </w:p>
        </w:tc>
      </w:tr>
      <w:tr>
        <w:trPr>
          <w:trHeight w:val="142"/>
        </w:trPr>
        <w:tc>
          <w:tcPr>
            <w:tcW w:w="35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7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109,122</w:t>
            </w:r>
          </w:p>
        </w:tc>
        <w:tc>
          <w:tcPr>
            <w:tcW w:w="3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90,537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313,794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278,147</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38,064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119,032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88,722</w:t>
            </w: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7,610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7,645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22,799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25,618</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(11,305)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(7,710)</w:t>
            </w:r>
          </w:p>
        </w:tc>
      </w:tr>
      <w:tr>
        <w:trPr>
          <w:trHeight w:val="210"/>
        </w:trPr>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151,727</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444,320</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384,777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growth rates for the three and nine months ended February 28, 2014 and 2013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2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2"/>
              </w:rPr>
              <w:t>Three months ended February 28,</w:t>
            </w:r>
          </w:p>
        </w:tc>
        <w:tc>
          <w:tcPr>
            <w:tcW w:w="360" w:type="dxa"/>
            <w:vAlign w:val="bottom"/>
          </w:tcPr>
          <w:p>
            <w:pPr>
              <w:spacing w:after="0"/>
              <w:rPr>
                <w:sz w:val="14"/>
                <w:szCs w:val="14"/>
                <w:color w:val="auto"/>
              </w:rPr>
            </w:pPr>
          </w:p>
        </w:tc>
        <w:tc>
          <w:tcPr>
            <w:tcW w:w="336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3"/>
              </w:rPr>
              <w:t>Nine months ended February 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40" w:type="dxa"/>
            <w:vAlign w:val="bottom"/>
            <w:gridSpan w:val="4"/>
          </w:tcPr>
          <w:p>
            <w:pPr>
              <w:jc w:val="center"/>
              <w:ind w:left="636"/>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gridSpan w:val="4"/>
          </w:tcPr>
          <w:p>
            <w:pPr>
              <w:jc w:val="center"/>
              <w:ind w:left="616"/>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18,066</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29,543</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59,543</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3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Comprised of:</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 of acquisition growth</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3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 foreign exchange increase (decrease)</w:t>
            </w: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3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Revenues for the three months ended February 28, 2014 experienced year-on-year growth of $18.1 million, or 13.5%, fueled by organic growth of approximately 7% and growth from acquisitions of approximately 6%. In the third quarter of fiscal 2013, our year-on-year revenue growth was 28.4%, with acquisitions having contributed approximately 23%, while organic growth contributed approximately 6%.</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the third quarter of fiscal 2014, our revenue growth was primarily driven by our Services segment. The 21% increase in Services segment revenues was due to organic growth of approximately 13% and acquisition growth of approximately 8%.</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continued to experience year-on-year growth in its key vertical markets during the third quarter of fiscal 2014. Oil and gas revenues grew by approximately 20% and remained our most significant vertical market,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saw its proportion increase to 53% of total Company revenues compared with 50% in the third quarter of fiscal 2013. This increase was driven primarily by an increase in organic growth from our recent market share gain in Alaska. Our top ten customers comprised approximately 43% of total revenues in the third quarter of fiscal 2014 compared with 41% in the third quarter of the prior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Revenues for the nine months ended February 28, 2014 experienced year-on-year growth of $59.5 million, or 15.5%, fueled by growth from acquisitions of approximately 10% and organic growth of approximately 5%. In first nine months of fiscal 2013, the Company’s year-on-year revenue growth was approximately 24%, with acquisitions contributed approximately 20%, while organic growth contributed approximately 5%, with foreign exchange reducing that rate of increase by nearly 1%.</w:t>
      </w:r>
    </w:p>
    <w:p>
      <w:pPr>
        <w:spacing w:after="0" w:line="187"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For the nine months ended February 28, 2014, revenue growth was attributable to our Services and International segments. The 13% increase in Services segment revenues was driven by organic growth of nearly 10% and acquisition growth of approximately 3%.The Company’s 34% year-on-year growth in International revenue was driven primarily by acquisition, as we acquired our German subsidiary during the second quarter of fiscal 2013.</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continued to experience year-on-year growth in its key vertical markets during the first nine months of fiscal 2014. Oil and gas revenues grew by approximately 14% and remained our most significant vertical market, with its proportion of total Company revenues remain consistent at approximately 50%. Our top ten customers comprised approximately 38% of total revenues in the first nine months of fiscal 2014 compared with 34% in the first nine months of the prior fiscal year.</w:t>
      </w:r>
    </w:p>
    <w:p>
      <w:pPr>
        <w:sectPr>
          <w:pgSz w:w="11900" w:h="16872" w:orient="portrait"/>
          <w:cols w:equalWidth="0" w:num="1">
            <w:col w:w="11420"/>
          </w:cols>
          <w:pgMar w:left="240" w:top="125" w:right="239" w:bottom="0" w:gutter="0" w:footer="0" w:header="0"/>
        </w:sectPr>
      </w:pPr>
    </w:p>
    <w:bookmarkStart w:id="15" w:name="page16"/>
    <w:bookmarkEnd w:id="15"/>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Gross profit increased by $5.1 million, or 15%, to $39.3 million in the third quarter of fiscal 2014, compared with $34.2 million in the third quarter of fiscal 2013. Gross profit increased by $16.7 million, or approximately 15%, to $126.6 million during the first nine months of fiscal 2014, compared with $109.8 million in the first nine months of fiscal 2013.</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During the third quarter of fiscal 2014 the Company was adversely impacted by bad weather conditions in North America that affected its customers and its entire industry. In addition, the Company signed an important new contract with a major integrated energy company with significant operations in the Canadian oil sands region and incurred significant costs to prepare to serve this customer and another large customer in Alaska. Additionally, the Company incurred staffing costs which preceded revenues pertaining to recent market share gains in France. The Company believes the cumulative adverse impact of these items (“Third Quarter 2014 Items”) aggregated approximately $3 million, of which approximately $2 million reduced gross profit and the remainder increased operating expenses during the three- and nine-month periods ended February 28,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months ended February 28, 2014 and 2013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1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February 28,</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 February 28,</w:t>
            </w:r>
          </w:p>
        </w:tc>
      </w:tr>
      <w:tr>
        <w:trPr>
          <w:trHeight w:val="142"/>
        </w:trPr>
        <w:tc>
          <w:tcPr>
            <w:tcW w:w="356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3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280" w:type="dxa"/>
            <w:vAlign w:val="bottom"/>
            <w:gridSpan w:val="2"/>
          </w:tcPr>
          <w:p>
            <w:pPr>
              <w:jc w:val="right"/>
              <w:ind w:right="68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26,216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20,496</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83,881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72,128</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10,086</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9,851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33,499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24,231</w:t>
            </w:r>
          </w:p>
        </w:tc>
        <w:tc>
          <w:tcPr>
            <w:tcW w:w="80" w:type="dxa"/>
            <w:vAlign w:val="bottom"/>
            <w:shd w:val="clear" w:color="auto" w:fill="CCEE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Products and Systems</w:t>
            </w:r>
          </w:p>
        </w:tc>
        <w:tc>
          <w:tcPr>
            <w:tcW w:w="1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3,674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3,790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9,776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13,010</w:t>
            </w:r>
          </w:p>
        </w:tc>
        <w:tc>
          <w:tcPr>
            <w:tcW w:w="80" w:type="dxa"/>
            <w:vAlign w:val="bottom"/>
          </w:tcPr>
          <w:p>
            <w:pPr>
              <w:spacing w:after="0"/>
              <w:rPr>
                <w:sz w:val="18"/>
                <w:szCs w:val="18"/>
                <w:color w:val="auto"/>
              </w:rPr>
            </w:pPr>
          </w:p>
        </w:tc>
      </w:tr>
      <w:tr>
        <w:trPr>
          <w:trHeight w:val="216"/>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8"/>
                <w:szCs w:val="18"/>
                <w:color w:val="auto"/>
              </w:rPr>
            </w:pPr>
          </w:p>
        </w:tc>
      </w:tr>
      <w:tr>
        <w:trPr>
          <w:trHeight w:val="210"/>
        </w:trPr>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39,300</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126,554</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a percentage of revenues, gross profit was 25.9% and 25.6% for the third quarters of fiscal 2014 and 2013, respectively. The increase in gross profit percentage was primarily attributable to the Services segment partially offset by a slight decline in the Products and Systems segment. The gross profit margin for the Services segment improved to 24.0% compared to 22.6% in the third quarter of fiscal 2013, primarily due to project mix in the quarter, despite being adversely impacted by the Third Quarter 2014 Items. The International segment gross margins increased slightly to 26.5% in the third quarter of fiscal 2014 compared with 26.3% in the prior year, although these margins were also adversely impacted by the Third Quarter 2014 Items. The Products and Systems segment gross margin was 48.3% compared to 49.6% in the prior year.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Lower gross margins in the Products and Systems segment were due to an adverse sales mix compared with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a percentage of revenues, gross profit was 28.5% for the three and nine month periods ended February 28, 2014 and 2013, respectively. Gross profit margin for the Services segment improved to 26.7% in the first nine months of fiscal 2014, inclusive of the impact of the Third Quarter 2014 Items, compared with 25.9% in the first nine months of the prior fiscal year, driven by operational efficiencies. Gross profit margin for the International segment improved to 28.1% in the first nine months of fiscal 2014 compared with 27.3% in the first nine months of the prior fiscal year, driven by higher margin product sales in the U.K., Russia and France, as well as improved utilization of personnel performing services. These gains were offset by the Products and Systems segment’s gross margin decline to 42.9% from 50.8% in the first nine months of the prior fiscal year. The decline in Products and Systems segment gross margin was due to lower sales levels and an adverse sales mix compared with prior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following table shows a reconciliation of the segment income from operations before acquisition-related expense (benefit), net, to income from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February 28, 2014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6"/>
              </w:rPr>
              <w:t>Nine months ended February 28,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w w:val="99"/>
              </w:rPr>
              <w:t>($ in thousands)</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w w:val="95"/>
              </w:rPr>
              <w:t>Income from operations before acquisition-related expense,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net</w:t>
            </w:r>
          </w:p>
        </w:tc>
        <w:tc>
          <w:tcPr>
            <w:tcW w:w="116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7,759</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6,755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33,161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expense,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307</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7,452</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32,698</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b w:val="1"/>
                <w:bCs w:val="1"/>
                <w:color w:val="auto"/>
              </w:rPr>
              <w:t>International:</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Income from operations before acquisition-related expense,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w:t>
            </w:r>
          </w:p>
        </w:tc>
        <w:tc>
          <w:tcPr>
            <w:tcW w:w="116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5,526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Acquisition-related expense (benefit), net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(3,666)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 and Systems: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w w:val="95"/>
              </w:rPr>
              <w:t>Income from operations before acquisition-related expense,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net</w:t>
            </w:r>
          </w:p>
        </w:tc>
        <w:tc>
          <w:tcPr>
            <w:tcW w:w="116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576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Acquisition-related (benefit), net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337" w:right="2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Corporate and Eliminations:</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Income from operations before acquisition-related (benefit),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w:t>
            </w:r>
          </w:p>
        </w:tc>
        <w:tc>
          <w:tcPr>
            <w:tcW w:w="74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(4,057)</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(4,416)</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Acquisition-related expense (benefit), net</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566</w:t>
            </w:r>
          </w:p>
        </w:tc>
        <w:tc>
          <w:tcPr>
            <w:tcW w:w="5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2,708</w:t>
            </w:r>
          </w:p>
        </w:tc>
        <w:tc>
          <w:tcPr>
            <w:tcW w:w="4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(4,623)</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(15,210)</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Company</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ind w:left="160"/>
              <w:spacing w:after="0" w:line="201" w:lineRule="exact"/>
              <w:rPr>
                <w:sz w:val="20"/>
                <w:szCs w:val="20"/>
                <w:color w:val="auto"/>
              </w:rPr>
            </w:pPr>
            <w:r>
              <w:rPr>
                <w:rFonts w:ascii="Arial" w:cs="Arial" w:eastAsia="Arial" w:hAnsi="Arial"/>
                <w:sz w:val="18"/>
                <w:szCs w:val="18"/>
                <w:color w:val="auto"/>
                <w:w w:val="96"/>
              </w:rPr>
              <w:t>Income from operations before acquisition-related expense,</w:t>
            </w:r>
          </w:p>
        </w:tc>
        <w:tc>
          <w:tcPr>
            <w:tcW w:w="740" w:type="dxa"/>
            <w:vAlign w:val="bottom"/>
            <w:gridSpan w:val="2"/>
            <w:vMerge w:val="restart"/>
          </w:tcPr>
          <w:p>
            <w:pPr>
              <w:jc w:val="right"/>
              <w:ind w:right="345"/>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3,978</w:t>
            </w:r>
          </w:p>
        </w:tc>
        <w:tc>
          <w:tcPr>
            <w:tcW w:w="300" w:type="dxa"/>
            <w:vAlign w:val="bottom"/>
          </w:tcPr>
          <w:p>
            <w:pPr>
              <w:spacing w:after="0"/>
              <w:rPr>
                <w:sz w:val="17"/>
                <w:szCs w:val="17"/>
                <w:color w:val="auto"/>
              </w:rPr>
            </w:pPr>
          </w:p>
        </w:tc>
        <w:tc>
          <w:tcPr>
            <w:tcW w:w="500" w:type="dxa"/>
            <w:vAlign w:val="bottom"/>
            <w:vMerge w:val="restart"/>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3,770</w:t>
            </w:r>
          </w:p>
        </w:tc>
        <w:tc>
          <w:tcPr>
            <w:tcW w:w="560" w:type="dxa"/>
            <w:vAlign w:val="bottom"/>
            <w:gridSpan w:val="2"/>
            <w:vMerge w:val="restart"/>
          </w:tcPr>
          <w:p>
            <w:pPr>
              <w:jc w:val="right"/>
              <w:ind w:right="27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26,297</w:t>
            </w: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27,429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net</w:t>
            </w:r>
          </w:p>
        </w:tc>
        <w:tc>
          <w:tcPr>
            <w:tcW w:w="740" w:type="dxa"/>
            <w:vAlign w:val="bottom"/>
            <w:gridSpan w:val="2"/>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560" w:type="dxa"/>
            <w:vAlign w:val="bottom"/>
            <w:gridSpan w:val="2"/>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Acquisition-related expense (benefit), net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978</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(1,006)</w:t>
            </w:r>
          </w:p>
        </w:tc>
        <w:tc>
          <w:tcPr>
            <w:tcW w:w="1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160"/>
              <w:spacing w:after="0"/>
              <w:rPr>
                <w:sz w:val="20"/>
                <w:szCs w:val="20"/>
                <w:color w:val="auto"/>
              </w:rPr>
            </w:pPr>
            <w:r>
              <w:rPr>
                <w:rFonts w:ascii="Arial" w:cs="Arial" w:eastAsia="Arial" w:hAnsi="Arial"/>
                <w:sz w:val="18"/>
                <w:szCs w:val="18"/>
                <w:color w:val="auto"/>
              </w:rPr>
              <w:t>Income from operations</w:t>
            </w:r>
          </w:p>
        </w:tc>
        <w:tc>
          <w:tcPr>
            <w:tcW w:w="24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w:t>
            </w:r>
          </w:p>
        </w:tc>
        <w:tc>
          <w:tcPr>
            <w:tcW w:w="3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4,982</w:t>
            </w: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27,827</w:t>
            </w:r>
          </w:p>
        </w:tc>
        <w:tc>
          <w:tcPr>
            <w:tcW w:w="28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28,435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 percentage of revenues, income from operations excluding acquisition-related items was 2.6% and 2.8% for the third quarters of fiscal 2014 and fiscal 2013, respectively. The Company estimates that the Third Quarter 2014 Items reduced operating income for the three-month period ended February 28, 2014 by approximately $3 million, or 2.0% of revenues. Inclusive of this adverse impact, income from operations exclusive of acquisition-related costs improved by $0.2 million, or 6%, over the comparable period in fiscal 2013.</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expenses increased by $7.1 million, or 24%, compared with the prior year’s third quarter, and by $4.9 million, or 16%, excluding acquisition-related items. This increase was driven by the Services segment, which incurred a year-on-year operating expense increase of $4.7 million, or 34%, exclusive of acquisition-related charges. The impact of acquisitions accounted for $1.2 million of the total increase. The remainder of the increase in Services operating expenses was primarily due to increases in headcount and facility-related costs incurred to position the Company for growth in Canada and in the United States.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25"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Income from operations, exclusive of acquisition-related items but inclusive of the adverse impact of the Third Quarter 2014 Items, was $26.3 for the first nine months of fiscal 2014, which represented a decrease of $1.1 million, or approximately 4%, compared with the comparable period of fiscal 2013. As a percentage of revenues, income from operations excluding acquisition-related items was 5.9% and 7.1% for the first nine months of fiscal 2014 and fiscal 2013, respectively.</w:t>
      </w:r>
    </w:p>
    <w:p>
      <w:pPr>
        <w:spacing w:after="0" w:line="18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Operating expenses in the first nine months increased by $17.3 million, or 21%, compared with the prior year, and by $17.9 million, or 22%, during the same period excluding acquisition-related items. This increase was primarily driven by the Services and International segments. The Services segment incurred a year-on-year operating expense increase of $8.3 million, or 20%, exclusive of acquisition-related charges. Recent acquisitions completed in the Services segment accounted for $1.7 million of the operating expense increase. The remaining amount was primarily due to increases in headcount and facility-related costs incurred to position the Company for growth in Canada and in the United States. The International segment operating expenses had a year-on-year operating expense increase of $7.6 million, or 38%, exclusive of acquisition-related charges, primarily resulting from a $7.1 million year-on-year acquisition impact stemming from the prior year acquisition of the Company’s German subsidiary. Corporate operating expenses increased by $1.2 million, or 11%, exclusive of acquisition-related charges, compared to the prior year, driven primarily by increased insurance and recruiting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Interest expense was approximately $0.8 million and $0.9 million for the third quarters of fiscal 2014 and 2013, respectively. Interest expense for the nine months ended February 28, 2014 and 2013 was $2.3 million and $2.5 million, respectively. The slight decrease was primarily related to a decrease in average interest rates in the first nine months of fiscal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effective income tax rate was approximately 45% and 33% for the three months ended February 28, 2014 and February 28, 2013, respectively. The increase was primarily due to higher permanent tax differences and lower income in the quarter. Our effective income tax rate was approximately 37% and 38% for the nine month periods ended February 28, 2014 and February 28, 2013, respectively. The decrease was primarily due to the greater proportion of income from various foreign jurisdictions that carry lower tax rates, partially offset by higher permanent tax differences.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in the table below:</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0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6"/>
              </w:rPr>
              <w:t>Nine months ended February 28, 2014</w:t>
            </w:r>
          </w:p>
        </w:tc>
      </w:tr>
      <w:tr>
        <w:trPr>
          <w:trHeight w:val="142"/>
        </w:trPr>
        <w:tc>
          <w:tcPr>
            <w:tcW w:w="67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80" w:type="dxa"/>
            <w:vAlign w:val="bottom"/>
            <w:gridSpan w:val="4"/>
          </w:tcPr>
          <w:p>
            <w:pPr>
              <w:jc w:val="right"/>
              <w:ind w:right="50"/>
              <w:spacing w:after="0" w:line="142" w:lineRule="exact"/>
              <w:rPr>
                <w:sz w:val="20"/>
                <w:szCs w:val="20"/>
                <w:color w:val="auto"/>
              </w:rPr>
            </w:pPr>
            <w:r>
              <w:rPr>
                <w:rFonts w:ascii="Arial" w:cs="Arial" w:eastAsia="Arial" w:hAnsi="Arial"/>
                <w:sz w:val="14"/>
                <w:szCs w:val="14"/>
                <w:b w:val="1"/>
                <w:bCs w:val="1"/>
                <w:color w:val="auto"/>
              </w:rPr>
              <w:t>($ in thousands)</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22,589</w:t>
            </w: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27,548</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(30,261)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(42,385)</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11,251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15,070</w:t>
            </w:r>
          </w:p>
        </w:tc>
        <w:tc>
          <w:tcPr>
            <w:tcW w:w="8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r>
      <w:tr>
        <w:trPr>
          <w:trHeight w:val="210"/>
        </w:trPr>
        <w:tc>
          <w:tcPr>
            <w:tcW w:w="67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ectPr>
          <w:pgSz w:w="11900" w:h="16838" w:orient="portrait"/>
          <w:cols w:equalWidth="0" w:num="1">
            <w:col w:w="11420"/>
          </w:cols>
          <w:pgMar w:left="240" w:top="121" w:right="239" w:bottom="0" w:gutter="0" w:footer="0" w:header="0"/>
        </w:sectPr>
      </w:pPr>
    </w:p>
    <w:bookmarkStart w:id="17" w:name="page18"/>
    <w:bookmarkEnd w:id="17"/>
    <w:p>
      <w:pPr>
        <w:spacing w:after="0" w:line="13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cash flow excluding changes in operating assets and liabilities was approximately $41 million and $40 million in the nine-month periods ended February 28, 2014 and 2013, respectively. However, cash provided by our operating activities during the nine month period ended February 28, 2014 of $22.6 million represented a year-on-year decline of $5.0 million. The reduction in operating cash flow was driven by the timing of changes in working capital, principally accounts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receivable, which entailed a $13.2 million use of cash, or 12% of the May 31, 2013 accounts receivable balance, as the Company’s year-on-year sales increased 15.5%.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used $30.3 million principally to fund acquisitions of $19.1 million, net of cash acquired and capital expenditures of $11.7 million. The Company used a total of $42.3 million for investing activities in the comparable period of the prior fiscal year primarily to fund acquisitions of $33.6 million and capital expenditures of $8.9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Net cash provided by financing activities was $11.3 million for the nine months ended February 28, 2014, a decrease of $3.8 million from the comparable period of fiscal 2013. Net cash provided by financing activities related primarily to net borrowings of $26.1 million from our revolving credit facility offset by payments of notes payable, other long-term debt, capital lease obligations and contingent consideration totaling $14.8 million. The decrease in cash provided by financing activities compared with prior year was driven by higher payments of notes payable related to acquisitions made subsequent to fiscal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approximately ($1.4) million and $0.3 million for the nine months ended February 28,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As of February 28, 2014, we had cash and cash equivalents totaling $10.0 million and available borrowing capacity of $55.8 million under our current revolving credit agreement described below. As of February 28, 2014, borrowings of $65.6 million and letters of credit of $3.6 million were outstanding under our credit agreement. We finance our operations primarily through our existing cash balances, cash collected from operations, bank borrowings and capital lease financing. We believe these sources are sufficient to fund our operations for the foreseeable future.</w:t>
      </w:r>
    </w:p>
    <w:p>
      <w:pPr>
        <w:spacing w:after="0" w:line="17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Our credit agreement provides us with a $125 million revolving line of credit, which, under certain circumstances, can be increased to $150 million, and has a maturity date of December 20, 2016. We can also borrow up to $30 million in non-US dollar currencies under the credit agreement and use up to $10 million of the credit limit for the issuance of letters of credit. Loans under the credit agreement bear interest at LIBOR plus an applicable LIBOR margin ranging from 1% to 2%, or a base rate margin less a margin of 1.25% to 0.25%, at our option, or based upon our Funded Debt Leverage Ratio. Funded Debt Leverage Ratio is generally the ratio of (1) all outstanding indebtedness for borrowed money and other interest-bearing indebtedness as of the date of determination to</w:t>
      </w:r>
    </w:p>
    <w:p>
      <w:pPr>
        <w:spacing w:after="0" w:line="2"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EBITDA (which is (a) net income, less (b) income (or plus loss) from discontinued operations and extraordinary items, plus (c) income tax expenses, plus</w:t>
      </w:r>
    </w:p>
    <w:p>
      <w:pPr>
        <w:spacing w:after="0" w:line="32"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color w:val="auto"/>
        </w:rPr>
        <w:t>(d) interest expense, plus (e) depreciation, depletion, and amortization (including non-cash loss on retirement of assets), plus (f) share-based compensation expense, less (g) cash expense related to share-based compensation, plus or minus certain other adjustments) for the period of four consecutive fiscal quarters immediately preceding the date of determination. We have the benefit of the lowest margin if our Funded Debt Leverage Ratio is equal to or less than 0.5 to 1, and the margin increases as the ratio increases, to the maximum margin if the ratio is greater than 2.5 to 1. We will also bear additional costs for market disruption, regulatory changes effecting the lenders’ funding costs, and default pricing of an additional 2% interest rate margin if the Funded Debt Leverage Ratio exceeds 3.0 to 1. Amounts borrowed under our credit agreement are secured by liens on substantially all of our assets.</w:t>
      </w:r>
    </w:p>
    <w:p>
      <w:pPr>
        <w:spacing w:after="0" w:line="16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credit agreement contains financial covenants requiring that we maintain a Funded Debt Leverage Ratio of less than 3.0 to 1 and an Interest Coverage Ratio of at least 3.0 to 1. Interest Coverage Ratio means the ratio, as of any date of determination, of (a) EBITDA for the 12 month period immediately preceding the date of determination, to (b) all interest, premium payments, debt discount, fees, charges and related expenses of the Company and our subsidiaries in connection with borrowed money (including capitalized interest) or in connection with the deferred purchase price of assets, in each case to the extent treated as interest in accordance with GAAP, paid during the 12 month period immediately preceding the date of determination. The credit agreement also limits our ability to, among other things, create liens, make investments, incur more indebtedness, merge or consolidate, make dispositions of property, pay dividends and make distributions to stockholders, enter into a new line of business, enter into transactions with affiliates and enter into burdensome agreements. The credit agreement does not limit our ability to acquire other businesses or companies except that the acquired business or company must be in our line of business, we must be in compliance with the financial covenants on a pro forma basis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after taking into account the acquisition, and, if the acquired business is a separate subsidiary, in certain circumstances the lenders will receive the benefit of a guaranty of the subsidiary and liens on its assets and a pledge of its stock.</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February 28, 2014, we were in compliance with the terms of the credit agreement, and we will continuously monitor our compliance with the covenants contained in our credit agreement.</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Several of our international subsidiaries have entered into a four million Euro facility agreement which enables each of them to borrow in Euros to finance the purchase of equipment. The Company has guaranteed the obligations of the subsidiaries under this facility agreement, and the interest rate charged on the loan</w:t>
      </w:r>
    </w:p>
    <w:p>
      <w:pPr>
        <w:sectPr>
          <w:pgSz w:w="11900" w:h="16975" w:orient="portrait"/>
          <w:cols w:equalWidth="0" w:num="1">
            <w:col w:w="11420"/>
          </w:cols>
          <w:pgMar w:left="240" w:top="341" w:right="239" w:bottom="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balance is based upon our Funded Debt Leverage Ratio under our credit agreement. The facility agreement matures in October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Sources of Cash</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expect our future sources of cash to include cash flow generated from our operating activities and borrowings under our revolving credit facility. Our revolving credit facility is available for cash advances required for working capital and for letters of credit to support our operations. We are currently funding our acquisitions through our available cash, borrowings under our revolving credit facility and seller notes. We have an effective shelf registration statement with the SEC for the issuance of up to approximately $64.2 million of securities, including shares of common and preferred stock, debt securities, warrants and units. Accordingly, we may also seek to obtain capital through the issuance of debt or equity securities, or a combination of both.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Uses of Cash</w:t>
      </w:r>
    </w:p>
    <w:p>
      <w:pPr>
        <w:spacing w:after="0" w:line="225"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will need to fund a certain amount of replacement equipment, including our fleet vehicles. We historically spend approximately 3% to 4% of our total revenues on capital expenditures, including capital leases and expect to fund these expenditures through a combination of cash and lease financing.</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future acquisitions also may require capital. We acquired three companies in fiscal 2013 and four companies during the first nine months of fiscal 2014, with an initial aggregate cash outlay of $54.3 million. In some cases, additional equipment is needed to upgrade the capabilities of these acquired companies. In addition, our future acquisition and capital spending may increase as we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repayments and various other obligations as they arise.</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public or private equity financings,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terms acceptable to us or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During the nine months ended February 28, 2014,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have been no significant changes to the Company’s critical accounting policies and estimates from the information provided in Item 7, “Management’s Discussion and Analysis of Financial Condition and Results of Operations,” included in the Annual Report on Form 10-K for the fiscal year ended May 31, 2013.</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We have foreign currency exposure related to our operations in foreign locations. This foreign currency exposure, particularly the Euro, British Pound Sterling, Brazilian Real, Russian Ruble, Japanese Yen, Canadian Dollar, Swiss Franc and the Indian Rupee, arises primarily from the translation of our foreign subsidiaries’ financial statements into U.S. Dollars.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We had approximately $0.9 million and $1.1 million of foreign currency translation gains in other comprehensive income for the first nine months of fiscal 2014 and 2013, respectively. We do not currently enter into forward exchange contracts to hedge exposures to foreign currencies. We may consider entering into hedging or forward exchange contracts in the future.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had cash and cash equivalents of $10.0 million at February 28, 2014. These amounts are held for working capital purposes and were invested primarily in bank deposits, money market funds and short-term, interest-bearing, investment-grade securities. Due to the short-term nature of these investments, we believe that we do not have any material exposure to changes in the fair value of our investment portfolio as a result of changes in interest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ectPr>
          <w:pgSz w:w="11900" w:h="16838" w:orient="portrait"/>
          <w:cols w:equalWidth="0" w:num="1">
            <w:col w:w="11420"/>
          </w:cols>
          <w:pgMar w:left="240" w:top="125" w:right="239" w:bottom="104" w:gutter="0" w:footer="0" w:header="0"/>
        </w:sectPr>
      </w:pPr>
    </w:p>
    <w:bookmarkStart w:id="19" w:name="page20"/>
    <w:bookmarkEnd w:id="19"/>
    <w:p>
      <w:pPr>
        <w:spacing w:after="0" w:line="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do not believe we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of February 28, 2014, the Company carried out an evaluation, under the supervision and with the participation of the Company’s management, including the Company’s Chief Executive Officer and the Company’s Chief Financial Officer, of the effectiveness of the design and operation of the Company’s disclosure controls and procedures, as such term is defined in Rule 13a-15(e) of the Exchange Act. Based on the evaluation, the Company’s Chief Executive Officer and Chief Financial Officer have concluded that the Company’s disclosure controls and procedures are effective to ensure that information required to be disclosed by the Company in the reports it files or submits under the Securities Exchange Act of 1934, as amended, is recorded, processed, summarized and reported within the time periods specified in Securities and Exchange Commission rules and forms.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Company’s quarter ended February 28, 2014 that has materially affected, or is reasonably likely to materially affect, such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developments with regard to any matters disclosed under Part I, Item 3 “Legal Proceedings” in our 2013 Annual Report.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12 -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to the consolidated financial statements included in this report for a description of our other legal proceedings.</w:t>
      </w:r>
    </w:p>
    <w:p>
      <w:pPr>
        <w:spacing w:after="0" w:line="24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 addition to the other information set forth in this report, you should carefully consider the risk factors discussed under the “Risk Factors” section included in our 2013 Annual Report. There have been no material changes to the risk factors previously disclosed in the Annual Report.</w:t>
      </w:r>
    </w:p>
    <w:p>
      <w:pPr>
        <w:spacing w:after="0" w:line="14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800" w:hanging="652"/>
        <w:spacing w:after="0" w:line="501" w:lineRule="auto"/>
        <w:tabs>
          <w:tab w:leader="none" w:pos="267"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ind w:left="660" w:right="6980" w:hanging="652"/>
        <w:spacing w:after="0" w:line="498" w:lineRule="auto"/>
        <w:tabs>
          <w:tab w:leader="none" w:pos="267"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1022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 Information</w:t>
            </w:r>
          </w:p>
        </w:tc>
      </w:tr>
      <w:tr>
        <w:trPr>
          <w:trHeight w:val="432"/>
        </w:trPr>
        <w:tc>
          <w:tcPr>
            <w:tcW w:w="1200" w:type="dxa"/>
            <w:vAlign w:val="bottom"/>
            <w:gridSpan w:val="2"/>
          </w:tcPr>
          <w:p>
            <w:pPr>
              <w:ind w:left="660"/>
              <w:spacing w:after="0"/>
              <w:rPr>
                <w:sz w:val="20"/>
                <w:szCs w:val="20"/>
                <w:color w:val="auto"/>
              </w:rPr>
            </w:pPr>
            <w:r>
              <w:rPr>
                <w:rFonts w:ascii="Arial" w:cs="Arial" w:eastAsia="Arial" w:hAnsi="Arial"/>
                <w:sz w:val="18"/>
                <w:szCs w:val="18"/>
                <w:color w:val="auto"/>
              </w:rPr>
              <w:t>None.</w:t>
            </w:r>
          </w:p>
        </w:tc>
        <w:tc>
          <w:tcPr>
            <w:tcW w:w="120" w:type="dxa"/>
            <w:vAlign w:val="bottom"/>
          </w:tcPr>
          <w:p>
            <w:pPr>
              <w:spacing w:after="0"/>
              <w:rPr>
                <w:sz w:val="24"/>
                <w:szCs w:val="24"/>
                <w:color w:val="auto"/>
              </w:rPr>
            </w:pPr>
          </w:p>
        </w:tc>
        <w:tc>
          <w:tcPr>
            <w:tcW w:w="10100" w:type="dxa"/>
            <w:vAlign w:val="bottom"/>
          </w:tcPr>
          <w:p>
            <w:pPr>
              <w:spacing w:after="0"/>
              <w:rPr>
                <w:sz w:val="24"/>
                <w:szCs w:val="24"/>
                <w:color w:val="auto"/>
              </w:rPr>
            </w:pP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2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Exhibits</w:t>
            </w:r>
          </w:p>
        </w:tc>
      </w:tr>
      <w:tr>
        <w:trPr>
          <w:trHeight w:val="36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Borders>
              <w:bottom w:val="single" w:sz="8" w:color="auto"/>
            </w:tcBorders>
          </w:tcPr>
          <w:p>
            <w:pPr>
              <w:ind w:left="470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220" w:type="dxa"/>
            <w:vAlign w:val="bottom"/>
            <w:gridSpan w:val="2"/>
          </w:tcPr>
          <w:p>
            <w:pPr>
              <w:ind w:left="120"/>
              <w:spacing w:after="0"/>
              <w:rPr>
                <w:sz w:val="20"/>
                <w:szCs w:val="20"/>
                <w:color w:val="auto"/>
              </w:rPr>
            </w:pPr>
            <w:r>
              <w:rPr>
                <w:rFonts w:ascii="Arial" w:cs="Arial" w:eastAsia="Arial" w:hAnsi="Arial"/>
                <w:sz w:val="18"/>
                <w:szCs w:val="18"/>
                <w:color w:val="auto"/>
              </w:rPr>
              <w:t>Amendment No. 2 to Employment Agreement, dated July 14, 2010, between the Company and Sotirios J. Vahaviolos</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220" w:type="dxa"/>
            <w:vAlign w:val="bottom"/>
            <w:gridSpan w:val="2"/>
          </w:tcPr>
          <w:p>
            <w:pPr>
              <w:ind w:left="12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bl>
    <w:p>
      <w:pPr>
        <w:sectPr>
          <w:pgSz w:w="11900" w:h="16843" w:orient="portrait"/>
          <w:cols w:equalWidth="0" w:num="1">
            <w:col w:w="11420"/>
          </w:cols>
          <w:pgMar w:left="240" w:top="125"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0"/>
                <w:szCs w:val="20"/>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6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60" w:type="dxa"/>
            <w:vAlign w:val="bottom"/>
          </w:tcPr>
          <w:p>
            <w:pPr>
              <w:ind w:left="20"/>
              <w:spacing w:after="0"/>
              <w:rPr>
                <w:sz w:val="20"/>
                <w:szCs w:val="20"/>
                <w:color w:val="auto"/>
              </w:rPr>
            </w:pPr>
            <w:r>
              <w:rPr>
                <w:rFonts w:ascii="Arial" w:cs="Arial" w:eastAsia="Arial" w:hAnsi="Arial"/>
                <w:sz w:val="18"/>
                <w:szCs w:val="18"/>
                <w:color w:val="auto"/>
              </w:rPr>
              <w:t>XBRL Schema Document</w:t>
            </w: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Pr>
          <w:p>
            <w:pPr>
              <w:ind w:left="4320"/>
              <w:spacing w:after="0"/>
              <w:rPr>
                <w:sz w:val="20"/>
                <w:szCs w:val="20"/>
                <w:color w:val="auto"/>
              </w:rPr>
            </w:pPr>
            <w:r>
              <w:rPr>
                <w:rFonts w:ascii="Arial" w:cs="Arial" w:eastAsia="Arial" w:hAnsi="Arial"/>
                <w:sz w:val="18"/>
                <w:szCs w:val="18"/>
                <w:color w:val="auto"/>
              </w:rPr>
              <w:t>27</w:t>
            </w:r>
          </w:p>
        </w:tc>
      </w:tr>
      <w:tr>
        <w:trPr>
          <w:trHeight w:val="132"/>
        </w:trPr>
        <w:tc>
          <w:tcPr>
            <w:tcW w:w="1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16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1016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10160" w:type="dxa"/>
            <w:vAlign w:val="bottom"/>
          </w:tcPr>
          <w:p>
            <w:pPr>
              <w:ind w:left="20"/>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60" w:type="dxa"/>
            <w:vAlign w:val="bottom"/>
          </w:tcPr>
          <w:p>
            <w:pPr>
              <w:ind w:left="20"/>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60" w:type="dxa"/>
            <w:vAlign w:val="bottom"/>
          </w:tcPr>
          <w:p>
            <w:pPr>
              <w:ind w:left="20"/>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60" w:type="dxa"/>
            <w:vAlign w:val="bottom"/>
          </w:tcPr>
          <w:p>
            <w:pPr>
              <w:ind w:left="20"/>
              <w:spacing w:after="0"/>
              <w:rPr>
                <w:sz w:val="20"/>
                <w:szCs w:val="20"/>
                <w:color w:val="auto"/>
              </w:rPr>
            </w:pPr>
            <w:r>
              <w:rPr>
                <w:rFonts w:ascii="Arial" w:cs="Arial" w:eastAsia="Arial" w:hAnsi="Arial"/>
                <w:sz w:val="18"/>
                <w:szCs w:val="18"/>
                <w:color w:val="auto"/>
              </w:rPr>
              <w:t>XBRL Definition Linkbase Document</w:t>
            </w:r>
          </w:p>
        </w:tc>
      </w:tr>
      <w:tr>
        <w:trPr>
          <w:trHeight w:val="432"/>
        </w:trPr>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Pr>
          <w:p>
            <w:pPr>
              <w:ind w:left="4320"/>
              <w:spacing w:after="0"/>
              <w:rPr>
                <w:sz w:val="20"/>
                <w:szCs w:val="20"/>
                <w:color w:val="auto"/>
              </w:rPr>
            </w:pPr>
            <w:r>
              <w:rPr>
                <w:rFonts w:ascii="Arial" w:cs="Arial" w:eastAsia="Arial" w:hAnsi="Arial"/>
                <w:sz w:val="18"/>
                <w:szCs w:val="18"/>
                <w:color w:val="auto"/>
              </w:rPr>
              <w:t>28</w:t>
            </w:r>
          </w:p>
        </w:tc>
      </w:tr>
      <w:tr>
        <w:trPr>
          <w:trHeight w:val="132"/>
        </w:trPr>
        <w:tc>
          <w:tcPr>
            <w:tcW w:w="1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160" w:type="dxa"/>
            <w:vAlign w:val="bottom"/>
            <w:tcBorders>
              <w:bottom w:val="single" w:sz="8" w:color="010101"/>
            </w:tcBorders>
          </w:tcPr>
          <w:p>
            <w:pPr>
              <w:spacing w:after="0"/>
              <w:rPr>
                <w:sz w:val="11"/>
                <w:szCs w:val="11"/>
                <w:color w:val="auto"/>
              </w:rPr>
            </w:pPr>
          </w:p>
        </w:tc>
      </w:tr>
      <w:tr>
        <w:trPr>
          <w:trHeight w:val="523"/>
        </w:trPr>
        <w:tc>
          <w:tcPr>
            <w:tcW w:w="1300" w:type="dxa"/>
            <w:vAlign w:val="bottom"/>
            <w:gridSpan w:val="2"/>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1016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Pr>
          <w:p>
            <w:pPr>
              <w:ind w:left="4000"/>
              <w:spacing w:after="0"/>
              <w:rPr>
                <w:sz w:val="20"/>
                <w:szCs w:val="20"/>
                <w:color w:val="auto"/>
              </w:rPr>
            </w:pPr>
            <w:r>
              <w:rPr>
                <w:rFonts w:ascii="Arial" w:cs="Arial" w:eastAsia="Arial" w:hAnsi="Arial"/>
                <w:sz w:val="18"/>
                <w:szCs w:val="18"/>
                <w:b w:val="1"/>
                <w:bCs w:val="1"/>
                <w:color w:val="auto"/>
              </w:rPr>
              <w:t>Signatures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-2488565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-2488565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MISTRAS GROUP, INC.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Jonathan H. Wolk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 to Employment Agreement</w:t>
      </w:r>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Amendment No. 2 (“Amendment”), dated January 24, 2014, to the Employment Agreement (the “Agreement”), dated as of September 1, 2009, between Mistras Group, Inc. (the “Company”) and Sotirios J. Vahaviolos (“Mr. Vahaviolos”). Capitalized terms not otherwise defined in this Amendment shall have the meanings ascribed to them in the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Agreement provides for certain payments to Mr. Vahaviolos upon the termination of his employment by the Company without Cause or by Mr. Vahaviolos for Good Reason.</w:t>
      </w:r>
    </w:p>
    <w:p>
      <w:pPr>
        <w:spacing w:after="0" w:line="170"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The Company and Mr. Vahaviolos desire the payments to Mr. Vahaviolos if his employment is terminated, not in connection with a Change in Control, by the Company without Cause or by Mr. Vahaviolos for Good Reason, to make them consistent with the severance policy adopted by the Compensation Committee of the Company’s Board of Directors.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the Agreement</w:t>
      </w:r>
    </w:p>
    <w:p>
      <w:pPr>
        <w:spacing w:after="0" w:line="229" w:lineRule="exact"/>
        <w:rPr>
          <w:sz w:val="20"/>
          <w:szCs w:val="20"/>
          <w:color w:val="auto"/>
        </w:rPr>
      </w:pPr>
    </w:p>
    <w:p>
      <w:pPr>
        <w:ind w:right="80" w:firstLine="656"/>
        <w:spacing w:after="0" w:line="277" w:lineRule="auto"/>
        <w:tabs>
          <w:tab w:leader="none" w:pos="12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first sentence of Section 5.1(e) of the Agreement is hereby amended by replacing the phrase “an amount equal to 1.0 times the sum of” with the phrase “an amount equal to 1.5 times the sum of.”</w:t>
      </w:r>
    </w:p>
    <w:p>
      <w:pPr>
        <w:spacing w:after="0" w:line="170" w:lineRule="exact"/>
        <w:rPr>
          <w:rFonts w:ascii="Arial" w:cs="Arial" w:eastAsia="Arial" w:hAnsi="Arial"/>
          <w:sz w:val="18"/>
          <w:szCs w:val="18"/>
          <w:color w:val="auto"/>
        </w:rPr>
      </w:pPr>
    </w:p>
    <w:p>
      <w:pPr>
        <w:jc w:val="both"/>
        <w:ind w:right="180" w:firstLine="656"/>
        <w:spacing w:after="0" w:line="257" w:lineRule="auto"/>
        <w:tabs>
          <w:tab w:leader="none" w:pos="12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the end of Section 6.1 of the Agreement, clause (2) is replaced in its entirety with the following: “(2) a single sum cash payment, to be made as soon as practicable (but not more than thirty days) following termination of employment, of an amount equal to 2.0 times the sum of (i) the highest annual rate of Mr. Vahaviolos’ Base Salary at any time during the 24 months preceding the termination of his employment, and (ii) Mr. Vahaviolos’ target short term incentive award for the calendar year in which his employment terminates (or, if greater, the actual annual short term incentive award earned by Mr. Vahaviolos for the preceding calendar year).”</w:t>
      </w:r>
    </w:p>
    <w:p>
      <w:pPr>
        <w:spacing w:after="0" w:line="188" w:lineRule="exact"/>
        <w:rPr>
          <w:rFonts w:ascii="Arial" w:cs="Arial" w:eastAsia="Arial" w:hAnsi="Arial"/>
          <w:sz w:val="18"/>
          <w:szCs w:val="18"/>
          <w:color w:val="auto"/>
        </w:rPr>
      </w:pPr>
    </w:p>
    <w:p>
      <w:pPr>
        <w:ind w:right="200" w:firstLine="656"/>
        <w:spacing w:after="0" w:line="277" w:lineRule="auto"/>
        <w:tabs>
          <w:tab w:leader="none" w:pos="129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Amendment is being made pursuant to Section 19 of the Agreement and, except as expressly modified by this Amendment, all terms and conditions of the Agreement shall remain in full force and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MISTRAS GROUP,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C. Keefe</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Michael C. Keefe</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Sotirios J. Vahaviolos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3"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2014</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Sotirios J. Vahaviolos</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Jonathan H. Wolk,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3"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300" w:right="640" w:hanging="644"/>
        <w:spacing w:after="0" w:line="342" w:lineRule="auto"/>
        <w:tabs>
          <w:tab w:leader="none" w:pos="129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2014</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Jonathan H. Wolk</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February 28, 2014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April 9, 2014</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Sotirios J. Vahaviolos</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Jonathan H. Wolk</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Jonathan H. Wolk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-130810</wp:posOffset>
            </wp:positionV>
            <wp:extent cx="35077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8"/>
    </w:lvl>
  </w:abstractNum>
  <w:abstractNum w:abstractNumId="8">
    <w:nsid w:val="6B68079A"/>
    <w:multiLevelType w:val="hybridMultilevel"/>
    <w:lvl w:ilvl="0">
      <w:lvlJc w:val="left"/>
      <w:lvlText w:val="%1."/>
      <w:numFmt w:val="decimal"/>
      <w:start w:val="9"/>
    </w:lvl>
  </w:abstractNum>
  <w:abstractNum w:abstractNumId="9">
    <w:nsid w:val="4E6AFB66"/>
    <w:multiLevelType w:val="hybridMultilevel"/>
    <w:lvl w:ilvl="0">
      <w:lvlJc w:val="left"/>
      <w:lvlText w:val="(%1)"/>
      <w:numFmt w:val="lowerLetter"/>
      <w:start w:val="4"/>
    </w:lvl>
  </w:abstractNum>
  <w:abstractNum w:abstractNumId="10">
    <w:nsid w:val="25E45D32"/>
    <w:multiLevelType w:val="hybridMultilevel"/>
    <w:lvl w:ilvl="0">
      <w:lvlJc w:val="left"/>
      <w:lvlText w:val="%1."/>
      <w:numFmt w:val="decimal"/>
      <w:start w:val="11"/>
    </w:lvl>
  </w:abstractNum>
  <w:abstractNum w:abstractNumId="11">
    <w:nsid w:val="519B500D"/>
    <w:multiLevelType w:val="hybridMultilevel"/>
    <w:lvl w:ilvl="0">
      <w:lvlJc w:val="left"/>
      <w:lvlText w:val="%1."/>
      <w:numFmt w:val="decimal"/>
      <w:start w:val="12"/>
    </w:lvl>
  </w:abstractNum>
  <w:abstractNum w:abstractNumId="12">
    <w:nsid w:val="431BD7B7"/>
    <w:multiLevelType w:val="hybridMultilevel"/>
    <w:lvl w:ilvl="0">
      <w:lvlJc w:val="left"/>
      <w:lvlText w:val="%1."/>
      <w:numFmt w:val="decimal"/>
      <w:start w:val="13"/>
    </w:lvl>
  </w:abstractNum>
  <w:abstractNum w:abstractNumId="13">
    <w:nsid w:val="3F2DBA31"/>
    <w:multiLevelType w:val="hybridMultilevel"/>
    <w:lvl w:ilvl="0">
      <w:lvlJc w:val="left"/>
      <w:lvlText w:val="%1."/>
      <w:numFmt w:val="decimal"/>
      <w:start w:val="14"/>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2"/>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2019-12-07T18:32:11Z</dcterms:created>
  <dcterms:modified xsi:type="dcterms:W3CDTF">2019-12-07T18:32:11Z</dcterms:modified>
</cp:coreProperties>
</file>