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980" w:right="1880" w:hanging="3877"/>
        <w:spacing w:after="0" w:line="564"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97" w:lineRule="exact"/>
        <w:rPr>
          <w:sz w:val="24"/>
          <w:szCs w:val="24"/>
          <w:color w:val="auto"/>
        </w:rPr>
      </w:pPr>
    </w:p>
    <w:p>
      <w:pPr>
        <w:ind w:left="4220" w:right="1880" w:hanging="4081"/>
        <w:spacing w:after="0" w:line="516" w:lineRule="auto"/>
        <w:tabs>
          <w:tab w:leader="none" w:pos="37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 to __</w:t>
      </w:r>
    </w:p>
    <w:p>
      <w:pPr>
        <w:spacing w:after="0" w:line="1" w:lineRule="exact"/>
        <w:rPr>
          <w:rFonts w:ascii="Arial" w:cs="Arial" w:eastAsia="Arial" w:hAnsi="Arial"/>
          <w:sz w:val="18"/>
          <w:szCs w:val="18"/>
          <w:b w:val="1"/>
          <w:bCs w:val="1"/>
          <w:color w:val="auto"/>
        </w:rPr>
      </w:pPr>
    </w:p>
    <w:p>
      <w:pPr>
        <w:ind w:left="4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0"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0"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0"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96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62"/>
        </w:trPr>
        <w:tc>
          <w:tcPr>
            <w:tcW w:w="30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of each class</w:t>
            </w:r>
          </w:p>
        </w:tc>
        <w:tc>
          <w:tcPr>
            <w:tcW w:w="1960" w:type="dxa"/>
            <w:vAlign w:val="bottom"/>
          </w:tcPr>
          <w:p>
            <w:pPr>
              <w:ind w:left="200"/>
              <w:spacing w:after="0"/>
              <w:rPr>
                <w:sz w:val="20"/>
                <w:szCs w:val="20"/>
                <w:color w:val="auto"/>
              </w:rPr>
            </w:pPr>
            <w:r>
              <w:rPr>
                <w:rFonts w:ascii="Arial" w:cs="Arial" w:eastAsia="Arial" w:hAnsi="Arial"/>
                <w:sz w:val="18"/>
                <w:szCs w:val="18"/>
                <w:color w:val="auto"/>
              </w:rPr>
              <w:t>Trading Symbol(s)</w:t>
            </w:r>
          </w:p>
        </w:tc>
        <w:tc>
          <w:tcPr>
            <w:tcW w:w="4800" w:type="dxa"/>
            <w:vAlign w:val="bottom"/>
          </w:tcPr>
          <w:p>
            <w:pPr>
              <w:ind w:left="40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Common Stock, $0.01 par value</w:t>
            </w:r>
          </w:p>
        </w:tc>
        <w:tc>
          <w:tcPr>
            <w:tcW w:w="1960" w:type="dxa"/>
            <w:vAlign w:val="bottom"/>
          </w:tcPr>
          <w:p>
            <w:pPr>
              <w:ind w:left="200"/>
              <w:spacing w:after="0"/>
              <w:rPr>
                <w:sz w:val="20"/>
                <w:szCs w:val="20"/>
                <w:color w:val="auto"/>
              </w:rPr>
            </w:pPr>
            <w:r>
              <w:rPr>
                <w:rFonts w:ascii="Arial" w:cs="Arial" w:eastAsia="Arial" w:hAnsi="Arial"/>
                <w:sz w:val="18"/>
                <w:szCs w:val="18"/>
                <w:color w:val="auto"/>
              </w:rPr>
              <w:t>MG</w:t>
            </w:r>
          </w:p>
        </w:tc>
        <w:tc>
          <w:tcPr>
            <w:tcW w:w="4800" w:type="dxa"/>
            <w:vAlign w:val="bottom"/>
          </w:tcPr>
          <w:p>
            <w:pPr>
              <w:ind w:left="400"/>
              <w:spacing w:after="0"/>
              <w:rPr>
                <w:sz w:val="20"/>
                <w:szCs w:val="20"/>
                <w:color w:val="auto"/>
              </w:rPr>
            </w:pPr>
            <w:r>
              <w:rPr>
                <w:rFonts w:ascii="Arial" w:cs="Arial" w:eastAsia="Arial" w:hAnsi="Arial"/>
                <w:sz w:val="18"/>
                <w:szCs w:val="18"/>
                <w:color w:val="auto"/>
              </w:rPr>
              <w:t>New York Stock Exchange</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2, 2019, the registrant had 28,694,680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3"/>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2019 (unaudited) and December 31, 2018</w:t>
              </w:r>
            </w:hyperlink>
          </w:p>
        </w:tc>
        <w:tc>
          <w:tcPr>
            <w:tcW w:w="20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Income for the three and six months ended June 30, 2019 and June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Comprehensive Income for the three and six months ended June 30, 2019</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and June 30, 2018</w:t>
              </w:r>
            </w:hyperlink>
          </w:p>
        </w:tc>
        <w:tc>
          <w:tcPr>
            <w:tcW w:w="7640" w:type="dxa"/>
            <w:vAlign w:val="bottom"/>
            <w:tcBorders>
              <w:top w:val="single" w:sz="8" w:color="0000EE"/>
            </w:tcBorders>
            <w:gridSpan w:val="11"/>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Condensed Consolidated Statements of Equity for the three and six months ended June 30, 2019 and June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Unaudited Condensed Consolidated Statements of Cash Flows for the six months ended June 30, 2019 and June 30,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940" w:type="dxa"/>
            <w:vAlign w:val="bottom"/>
            <w:tcBorders>
              <w:top w:val="single" w:sz="8" w:color="0000EE"/>
            </w:tcBorders>
            <w:gridSpan w:val="4"/>
          </w:tcPr>
          <w:p>
            <w:pPr>
              <w:spacing w:after="0"/>
              <w:rPr>
                <w:sz w:val="24"/>
                <w:szCs w:val="24"/>
                <w:color w:val="auto"/>
              </w:rPr>
            </w:pPr>
          </w:p>
        </w:tc>
        <w:tc>
          <w:tcPr>
            <w:tcW w:w="3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PART II—OTHER INFORMATION</w:t>
              </w:r>
            </w:hyperlink>
          </w:p>
        </w:tc>
        <w:tc>
          <w:tcPr>
            <w:tcW w:w="804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and per share data)</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r>
      <w:tr>
        <w:trPr>
          <w:trHeight w:val="251"/>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25,544</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148,324</w:t>
            </w:r>
          </w:p>
        </w:tc>
      </w:tr>
      <w:tr>
        <w:trPr>
          <w:trHeight w:val="243"/>
        </w:trPr>
        <w:tc>
          <w:tcPr>
            <w:tcW w:w="1020" w:type="dxa"/>
            <w:vAlign w:val="bottom"/>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13,053</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197,994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202,791</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93,895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107,753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111,395</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279,259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1,930</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733,473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694,037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82,897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73,895</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3,922</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100,471</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283,787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9,075</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6,482</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422,963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$0.01 par value, 200,000,000 shares authorized, 28,685,486 and 28,562,608 shares issued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228,883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226,616</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(27,557)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270,897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271,074</w:t>
            </w: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733,473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694,037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379,423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135,063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131,084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257,480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264,872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55,083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108,945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103,228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4"/>
              </w:rPr>
              <w:t>Bad debt provision for troubled customers, net of recoveries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withdrawal expense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taxes</w:t>
            </w:r>
          </w:p>
        </w:tc>
        <w:tc>
          <w:tcPr>
            <w:tcW w:w="24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28,325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29,349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162"/>
        </w:trPr>
        <w:tc>
          <w:tcPr>
            <w:tcW w:w="4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non-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attributable to Mistras Group,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4,845</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other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8"/>
              </w:rPr>
              <w:t>Additional</w:t>
            </w:r>
          </w:p>
        </w:tc>
        <w:tc>
          <w:tcPr>
            <w:tcW w:w="180" w:type="dxa"/>
            <w:vAlign w:val="bottom"/>
          </w:tcPr>
          <w:p>
            <w:pPr>
              <w:spacing w:after="0"/>
              <w:rPr>
                <w:sz w:val="9"/>
                <w:szCs w:val="9"/>
                <w:color w:val="auto"/>
              </w:rPr>
            </w:pPr>
          </w:p>
        </w:tc>
        <w:tc>
          <w:tcPr>
            <w:tcW w:w="96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Inc.</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paid-in 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Stockholders’ 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2019</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227,790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66,260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268,910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269,096</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7,431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7,431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7,443</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3,647</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Share-based payments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1,490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1,490</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units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282"/>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June 30, 2019</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28,685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228,883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73,691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281,083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281,279</w:t>
            </w: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28,314</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223,576</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67,624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276,177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276,364</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(5,565)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(5,565)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(5,569)</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1,671</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7"/>
              </w:rPr>
              <w:t>Net settlement on vesting of restricted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80" w:type="dxa"/>
            <w:vAlign w:val="bottom"/>
          </w:tcPr>
          <w:p>
            <w:pPr>
              <w:ind w:left="40"/>
              <w:spacing w:after="0"/>
              <w:rPr>
                <w:sz w:val="20"/>
                <w:szCs w:val="20"/>
                <w:color w:val="auto"/>
              </w:rPr>
            </w:pPr>
            <w:r>
              <w:rPr>
                <w:rFonts w:ascii="Arial" w:cs="Arial" w:eastAsia="Arial" w:hAnsi="Arial"/>
                <w:sz w:val="13"/>
                <w:szCs w:val="13"/>
                <w:color w:val="auto"/>
              </w:rPr>
              <w:t>stock units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224,634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277,671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277,854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other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8"/>
              </w:rPr>
              <w:t>Additional</w:t>
            </w:r>
          </w:p>
        </w:tc>
        <w:tc>
          <w:tcPr>
            <w:tcW w:w="180" w:type="dxa"/>
            <w:vAlign w:val="bottom"/>
          </w:tcPr>
          <w:p>
            <w:pPr>
              <w:spacing w:after="0"/>
              <w:rPr>
                <w:sz w:val="9"/>
                <w:szCs w:val="9"/>
                <w:color w:val="auto"/>
              </w:rPr>
            </w:pPr>
          </w:p>
        </w:tc>
        <w:tc>
          <w:tcPr>
            <w:tcW w:w="96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Inc.</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paid-in 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Stockholders’ 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226,616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71,553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270,897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2,157</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5,780</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Share-based payments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2,916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2,917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2,917</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units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2019</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28,685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286</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228,883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73,691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281,083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281,279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18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222,425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64,716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270,618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270,791</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8,908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8,908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8,920</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Share-based payments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2,864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2,865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2,865</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units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28,374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224,634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73,624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277,671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277,854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7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2018</w:t>
            </w:r>
          </w:p>
        </w:tc>
      </w:tr>
      <w:tr>
        <w:trPr>
          <w:trHeight w:val="386"/>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8,920</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17,239</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2,829</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Bad debt provision for troubled customers, net of recoveries</w:t>
            </w:r>
          </w:p>
        </w:tc>
        <w:tc>
          <w:tcPr>
            <w:tcW w:w="2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adjustments to contingent consideration</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Foreign currency (gain) loss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4,945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4,475</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(2,613)</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property, plant and equipment</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(10,963)</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 of intangible assets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equipment</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(10,287)</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finance lease obligations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(3,109)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 of long-term debt</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long-term debt</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(1,322)</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revolver</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revolver</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(33,100)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 for business acquisitions</w:t>
            </w:r>
          </w:p>
        </w:tc>
        <w:tc>
          <w:tcPr>
            <w:tcW w:w="2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share-based awards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(655)</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(19,258)</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(13,043)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(10,011)</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27,541</w:t>
            </w: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17,530</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paid</w:t>
            </w: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3,456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7,011</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acquired through finance lease obligations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2,546</w:t>
            </w:r>
          </w:p>
        </w:tc>
      </w:tr>
    </w:tbl>
    <w:p>
      <w:pPr>
        <w:spacing w:after="0" w:line="1" w:lineRule="exact"/>
        <w:rPr>
          <w:sz w:val="20"/>
          <w:szCs w:val="20"/>
          <w:color w:val="auto"/>
        </w:rPr>
      </w:pPr>
    </w:p>
    <w:p>
      <w:pPr>
        <w:sectPr>
          <w:pgSz w:w="11900" w:h="16838" w:orient="portrait"/>
          <w:cols w:equalWidth="0" w:num="1">
            <w:col w:w="10900"/>
          </w:cols>
          <w:pgMar w:left="240" w:top="121" w:right="759" w:bottom="1440" w:gutter="0" w:footer="0" w:header="0"/>
        </w:sectPr>
      </w:pPr>
    </w:p>
    <w:p>
      <w:pPr>
        <w:jc w:val="center"/>
        <w:ind w:right="-5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6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121" w:right="75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materials and public infrastructure and commercial aerospace components.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years ending December 31, 2019 and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(“2018 Annual Report”) for the year ended December 31, 2018, dated March 15,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and 2018, there were no customers that represented 10% or more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1 — </w:t>
      </w:r>
      <w:r>
        <w:rPr>
          <w:rFonts w:ascii="Arial" w:cs="Arial" w:eastAsia="Arial" w:hAnsi="Arial"/>
          <w:sz w:val="18"/>
          <w:szCs w:val="18"/>
          <w:i w:val="1"/>
          <w:iCs w:val="1"/>
          <w:color w:val="auto"/>
        </w:rPr>
        <w:t>Summary of Significant Accounting Policies and Practices</w:t>
      </w:r>
      <w:r>
        <w:rPr>
          <w:rFonts w:ascii="Arial" w:cs="Arial" w:eastAsia="Arial" w:hAnsi="Arial"/>
          <w:sz w:val="18"/>
          <w:szCs w:val="18"/>
          <w:color w:val="auto"/>
        </w:rPr>
        <w:t xml:space="preserve"> in the 2018 Annual Report. On an ongoing basis, the Company evaluates its estimates and assumptions, including among other things, those related to revenue recognition, long-lived assets, goodwill and acquisitions. Since the date of the 2018 Annual Report, there have been no material changes to the Company's significant accounting policies, other than its adoption of the new leasing standard on January 1, 2019.</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United States enacted fundamental changes to federal tax law following the passage of the Tax Cuts and Jobs Act (the “Tax Act”). The Company’s financial statements for the periods ended June 30, 2019 and June 30, 2018 reflected provisions of the Tax Act effective for periods beginning after December 31, 2017, which includes the reduced federal corporate tax rate of from 35% to 21%, adjustments made to executive compensation and meals and entertainment rules, and the inclusion of new categories of income, global intangible low-taxes income (“GILTI”) and foreign derived intangible income (“FDII”). The Company’s effective income tax rate was approximately 37% and 29% for the three months ended June 30, 2019 and 2018, respectively. The Company's effective income tax rate was approximately 45% and 31% for the six months ended June 30, 2019 and 2018, respectively. The effective income tax rate for the second quarter and first six-months of 2019 and 2018 was higher than the statutory rate due to the impact of discrete items, GILTI and executive compensation provisions resulting from the passage of the Tax Act, foreign tax rates different than statutory rates in the U.S., and an increase in the reserve for uncertain income tax provision.</w:t>
      </w:r>
    </w:p>
    <w:p>
      <w:pPr>
        <w:spacing w:after="0" w:line="10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has completed the accounting for the adoption of the Tax Act. The amounts recorded in 2019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Given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In 2018, the Company made an accounting policy election to account for these effects under the period cost method.</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Mistras and its subsidiaries file tax returns in the U.S., including various state and local returns, and in other foreign jurisdictions. The Company believes adequate provision has been made for all income tax uncertainties.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 xml:space="preserve">In February 2016, the </w:t>
      </w:r>
      <w:r>
        <w:rPr>
          <w:rFonts w:ascii="Arial" w:cs="Arial" w:eastAsia="Arial" w:hAnsi="Arial"/>
          <w:sz w:val="16"/>
          <w:szCs w:val="16"/>
          <w:color w:val="080808"/>
        </w:rPr>
        <w:t>Financial Accounting Standards Board ("</w:t>
      </w:r>
      <w:r>
        <w:rPr>
          <w:rFonts w:ascii="Arial" w:cs="Arial" w:eastAsia="Arial" w:hAnsi="Arial"/>
          <w:sz w:val="16"/>
          <w:szCs w:val="16"/>
          <w:color w:val="auto"/>
        </w:rPr>
        <w:t xml:space="preserve">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the Company adopted as of January 1, 2019. Topic 842 requires the recognition of lease rights and obligations as assets and liabilities on the balance sheet. The Company elected the modified retrospective method permitted by the standard, upon which prior-period information has not been restated.</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standard provided for several practical expedient options for use in transition. The Company elected to utilize the “package of practical expedients,” which permits the Company not to reassess previous conclusions reached on lease identification, lease classification and initial direct costs. The Company also elected to utilize the practical expedient available to not separate lease and non-lease components within the lease and has therefore accounted for all lease components as a single lease component.</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Adoption of the new standard resulted in the recording of a right-of-use (ROU) asset and liability related to the Company’s operating leases of approximately $38 million as of January 1, 2019. The new standard did not have a material impact to our statements of income or cash flows.</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their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majority of the Company's revenues are derived from providing services on a time and material basis and are short-term in nature. The Company accounts for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was adopted on January 1, 2018.</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majority of our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is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Services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121,335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24,330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25,744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11,470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6,382</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2,399</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161,210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200,616</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Services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105,379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28,227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12,497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7,727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147,718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191,793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Services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49,085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14,614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20,535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12,551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7,615</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301,507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72,252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377,403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Services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55,815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43,131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17,038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22,674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12,926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12,778</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293,313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79,567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379,423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133,640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30,354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2,647</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161,210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37,090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200,616</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125,125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24,166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2,878</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147,718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41,111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191,793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247,742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55,513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59,301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4,760</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301,507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72,252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377,403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251,116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44,459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47,680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73,872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6,755</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293,313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79,567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379,423</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condensed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our customers before revenue is recognized, resulting in contract liabilities. These assets and liabilities are aggregated on an individual contract basis and reported on the condensed consolidated balance sheet at the end of each reporting period within accrued expenses and other current liabilities.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recognized in 2019, that was included in the contract liability balance at the beginning of the year was $2.7 million. Changes in the contract asset and liability balances during the quarter ended June 30, 2019,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31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(the "2016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three and six months ended June 30, 2019 and 2018, the Company did not recognize any share-based compensation expense related to stock option awards, as all outstanding stock options awards are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stock option activity, weighted average exercise prices and options outstanding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2018</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14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center"/>
              <w:ind w:right="21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2,094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three months ended June 30, 2019 and June 30, 2018, the Company recognized share-based compensation expense related to restricted stock unit awards of $1.1 million and $1.2 million, respectively. For the six months ended June 30, 2019 and June 30, 2018, the Company recognized share-based compensation expense related to restricted stock unit awards of $2.0 million and $2.0 million, respectively. As of June 30, 2019, there was $8.8 million of unrecognized compensation costs, net of estimated forfeitures, related to restricted stock unit awards, which is expected to be recognized over a remaining weighted average period of 2.7 years.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 vested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 of awards vested</w:t>
            </w:r>
          </w:p>
        </w:tc>
        <w:tc>
          <w:tcPr>
            <w:tcW w:w="1020" w:type="dxa"/>
            <w:vAlign w:val="bottom"/>
          </w:tcPr>
          <w:p>
            <w:pPr>
              <w:jc w:val="right"/>
              <w:ind w:right="84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704</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vesting, restricted stock units are generally net share-settled to cover the required minimum withholding tax and the remaining amount is converted into an equivalent number of shares of common stock.</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 summary of the fully-vested common stock the Company issued to its five non-employee directors, in connection with its non-employee director compensation plan,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issued</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 date fair value of awards issued</w:t>
            </w:r>
          </w:p>
        </w:tc>
        <w:tc>
          <w:tcPr>
            <w:tcW w:w="1080" w:type="dxa"/>
            <w:vAlign w:val="bottom"/>
          </w:tcPr>
          <w:p>
            <w:pPr>
              <w:jc w:val="right"/>
              <w:ind w:right="90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379"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Grant-Date</w:t>
            </w:r>
          </w:p>
        </w:tc>
        <w:tc>
          <w:tcPr>
            <w:tcW w:w="15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443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532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10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379"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Grant-Date</w:t>
            </w:r>
          </w:p>
        </w:tc>
        <w:tc>
          <w:tcPr>
            <w:tcW w:w="15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277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six months ended June 30, 2019 and June 30, 2018, the Compensation Committee approved the final calculation of the award metrics for calendar year 2018 and calendar year 2017, respectively. As a result, the calendar year 2018 PRSUs decreased by approximately 3,000 units and the calendar year 2017 PRSUs increased by approximately 4,000 units. There was a decrease of approximately 8,000 units for the six months ended June 30, 2018 based on forecasted results for calendar year 2018. These adjustments comprise the performance condition adjustments for the six months ended June 30, 2018 noted above.</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2019,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three months ended June 30, 2019 and June 30, 2018, the Company recognized aggregate share-based compensation expense related to the awards described above of approximately $0.4 million and $0.5 million, respectively. For the six months ended June 30, 2019 and June 30, 2018, the Company recognized aggregate share-based compensation expense related to the awards described above of approximately $0.7 million and $0.6 million, respectively. At June 30, 2019, there was $3.7 million of total unrecognized compensation costs related to approximately 387,000 non-vested PRSUs, which is expected to be recognized over a remaining weighted average period of 2.6 years.</w:t>
      </w:r>
    </w:p>
    <w:p>
      <w:pPr>
        <w:spacing w:after="0" w:line="200" w:lineRule="exact"/>
        <w:rPr>
          <w:sz w:val="20"/>
          <w:szCs w:val="20"/>
          <w:color w:val="auto"/>
        </w:rPr>
      </w:pPr>
    </w:p>
    <w:p>
      <w:pPr>
        <w:spacing w:after="0" w:line="320"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2018</w:t>
            </w:r>
          </w:p>
        </w:tc>
      </w:tr>
      <w:tr>
        <w:trPr>
          <w:trHeight w:val="121"/>
        </w:trPr>
        <w:tc>
          <w:tcPr>
            <w:tcW w:w="47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28,325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8,908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28,325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0.30</w:t>
            </w:r>
          </w:p>
        </w:tc>
      </w:tr>
    </w:tbl>
    <w:p>
      <w:pPr>
        <w:spacing w:after="0" w:line="200" w:lineRule="exact"/>
        <w:rPr>
          <w:sz w:val="20"/>
          <w:szCs w:val="20"/>
          <w:color w:val="auto"/>
        </w:rPr>
      </w:pPr>
    </w:p>
    <w:p>
      <w:pPr>
        <w:spacing w:after="0" w:line="241"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 and June 30, 2018, the Company did not complete any acquisitions.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accounts for acquisitions in accordance with the acquisition method of accounting for business combinations. The assets and liabilities of the one business acquired in the fourth quarter of 2018 was included in the Company's condensed consolidated balance sheet based upon its estimated fair value on the date of acquisition as determined in a preliminary purchase price allocation, using available information and making assumptions management believed were reasonable. The Company is still in the process of completing its valuation of the assets, both tangible and intangible, and liabilities acquired for the acquisition completed during 2018. The results of operations for this acquisition have been included in the Services segment's results from the date of acquisition. Goodwill of $83.2 million primarily relates to expected synergies and the assembled workforce, and is not deductible for tax purposes. Other intangible assets, primarily related to technology, customer relationships and covenants not to compete, were $59.6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and six months ended June 30, 2019 and 2018:</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Due diligence, professional fees and other transaction costs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4"/>
              </w:rPr>
              <w:t>Adjustments to fair value of contingent consideration liabilities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(1,360)</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contingent consideration liabilities are recorded on the balance sheet in accrued expenses and other liabilities.</w:t>
      </w:r>
    </w:p>
    <w:p>
      <w:pPr>
        <w:spacing w:after="0" w:line="200" w:lineRule="exact"/>
        <w:rPr>
          <w:sz w:val="20"/>
          <w:szCs w:val="20"/>
          <w:color w:val="auto"/>
        </w:rPr>
      </w:pPr>
    </w:p>
    <w:p>
      <w:pPr>
        <w:spacing w:after="0" w:line="237"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121"/>
        </w:trPr>
        <w:tc>
          <w:tcPr>
            <w:tcW w:w="8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had $25.6 million and $16.1 million of unbilled revenues accrued as of June 30, 2019 and December 31, 2018, respectively, and such amounts are included within the trade accounts receivable balances above. Unbilled revenues are generally billed in the subsequent quarter to their revenue recognition.</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fourth quarter of 2018, the Company recorded a reserve of $0.7 million for a renewable energy industry customer, based in part on the available information about the financial difficulties of the customer. This customer filed for a voluntary insolvency proceeding on April 9, 2019 at which time payments under the previously agreed upon payment plan ceased. As a result, during the first quarter of 2019, the Company recorded an additional charge of $5.7 million to fully reserve for the amount of the exposure related to this customer. During the second quarter, the Company reversed $1.0 million of this reserve based on additional information obtained during the quarter.</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first six months of 2019, the Company sold to an unaffiliated third party, without recourse, its remaining outstanding receivables in an unrelated bankruptcy proceeding, which the Company had initially recorded as a charge during the second quarter of 2017. During the first quarter of 2019, the Company recorded a recovery of $0.2 million and during the six months ending June 30, 2019, the Company recorded a recovery $1.9 million, related to a bad debt provision related to this customer.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4"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4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9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218,281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208,245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251,433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(157,538)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95,442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93,895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three months ended June 30, 2019 and June 30, 2018 was approximately $6.1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six months ended June 30, 2019 and June 30, 2018 was approximately $12.2 million.</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279,259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3,758</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247,439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35,578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283,017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June 30, 2019, the Company did not identify any changes in circumstances that would indicate the carrying value of goodwill may not be recoverable.</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cumulative goodwill impairment as of June 30, 2019 and December 31, 2018 was $23.1 million, of which $13.2 million related to the Products and Systems segment and $9.9 million related to the International segment.</w:t>
      </w:r>
    </w:p>
    <w:p>
      <w:pPr>
        <w:spacing w:after="0" w:line="166"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51,631</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70,348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54,452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67,240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53,921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107,753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202,774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111,395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June 30, 2019 and June 30, 2018 was approximately $3.5 million and $2.5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2019 and June 30, 2018 was approximately $7.1 million and $5.0 million, respectively.</w:t>
      </w:r>
    </w:p>
    <w:p>
      <w:pPr>
        <w:spacing w:after="0" w:line="200" w:lineRule="exact"/>
        <w:rPr>
          <w:sz w:val="20"/>
          <w:szCs w:val="20"/>
          <w:color w:val="auto"/>
        </w:rPr>
      </w:pPr>
    </w:p>
    <w:p>
      <w:pPr>
        <w:spacing w:after="0" w:line="237" w:lineRule="exact"/>
        <w:rPr>
          <w:sz w:val="20"/>
          <w:szCs w:val="20"/>
          <w:color w:val="auto"/>
        </w:rPr>
      </w:pPr>
    </w:p>
    <w:p>
      <w:pPr>
        <w:ind w:left="780" w:hanging="772"/>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accrual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Right-of-use liability - operating</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82,897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73,895</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75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75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2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Senior secured term loan, net of debt issuance costs of $0.1 million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97,407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99,897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rPr>
              <w:t>Other</w:t>
            </w:r>
          </w:p>
        </w:tc>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290,620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283,787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Company's revolving credit agreement with its banking group ("Credit Agreement") provides the Company with a $300 million revolving line of credit, which, under certain circumstances, can be increased to $450 million with the approval of the banks. In addition, the Credit Agreement provided the Company with a $100 million senior secured term loan A facility. Both the revolving line of credit and the term loan A facility under the Credit Agreement have a maturity date of December 12, 2023. The Company may borrow up to $100 million in non-U.S. Dollar currencies and use up to $20 million of the credit limit for the issuance of letters of credit. As of June 30, 2019, the Company had borrowings of $261.8 million and a total of $5.4 million of letters of credit outstanding under the Credit Agreement. The Company has capitalized costs associated with debt modifications of $1.0 million as of June 30, 2019, which is included in other long-term assets within the accompanying condensed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Loans under the Credit Agreement bear interest at the London Interbank Offered Rate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no greater than 4.25 to 1 through December 31, 2018, reducing to a maximum permitted ratio of 4.0 to 1 as of March 31, 2019 to September 30, 2019, a maximum permitted ratio of 3.75 to 1 as of December 31, 2019 and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the Company's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June 30, 2019, the Company was in compliance with the terms of the Credit Agreement and will continuously monitor its compliance with the covenants contained in its Credit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certain of its acquisitions, the Company issued subordinated notes payable to the sellers. The maturity of the notes remain outstanding through June 30, 2019 and bear interest at the prime rate for the Bank of Canada, currently 3.95% as of June 30, 2019. The balance outstanding at June 30, 2019 was paid in July 2019. Interest expense is recorded in the condensed consolidated statements of income.</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Company's other debt includes local bank financing provided at the local subsidiary levels used to support working capital requirements and fund capital expenditures. At June 30, 2019, there was approximately $8.6 million outstanding, payable at various times from 2019 to 2029. Monthly payments range from $1 thousand to $17 thousand. Interest rates range from 0.4% to 6.2% and is recorded in the condensed consolidated statements of income.</w:t>
      </w:r>
    </w:p>
    <w:p>
      <w:pPr>
        <w:spacing w:after="0" w:line="143"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Accretion of liability</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Revaluation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2,907</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our leases include one or more options to renew. When it is reasonably certain that we will exercise the option, we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 includes the following related to operating leases: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Leases</w:t>
            </w:r>
          </w:p>
        </w:tc>
        <w:tc>
          <w:tcPr>
            <w:tcW w:w="120" w:type="dxa"/>
            <w:vAlign w:val="bottom"/>
            <w:vMerge w:val="restart"/>
          </w:tcPr>
          <w:p>
            <w:pPr>
              <w:spacing w:after="0"/>
              <w:rPr>
                <w:sz w:val="16"/>
                <w:szCs w:val="16"/>
                <w:color w:val="auto"/>
              </w:rPr>
            </w:pPr>
          </w:p>
        </w:tc>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74"/>
        </w:trPr>
        <w:tc>
          <w:tcPr>
            <w:tcW w:w="33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432"/>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liability - current</w:t>
            </w: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43"/>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Right-of-use liability - long term</w:t>
            </w: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33,030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right-of-use liabilities</w:t>
            </w:r>
          </w:p>
        </w:tc>
        <w:tc>
          <w:tcPr>
            <w:tcW w:w="6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42,605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is approximately $4.9 million as of June 30, 2019 and total rent payments made during the three and six months ended June 30, 2019 were approximately $0.2 million and $0.5 million, respectively.</w:t>
      </w:r>
    </w:p>
    <w:p>
      <w:pPr>
        <w:spacing w:after="0" w:line="10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June 30, 2019, the total ROU assets attributable to finance leases is approximately $15.0 million, which is classified within Property, Plant, &amp; Equipment on the accompanying condensed consolidated balance sheet.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340" w:type="dxa"/>
            <w:vAlign w:val="bottom"/>
          </w:tcPr>
          <w:p>
            <w:pPr>
              <w:spacing w:after="0"/>
              <w:rPr>
                <w:sz w:val="16"/>
                <w:szCs w:val="16"/>
                <w:color w:val="auto"/>
              </w:rPr>
            </w:pPr>
          </w:p>
        </w:tc>
        <w:tc>
          <w:tcPr>
            <w:tcW w:w="1260" w:type="dxa"/>
            <w:vAlign w:val="bottom"/>
          </w:tcPr>
          <w:p>
            <w:pPr>
              <w:jc w:val="right"/>
              <w:ind w:right="453"/>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Finance lease expense</w:t>
            </w:r>
          </w:p>
        </w:tc>
        <w:tc>
          <w:tcPr>
            <w:tcW w:w="4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Amortization of ROU assets</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Interest on lease liabilities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of goods sold or Selling, General &amp; Administrative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Costs of goods sold or Selling, General &amp; Administrative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of goods sold or Selling, General &amp; Administrative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w:t>
            </w:r>
          </w:p>
        </w:tc>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60" w:type="dxa"/>
            <w:vAlign w:val="bottom"/>
            <w:vMerge w:val="restart"/>
          </w:tcPr>
          <w:p>
            <w:pPr>
              <w:ind w:left="2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 for finance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2,411</w:t>
            </w:r>
          </w:p>
        </w:tc>
      </w:tr>
      <w:tr>
        <w:trPr>
          <w:trHeight w:val="243"/>
        </w:trPr>
        <w:tc>
          <w:tcPr>
            <w:tcW w:w="8120" w:type="dxa"/>
            <w:vAlign w:val="bottom"/>
          </w:tcPr>
          <w:p>
            <w:pPr>
              <w:ind w:left="300"/>
              <w:spacing w:after="0"/>
              <w:rPr>
                <w:sz w:val="20"/>
                <w:szCs w:val="20"/>
                <w:color w:val="auto"/>
              </w:rPr>
            </w:pPr>
            <w:r>
              <w:rPr>
                <w:rFonts w:ascii="Arial" w:cs="Arial" w:eastAsia="Arial" w:hAnsi="Arial"/>
                <w:sz w:val="18"/>
                <w:szCs w:val="18"/>
                <w:color w:val="auto"/>
              </w:rPr>
              <w:t>Finance - operating cash flows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380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6,196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ROU assets obtained in the exchange for lease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2,887</w:t>
            </w:r>
          </w:p>
        </w:tc>
      </w:tr>
      <w:tr>
        <w:trPr>
          <w:trHeight w:val="243"/>
        </w:trPr>
        <w:tc>
          <w:tcPr>
            <w:tcW w:w="812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8,962</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6.0</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12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608"/>
        </w:trPr>
        <w:tc>
          <w:tcPr>
            <w:tcW w:w="8120" w:type="dxa"/>
            <w:vAlign w:val="bottom"/>
          </w:tcPr>
          <w:p>
            <w:pPr>
              <w:spacing w:after="0"/>
              <w:rPr>
                <w:sz w:val="20"/>
                <w:szCs w:val="20"/>
                <w:color w:val="auto"/>
              </w:rPr>
            </w:pPr>
            <w:r>
              <w:rPr>
                <w:rFonts w:ascii="Arial" w:cs="Arial" w:eastAsia="Arial" w:hAnsi="Arial"/>
                <w:sz w:val="18"/>
                <w:szCs w:val="18"/>
                <w:color w:val="auto"/>
              </w:rPr>
              <w:t>Maturities of lease liabilities as of June 30, 2019 were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34"/>
        </w:trPr>
        <w:tc>
          <w:tcPr>
            <w:tcW w:w="8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Finance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of 2019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10,759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6,110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15,104</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Present value discount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(8,988)</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13,506</w:t>
            </w:r>
          </w:p>
        </w:tc>
        <w:tc>
          <w:tcPr>
            <w:tcW w:w="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42,605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2018 Annual Report, the following table presents the Company’s future minimum operating lease commitments as of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2022</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45,762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21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0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4"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Company was a defendant in a lawsuit, </w:t>
      </w:r>
      <w:r>
        <w:rPr>
          <w:rFonts w:ascii="Arial" w:cs="Arial" w:eastAsia="Arial" w:hAnsi="Arial"/>
          <w:sz w:val="17"/>
          <w:szCs w:val="17"/>
          <w:i w:val="1"/>
          <w:iCs w:val="1"/>
          <w:color w:val="auto"/>
        </w:rPr>
        <w:t>Triumph Aerostructures, LLC d/b/a Triumph Aerostructures-Vought Aircraft Division v. Mistras Group, Inc</w:t>
      </w:r>
      <w:r>
        <w:rPr>
          <w:rFonts w:ascii="Arial" w:cs="Arial" w:eastAsia="Arial" w:hAnsi="Arial"/>
          <w:sz w:val="17"/>
          <w:szCs w:val="17"/>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Mistras subsequently obtained ownership of the underlying ultrasonic inspection components. A charge for $1.6 million was recorded in 2017 and payment was made in February 2018.</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Company vehicle was involved in an accident in which individuals were injured, property was damaged, and businesses allegedly impacted by the accident have claimed economic losses. One lawsuit has been filed by one of the injured individuals in the U.S. District Court for the District of Colorado, McAllister v. Mistras Group, Inc. The Company has insurance for these types of matters. Most of the claims have been settled, including the claims covered by the McAllister case, and the two remaining unresolved claims are for economic loss and property damage only, and all of the claims, including the two that have not yet been resolved, will be fully covered by the Company's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In addition, in 2018, the California Department of Toxic Substances Control notified the owner of the property that it will be performing an additional investigation at the property. At this time, the Company is unable to determine whether it has any liability in connection with this matter and if so, the amount or range of any such liability, and accordingly, has not established any accruals for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three and six months ended June 30, 2019 for this potential withdrawal liability. The balance of the estimated total amount of this potential liability as of June 30, 2019 is approximately $4.0 million, which is net of $2.4 million of payments made to one of the pension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third quarter of 2018, the Company recorded approximately $1.2 million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June 30, 2019.</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 beginning in 2019. Due to the cap on the length of service allowed under the German Labor Lease Act, employees will have to be transitioned off the customer contracts. It is expected that the German subsidiary then will either terminate these employees, creating a severance obligation to the terminated employees, or transition them to the Company's other customers. As of June 30, 2019, the Company estimated approximately $1.4 million in severance payment obligations, which takes into account the Company's estimate with respect to the employees that would be transitioned to the German subsidiaries' other customers and is net of $0.1 million in payments and $0.1 million in reversals due to employees being transitioned to customer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June 30, 2019, total potential acquisition-related contingent consideration ranged from zero to approximately $5.6 million and would be payable upon the achievement of specific performance metrics by certain of the acquired companies over the next year. See Note 5 -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third quarter of 2018, the Company sold a subsidiary in the Products and Systems segment. As part of the sale, the Company entered into a three-year agreement to purchase products from the buyer, with a cumulative commitment of $2.3 million, of which $1.7 million is remaining as of June 30, 2019. The agreement is based on third party pricing and the Company's planned purchase requirements over the three year purchase period to meet the minimum contractual purchases.</w:t>
      </w:r>
    </w:p>
    <w:p>
      <w:pPr>
        <w:spacing w:after="0" w:line="183"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180" w:hanging="484"/>
        <w:spacing w:after="0" w:line="286" w:lineRule="auto"/>
        <w:tabs>
          <w:tab w:leader="none" w:pos="897"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followed by Canada, consisting primarily of NDT and inspection and engineering services that are used to evaluate the safety, structural integrity and reliability of critical energy, industrial and public infrastructure and commercial aerospace components.</w:t>
      </w:r>
    </w:p>
    <w:p>
      <w:pPr>
        <w:spacing w:after="0" w:line="165" w:lineRule="exact"/>
        <w:rPr>
          <w:rFonts w:ascii="Arial" w:cs="Arial" w:eastAsia="Arial" w:hAnsi="Arial"/>
          <w:sz w:val="17"/>
          <w:szCs w:val="17"/>
          <w:i w:val="1"/>
          <w:iCs w:val="1"/>
          <w:color w:val="auto"/>
        </w:rPr>
      </w:pPr>
    </w:p>
    <w:p>
      <w:pPr>
        <w:ind w:left="1140" w:right="80" w:hanging="484"/>
        <w:spacing w:after="0" w:line="264"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54" w:lineRule="exact"/>
        <w:rPr>
          <w:sz w:val="20"/>
          <w:szCs w:val="20"/>
          <w:color w:val="auto"/>
        </w:rPr>
      </w:pPr>
    </w:p>
    <w:p>
      <w:pPr>
        <w:ind w:left="1140" w:right="380" w:hanging="484"/>
        <w:spacing w:after="0" w:line="277" w:lineRule="auto"/>
        <w:tabs>
          <w:tab w:leader="none" w:pos="89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293,313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72,252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79,567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(5,027)</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379,423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74,837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23,396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3,375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4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4,541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17,239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595"/>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98,362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11,143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111,395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523,506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152,929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146,535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11,732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733,473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694,037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Footnote 2 -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revenues by geographic area for the three and six months ended June 30, 2019 and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Repurchase of Common Stock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Company's Board of Directors approved a $50 million stock repurchase plan in 2015. The Company retired all its repurchased shares during the fourth quarter of 2017. There were no repurchases of common stock during the six months ended June 30, 2019, and the Board of Directors approved the termination of the stock repurchase plan effective on April 1,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and six months ended June 30, 2019 and June 30, 2018.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2018, dated March 15, 2019 (“2018 Annual Report”). Unless otherwise specified or the context otherwise requires, “Mistras,” “the Company,” “we,” “us” and “our” refer to Mistras Group, Inc. and its consolidated subsidiaries. The MD&amp;A includes disclosure in the following areas:</w:t>
      </w:r>
    </w:p>
    <w:p>
      <w:pPr>
        <w:spacing w:after="0" w:line="220"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2018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offer our customers “OneSource for Asset Protection Solutions®” and are a leading global provider of technology-enabled asset protection solutions used to evaluate the safety, structural integrity and reliability of critical energy, industrial and public infrastructure, and commercial aerospace components.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 We deliver value through a comprehensive “OneSource” portfolio of customized solutions, utilizing a proven systematic method that creates a closed-loop lifecycle for addressing continuous asset protection and improvement.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specialized asset protection solutions include:</w:t>
      </w:r>
    </w:p>
    <w:p>
      <w:pPr>
        <w:spacing w:after="0" w:line="225"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Field Inspections</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Consulting</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Monitoring</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Quality Assurance/Control (QA/QC)</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OneSource model emphasizes the integration of these solutions to service our customers throughout their assets’ lifetimes. Under this business model, many customers outsource their inspection and other asset protection needs to us on a “run-and maintain” basis to ensure the continued safety and structural and operational integrity of their assets.</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have established long-term relationships as a critical solutions provider to many of the leading companies with assetintensive infrastructure in our target markets. These markets include:</w:t>
      </w:r>
    </w:p>
    <w:p>
      <w:pPr>
        <w:spacing w:after="0" w:line="170"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Oil &amp; Gas (Downstream, Midstream, Upstream and Petrochemical)</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Generation and Transmission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Infrastructure, Research and Engineering</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Process Industries</w:t>
      </w:r>
    </w:p>
    <w:p>
      <w:pPr>
        <w:spacing w:after="0" w:line="21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Due to these trends, we believe those vendors offering integrated solutions, scalable operations skilled personnel and a global footprint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25" w:lineRule="exact"/>
        <w:rPr>
          <w:sz w:val="20"/>
          <w:szCs w:val="20"/>
          <w:color w:val="auto"/>
        </w:rPr>
      </w:pPr>
    </w:p>
    <w:p>
      <w:pPr>
        <w:ind w:left="740" w:right="140" w:hanging="246"/>
        <w:spacing w:after="0" w:line="286" w:lineRule="auto"/>
        <w:tabs>
          <w:tab w:leader="none" w:pos="7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provides asset protection solutions predominantly in North America with the largest concentration in the United States, followed by</w:t>
      </w:r>
      <w:r>
        <w:rPr>
          <w:rFonts w:ascii="Arial" w:cs="Arial" w:eastAsia="Arial" w:hAnsi="Arial"/>
          <w:sz w:val="17"/>
          <w:szCs w:val="17"/>
          <w:i w:val="1"/>
          <w:iCs w:val="1"/>
          <w:color w:val="auto"/>
        </w:rPr>
        <w:t xml:space="preserve"> </w:t>
      </w:r>
      <w:r>
        <w:rPr>
          <w:rFonts w:ascii="Arial" w:cs="Arial" w:eastAsia="Arial" w:hAnsi="Arial"/>
          <w:sz w:val="17"/>
          <w:szCs w:val="17"/>
          <w:color w:val="auto"/>
        </w:rPr>
        <w:t>Canada, consisting primarily of NDT and inspection, mechanical and engineering services that are used to evaluate the safety, structural integrity and reliability of critical energy, industrial and public infrastructure and commercial aerospace components.</w:t>
      </w:r>
    </w:p>
    <w:p>
      <w:pPr>
        <w:spacing w:after="0" w:line="165" w:lineRule="exact"/>
        <w:rPr>
          <w:rFonts w:ascii="Arial" w:cs="Arial" w:eastAsia="Arial" w:hAnsi="Arial"/>
          <w:sz w:val="17"/>
          <w:szCs w:val="17"/>
          <w:i w:val="1"/>
          <w:iCs w:val="1"/>
          <w:color w:val="auto"/>
        </w:rPr>
      </w:pPr>
    </w:p>
    <w:p>
      <w:pPr>
        <w:jc w:val="both"/>
        <w:ind w:left="740" w:right="180" w:hanging="246"/>
        <w:spacing w:after="0" w:line="264" w:lineRule="auto"/>
        <w:tabs>
          <w:tab w:leader="none" w:pos="7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our Services and Products and Systems segments to select markets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i w:val="1"/>
          <w:iCs w:val="1"/>
          <w:color w:val="auto"/>
        </w:rPr>
      </w:pPr>
    </w:p>
    <w:p>
      <w:pPr>
        <w:ind w:left="740" w:right="500" w:hanging="246"/>
        <w:spacing w:after="0" w:line="277" w:lineRule="auto"/>
        <w:tabs>
          <w:tab w:leader="none" w:pos="7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our asset protection products and systems, including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predominantly in the United States.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Most of our revenues are generated by deploying technicians at our customers' locations. However, the majority of our revenues from aerospace and certain manufacturing clients are generated by performing inspections and testing at our various in-house laboratories.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We believe these actions, including the acquisitions made will enhance our advantages over our competition.</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Onstream acquisition, which was completed in December 2018, helps support many of our Corporate initiatives. Onstream's strong presence in inline inspection provides us with a strong foundation within the midstream oil and gas market, which is an important piece of our overall growth strategy. We expect to generate new business opportunities through introduction of our inline inspection capabilities to existing midstream customers. The acquisition of Onstream also provides us with an additional digital solution for our customers, the Streamview™ software, which is an innovative application of advanced digital technology.</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the following represent key dynamics of the asset protection industry, and that the market available to us will continue to grow as these macro-market trends continue to develop:</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Extending the Useful Life of Aging Infrastructure While Increasing Utilization</w:t>
      </w:r>
      <w:r>
        <w:rPr>
          <w:rFonts w:ascii="Arial" w:cs="Arial" w:eastAsia="Arial" w:hAnsi="Arial"/>
          <w:sz w:val="17"/>
          <w:szCs w:val="17"/>
          <w:color w:val="auto"/>
        </w:rPr>
        <w:t>. Due to the prohibitive costs and challenges of building new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many companies have chosen to extend the useful life of existing assets through enhancements, rather than replacing these assets. This has resulted in the significant aging and increased utilization of existing infrastructure in our target markets. Increasing demand for refined petroleum products, combined with high plant-utilization rates, are driving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Outsourcing of Non-Core Activities and Technical Resource Constraints</w:t>
      </w:r>
      <w:r>
        <w:rPr>
          <w:rFonts w:ascii="Arial" w:cs="Arial" w:eastAsia="Arial" w:hAnsi="Arial"/>
          <w:sz w:val="18"/>
          <w:szCs w:val="18"/>
          <w:color w:val="auto"/>
        </w:rPr>
        <w:t>. Due to the increasing sophistication and automation of NDT programs, a decreasing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skilled professionals and increasing governmental regulations, companies are increasingly outsourcing NDT to third-party providers with advanced solution portfolios, engineering expertise and trained workforces.</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Increasing Corrosion from Low-Quality Inputs</w:t>
      </w:r>
      <w:r>
        <w:rPr>
          <w:rFonts w:ascii="Arial" w:cs="Arial" w:eastAsia="Arial" w:hAnsi="Arial"/>
          <w:sz w:val="16"/>
          <w:szCs w:val="16"/>
          <w:color w:val="auto"/>
        </w:rPr>
        <w:t>. The increased availability and low cost of crude oil from areas such as shale plays and oil sands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led to the use of lower-grade raw materials and feedstock. This leads to higher rates of corrosion, especially in refining processes involving petroleum with higher sulfur content, which in turn increases the need for asset protection solutions to detect and/or proactively prevent corrosion-related issues.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Increasing Use of Advanced Materials</w:t>
      </w:r>
      <w:r>
        <w:rPr>
          <w:rFonts w:ascii="Arial" w:cs="Arial" w:eastAsia="Arial" w:hAnsi="Arial"/>
          <w:sz w:val="18"/>
          <w:szCs w:val="18"/>
          <w:color w:val="auto"/>
        </w:rPr>
        <w:t>. Customers in various of our target markets, particularly aerospace and defense, are increasingly utilizing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demand for these advanced materials during the design, manufacturing, operating and quality control phases.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Meeting Safety Regulations</w:t>
      </w:r>
      <w:r>
        <w:rPr>
          <w:rFonts w:ascii="Arial" w:cs="Arial" w:eastAsia="Arial" w:hAnsi="Arial"/>
          <w:sz w:val="17"/>
          <w:szCs w:val="17"/>
          <w:color w:val="auto"/>
        </w:rPr>
        <w:t>. Owners and operators of refineries, pipelines and petrochemical and chemical plants increasingly face strict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 reliable asset protection suppliers with a track record of assisting organizations in meeting increasingly stringent regulations. Our customers benefit from MISTRAS’ extensive engineering consulting base that supports them in devising mechanical integrity programs that both meet regulatory compliance standards and enable enhanced safety and uptime at their facilities.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Expanding Addressable End-Markets</w:t>
      </w:r>
      <w:r>
        <w:rPr>
          <w:rFonts w:ascii="Arial" w:cs="Arial" w:eastAsia="Arial" w:hAnsi="Arial"/>
          <w:sz w:val="18"/>
          <w:szCs w:val="18"/>
          <w:color w:val="auto"/>
        </w:rPr>
        <w:t>. The continued emergence of and advances in asset protection technologies and software based systems are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demand for asset protection solutions in applications where existing techniques were previously ineffective.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Expanding Aerospace Industry</w:t>
      </w:r>
      <w:r>
        <w:rPr>
          <w:rFonts w:ascii="Arial" w:cs="Arial" w:eastAsia="Arial" w:hAnsi="Arial"/>
          <w:sz w:val="16"/>
          <w:szCs w:val="16"/>
          <w:color w:val="auto"/>
        </w:rPr>
        <w:t>. We believe that increased demand will continue to come from the aerospace industry due to the approximately decade-long</w:t>
      </w:r>
      <w:r>
        <w:rPr>
          <w:rFonts w:ascii="Arial" w:cs="Arial" w:eastAsia="Arial" w:hAnsi="Arial"/>
          <w:sz w:val="16"/>
          <w:szCs w:val="16"/>
          <w:i w:val="1"/>
          <w:iCs w:val="1"/>
          <w:color w:val="auto"/>
        </w:rPr>
        <w:t xml:space="preserve"> </w:t>
      </w:r>
      <w:r>
        <w:rPr>
          <w:rFonts w:ascii="Arial" w:cs="Arial" w:eastAsia="Arial" w:hAnsi="Arial"/>
          <w:sz w:val="16"/>
          <w:szCs w:val="16"/>
          <w:color w:val="auto"/>
        </w:rPr>
        <w:t>backlog for next-generation commercial aircraft to be built, driving the need for advanced solutions that drive cost and quality efficiencies.</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Crude Oil Prices. W</w:t>
      </w:r>
      <w:r>
        <w:rPr>
          <w:rFonts w:ascii="Arial" w:cs="Arial" w:eastAsia="Arial" w:hAnsi="Arial"/>
          <w:sz w:val="17"/>
          <w:szCs w:val="17"/>
          <w:color w:val="auto"/>
        </w:rPr>
        <w:t>e believe that this present range for crude oil prices is expected to persist for the foreseeable future. As a result, we expect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stable oil and gas customer spend for inspection services throughout the remainder of the year, with spending on maintenance shutdowns in 2019 to remain steady. This demand will be balanced against our continued focus on process efficiencies and cost savings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6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the non-GAAP financial measures of other companies.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1" w:right="3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2019 and June 30,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8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200,616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377,403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379,423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60,071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55,083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108,945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103,228</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44,652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44,779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97,922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86,526</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16,702</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7,106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3,686</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13,016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4,096</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8,920</w:t>
            </w:r>
          </w:p>
        </w:tc>
      </w:tr>
      <w:tr>
        <w:trPr>
          <w:trHeight w:val="229"/>
        </w:trPr>
        <w:tc>
          <w:tcPr>
            <w:tcW w:w="4500" w:type="dxa"/>
            <w:vAlign w:val="bottom"/>
          </w:tcPr>
          <w:p>
            <w:pPr>
              <w:ind w:left="180"/>
              <w:spacing w:after="0"/>
              <w:rPr>
                <w:sz w:val="20"/>
                <w:szCs w:val="20"/>
                <w:color w:val="auto"/>
              </w:rPr>
            </w:pPr>
            <w:r>
              <w:rPr>
                <w:rFonts w:ascii="Arial" w:cs="Arial" w:eastAsia="Arial" w:hAnsi="Arial"/>
                <w:sz w:val="18"/>
                <w:szCs w:val="18"/>
                <w:color w:val="auto"/>
                <w:w w:val="95"/>
              </w:rPr>
              <w:t>Less: net income attributable to non-controlling interests,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260" w:type="dxa"/>
            <w:vAlign w:val="bottom"/>
          </w:tcPr>
          <w:p>
            <w:pPr>
              <w:spacing w:after="0"/>
              <w:rPr>
                <w:sz w:val="20"/>
                <w:szCs w:val="20"/>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8,908</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Revenues for the three months ended June 30, 2019 were $200.6 million, an increase of $8.8 million, or 5%, compared with the three months ended June 30, 2018. Revenues for the six months ended June 30, 2019 were $377.4 million, a decrease of $2.0 million, or 1%, compared with the six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six months ended June 30, 2019 and June 30,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293,313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72,252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79,567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(5,027)</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379,423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three months ended June 30, 2019, total revenues increased 5% due to a combination of mid-single-digit acquisition growth and a low single-digit organic growth, offset by low single-digit unfavorable impact of foreign exchange rates. Services segment revenues increased 9%, driven by mid-single-digit acquisition growth and low single-digit organic growth, offset by low-single unfavorable impact of foreign exchange rates. International segment revenues decreased 10%, driven by high single-digit unfavorable impact of foreign exchange rates, as well as a mid-single-digit organic decline. Products and Systems segment revenues decreased by 21%, due to a combination of lower sales volume within the core business and the sale of a subsidiary within the segment during the third quarter of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Oil and gas customer revenues comprised approximately 61% and 55% of total revenues for the three months ended June 30, 2019 and 2018, respectively. Aerospace and defense customer revenues comprised approximately 12% and 15% of total revenues for the three months ended June 30, 2019 and 2018, respectively. This decrease in aerospace and defense customer revenues is attributed to the run-off of the German staff leasing contracts in the International segment. The Company’s top ten customers comprised approximately 39% of total revenues for the three months ended June 30, 2019, as compared to 35% for the three months ended June 30, 2018, with no customer accounting for 10% or more of total revenues in either three-month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the six months ended June 30, 2019, total revenues decreased 1% due to a combination of mid-single-digit acquisition growth, offset by low single-digit organic decline and low single-digit unfavorable impact of foreign exchange rates. Services segment revenues increased 3%, driven by mid single-digit acquisition growth, offset by low single-digit organic decline and unfavorable impact of foreign exchange rates. International segment revenues decreased 9%, driven by mid-single-digit unfavorable impact of foreign exchange rates and low single-digit organic decline. Products and Systems segment revenues decreased by 33% driven by lower sales volume and by the sale of a subsidiary in this segment during the third quarter of 2018.</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Oil and gas customer revenues comprised approximately 59% and 57% of total revenues for the six months ended June 30, 2019 and 2018, respectively. Aerospace and defense customer revenues comprised approximately 13% and 15% of total revenues for the six months ended June 30, 2019 and 2018, respectively. This decrease in aerospace and defense customer revenues is attributed to the run-off of the German staff leasing contracts in the International segment. The Company’s top ten customers comprised approximately 39% of total revenues for the six months ended June 30, 2019, as compared to 37% for the six months ended June 30, 2018, with no customer accounting for 10% or more of total revenues in either six-month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increased by $5.0 million, or 9%, in the three months ended June 30, 2019, on a sales increase of 5%. Gross profit increased by $5.7 million, or 6%, in the six months ended June 30, 2019, on a sales decrease of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2019 and June 30, 2018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74,837</w:t>
            </w:r>
          </w:p>
        </w:tc>
      </w:tr>
      <w:tr>
        <w:trPr>
          <w:trHeight w:val="243"/>
        </w:trPr>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25.5%</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23,396</w:t>
            </w:r>
          </w:p>
        </w:tc>
      </w:tr>
      <w:tr>
        <w:trPr>
          <w:trHeight w:val="243"/>
        </w:trPr>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29.4%</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5,103</w:t>
            </w:r>
          </w:p>
        </w:tc>
      </w:tr>
      <w:tr>
        <w:trPr>
          <w:trHeight w:val="243"/>
        </w:trPr>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44.1%</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r>
      <w:tr>
        <w:trPr>
          <w:trHeight w:val="237"/>
        </w:trPr>
        <w:tc>
          <w:tcPr>
            <w:tcW w:w="45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60,071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55,083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108,945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103,228</w:t>
            </w:r>
          </w:p>
        </w:tc>
      </w:tr>
      <w:tr>
        <w:trPr>
          <w:trHeight w:val="67"/>
        </w:trPr>
        <w:tc>
          <w:tcPr>
            <w:tcW w:w="45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24"/>
        </w:trPr>
        <w:tc>
          <w:tcPr>
            <w:tcW w:w="45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total revenue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27.2%</w:t>
            </w:r>
          </w:p>
        </w:tc>
      </w:tr>
      <w:tr>
        <w:trPr>
          <w:trHeight w:val="27"/>
        </w:trPr>
        <w:tc>
          <w:tcPr>
            <w:tcW w:w="4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margin was 29.9% and 28.7% for the three month periods ended June 30, 2019 and 2018, respectively. Services segment gross profit margins had a year-on-year increase of 210 basis points to 29.3% in the three months ended June 30, 2019, due primarily to mix of sales, increase in sales volume related to its recent acquisition, and favorable operating leverage. International segment gross margins had a year-on-year decline of 110 basis points to 29.8% in the three months ended June 30, 2019, due primarily to mix of sales and manpower utilization. Products and Systems segment gross margin had a year-on-year increase of 170 basis points to 42.8% in the three months ended June 30,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margin was 28.9% and 27.2% for the six months ended June 30, 2019 and 2018, respectively. Services segment gross profit margins had a year-on-year increase of 260 basis points to 28.1% in the six months ended June 30, 2019, due primarily to favorable operating leverage, mix of sales, and increase in sales volume related to its recent acquisition. International segment gross margins had a year-on-year increase of 20 basis points to 29.6% in the six months ended June 30, 2019. Products and Systems segment gross margin had a year-on-year decline of 430 basis points to 39.8% in the six months ended June 30, 2019. This decrease was primarily driven by a lower sales volume and less favorable sales mix.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to income before special items for each of the Company's three segments and for the Company in total: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Services: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4"/>
              </w:rPr>
              <w:t>Bad debt provision for troubled customers, net of recoveries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Pension withdrawal expense</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27,613</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4"/>
              </w:rPr>
              <w:t>Bad debt provision for troubled customers, net of recoveries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Loss before special items (non-GAAP)</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(14,853)</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16,702</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Pension withdrawal expense</w:t>
            </w: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Bad debt provision for troubled customers, net of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15,952</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For the three months ended June 30, 2019, income from operations (GAAP) increased $5.1 million, or 50%, compared with the three months ended June 30, 2018, while income before special items (non-GAAP) increased $3.0 million, or 29%. As a percentage of revenues, income before special items increased by 120 basis points to 6.7% in the three months ended June 30, 2019 from 5.5% in the three months ended June 30, 2018.</w:t>
      </w:r>
    </w:p>
    <w:p>
      <w:pPr>
        <w:spacing w:after="0" w:line="2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Operating expenses (GAAP), as a percentage of revenue, decreased to 22% for the three and six months ended June 30, 2019 from 23% for the three and six months ended June 30, 2018. Operating expenses, excluding special items, (non-GAAP), as a percentage of revenues, was 23% of revenue for the three months ended June 30, 2019 compared to 23% for the three and six months ended June 30, 2018. The table above highlights the special expense items that resulted in a higher GAAP operating expense percentage for 2019 compared to 2018. In addition to the special items, for both GAAP and non-GAAP comparisons, there was $3.2 million of operating expenses for the Onstream acquisition, inclusive of depreciation and amortization of $1.3 million.</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fourth quarter of 2018, we recorded a reserve of $0.7 million for a renewable energy industry customer of the Company’s Services Division, based in part on the available information about the financial difficulties of the customer. This customer filed for a voluntary insolvency proceeding on April 9, 2019 at which time payments under the previously agreed to payment plan ceased. As a result, in the first quarter of 2019, we recorded an additional charge of $5.7 million to fully reserve for the amount of the exposure related to this customer. During the second quarter of 2019, the Company obtained additional information and reversed $1.0 million of this reserve related to exposure with this customer.</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six months of 2019, the Company sold to an unaffiliated third party, without recourse, its remaining outstanding receivables in an unrelated bankruptcy proceeding, which the Company had initially recorded as a charge during the second quarter of 2017. During the first quarter of 2019, the Company recorded a recovery of $0.2 million and during the six months ending June 30, 2019, the Company recorded a recovery $1.9 million, related to a bad debt provision related to this customer.</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has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three and six months ended June 30, 2019 for this potential withdrawal liability. The balance of the estimated total amount of this potential liability as of June 30, 2019 is approximately $4.0 million, which is net of $2.4 million of payments made to one of the pension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six months ended June 30, 2019, income from operations (GAAP) decreased $5.7 million, compared with the six months ended June 30, 2018, while income before special items (non-GAAP) decreased $0.2 million, or 1%. As a percentage of revenues, income before special items was consistent at 4.2% for the six months ended June 30, 2019 and six months ended June 30, 2018, respectively.</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Operating expenses (GAAP), as a percentage of revenue, increased to 26% for the six months ended June 30, 2019 from 23% for the six months ended June 30, 2018. Operating expenses, excluding special items (non-GAAP), as a percentage of revenues, increased to 25% of revenues for the six months ended June 30, 2019 from 23% for the six months ended June 30, 2018. The chart above highlights the special expense items that resulted in a higher GAAP operating expense percentage for 2019 compared to 2018. In addition to the special items, for both GAAP and non-GAAP comparisons, there was $6.3 million of operating expenses for the Onstream acquisition, inclusive of depreciation and amortization of $2.6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expense was approximately $3.6 million and $1.9 million for the three months ended June 30, 2019 and 2018, respectively. Interest expense was approximately $7.1 million and $3.7 million for the six months ended June 30, 2019 and 2018, respectively. The increases were due to borrowings on the Company's Credit Agreement attributable primarily to the acquisition completed during the fourth quarter of 2018, and to a lesser extent, from an increase in the base borrowing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income tax rate was approximately 37% and 29% for the three months ended June 30, 2019 and 2018, respectively. The Company's effective income tax rate was approximately 45% and 31% for the six months ended June 30, 2019 and 2018, respectively. The effective income tax rate for the first quarter of 2019 and 2018 was higher than the statutory rate due to the impact of discrete items, GILTI and executive compensation provisions resulting from the passage of the Tax Act, foreign tax rates different than statutory rates in the U.S., and an increase in the reserve for uncertain tax provisions. The discrete items had an impact on our effective income tax rate of 2% and 9% for the three and six months ended June 30, 2019, respectively, and 0% and 2% for the three and six months ended June 30, 2018,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20,095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(10,287)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six months ended June 30, 2019, cash provided by operating activities was $21.1 million, representing a year-on-year increase of $1.0 million, or 5%. The increase was primarily attributable to movements in working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six months ended June 30, 2019, cash used in investing activities was $11.0 million, compared with $10.3 million in 2018. Capital expenditures were $12.0 million for the first six months of 2019, compared with $11.2 million in the comparable 2018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by financing activities was $23.1 million for the six months ended June 30, 2019. The Company paid down $19.7 million, net, on its Credit Agreement, inclusive of quarterly payments of the Term Loan, as well as payments of $2.8 million of other debt and capital lease obligations. For the comparable period in 2018, net cash used by financing activities was $19.3 million. The Company paid down $14.0 million, net, on its Credit Agreement as well as $3.1 million payments of debt and capital lease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impact of $0.0 million in the first six months of 2019, compared to a $0.6 million decrease for the first six months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2018 Annual Report under the Section “Liquidity and Capital Resources”, under the heading “Cash Balance and Credit Facility Borrowings,” and in Note 11 -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2019, we had cash and cash equivalents totaling $12.5 million and available borrowing capacity of $130.2 million under our Credit Agreement with borrowings of $261.8 million and $5.4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2019, the Company was in compliance with the terms of the Credit Agreement and will continuously monitor its compliance with the covenants contained in its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2018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2018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2019,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June 30, 2019 that has materially affected, or is reasonably likely to materially affect, such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2018 Annual Report, except as disclosed in such Note 14.</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 factors discussed under the “Risk Factors” section included in our 2018 Annual Report. There have been no material changes to the risk factors previously disclosed in the 2018 Annual Report.</w:t>
      </w: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60" w:type="dxa"/>
            <w:vAlign w:val="bottom"/>
            <w:gridSpan w:val="2"/>
            <w:vMerge w:val="restart"/>
          </w:tcPr>
          <w:p>
            <w:pPr>
              <w:jc w:val="center"/>
              <w:ind w:left="37"/>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700" w:type="dxa"/>
            <w:vAlign w:val="bottom"/>
            <w:vMerge w:val="continue"/>
          </w:tcPr>
          <w:p>
            <w:pPr>
              <w:spacing w:after="0"/>
              <w:rPr>
                <w:sz w:val="16"/>
                <w:szCs w:val="16"/>
                <w:color w:val="auto"/>
              </w:rPr>
            </w:pPr>
          </w:p>
        </w:tc>
        <w:tc>
          <w:tcPr>
            <w:tcW w:w="276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2019</w:t>
            </w:r>
          </w:p>
        </w:tc>
        <w:tc>
          <w:tcPr>
            <w:tcW w:w="26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13.52</w:t>
            </w:r>
          </w:p>
        </w:tc>
        <w:tc>
          <w:tcPr>
            <w:tcW w:w="2380" w:type="dxa"/>
            <w:vAlign w:val="bottom"/>
            <w:tcBorders>
              <w:top w:val="single" w:sz="8" w:color="auto"/>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May 31, 2019</w:t>
            </w:r>
          </w:p>
        </w:tc>
        <w:tc>
          <w:tcPr>
            <w:tcW w:w="2640" w:type="dxa"/>
            <w:vAlign w:val="bottom"/>
          </w:tcPr>
          <w:p>
            <w:pPr>
              <w:jc w:val="right"/>
              <w:ind w:right="37"/>
              <w:spacing w:after="0"/>
              <w:rPr>
                <w:sz w:val="20"/>
                <w:szCs w:val="20"/>
                <w:color w:val="auto"/>
              </w:rPr>
            </w:pPr>
            <w:r>
              <w:rPr>
                <w:rFonts w:ascii="Arial" w:cs="Arial" w:eastAsia="Arial" w:hAnsi="Arial"/>
                <w:sz w:val="18"/>
                <w:szCs w:val="18"/>
                <w:color w:val="auto"/>
              </w:rPr>
              <w:t>22,150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13.82</w:t>
            </w:r>
          </w:p>
        </w:tc>
        <w:tc>
          <w:tcPr>
            <w:tcW w:w="2380" w:type="dxa"/>
            <w:vAlign w:val="bottom"/>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2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14.15</w:t>
            </w:r>
          </w:p>
        </w:tc>
        <w:tc>
          <w:tcPr>
            <w:tcW w:w="238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authorized the expenditure of up to $50.0 million for the purchase of the Company's common stock. Effective April 1, 2019, the Company's Board of Directors terminated its share repurchase plan, of which $25.1 million was remaining before the aforementioned termination of the plan.</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Arial" w:cs="Arial" w:eastAsia="Arial" w:hAnsi="Arial"/>
                <w:sz w:val="18"/>
                <w:szCs w:val="18"/>
                <w:color w:val="auto"/>
              </w:rPr>
              <w:t>38</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240" w:top="122" w:right="7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2019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2019</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4"/>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2019-12-28T08:41:39Z</dcterms:created>
  <dcterms:modified xsi:type="dcterms:W3CDTF">2019-12-28T08:41:39Z</dcterms:modified>
</cp:coreProperties>
</file>