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For the transition period from __ to __</w:t>
      </w:r>
    </w:p>
    <w:p>
      <w:pPr>
        <w:spacing w:after="0" w:line="225"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-82550</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00"/>
        </w:trPr>
        <w:tc>
          <w:tcPr>
            <w:tcW w:w="50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tc>
        <w:tc>
          <w:tcPr>
            <w:tcW w:w="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0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gridSpan w:val="4"/>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gridSpan w:val="3"/>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22-3341267</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980" w:type="dxa"/>
            <w:vAlign w:val="bottom"/>
            <w:gridSpan w:val="5"/>
          </w:tcPr>
          <w:p>
            <w:pPr>
              <w:jc w:val="center"/>
              <w:ind w:right="30"/>
              <w:spacing w:after="0" w:line="189"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4820" w:type="dxa"/>
            <w:vAlign w:val="bottom"/>
            <w:gridSpan w:val="5"/>
          </w:tcPr>
          <w:p>
            <w:pPr>
              <w:jc w:val="center"/>
              <w:ind w:right="3220"/>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820" w:type="dxa"/>
            <w:vAlign w:val="bottom"/>
            <w:gridSpan w:val="5"/>
          </w:tcPr>
          <w:p>
            <w:pPr>
              <w:jc w:val="center"/>
              <w:ind w:right="322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c>
          <w:tcPr>
            <w:tcW w:w="0" w:type="dxa"/>
            <w:vAlign w:val="bottom"/>
          </w:tcPr>
          <w:p>
            <w:pPr>
              <w:spacing w:after="0"/>
              <w:rPr>
                <w:sz w:val="1"/>
                <w:szCs w:val="1"/>
                <w:color w:val="auto"/>
              </w:rPr>
            </w:pPr>
          </w:p>
        </w:tc>
      </w:tr>
      <w:tr>
        <w:trPr>
          <w:trHeight w:val="493"/>
        </w:trPr>
        <w:tc>
          <w:tcPr>
            <w:tcW w:w="3420" w:type="dxa"/>
            <w:vAlign w:val="bottom"/>
          </w:tcPr>
          <w:p>
            <w:pPr>
              <w:spacing w:after="0"/>
              <w:rPr>
                <w:sz w:val="24"/>
                <w:szCs w:val="24"/>
                <w:color w:val="auto"/>
              </w:rPr>
            </w:pPr>
          </w:p>
        </w:tc>
        <w:tc>
          <w:tcPr>
            <w:tcW w:w="29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298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3600" w:type="dxa"/>
            <w:vAlign w:val="bottom"/>
            <w:gridSpan w:val="3"/>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08550</w:t>
            </w: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i w:val="1"/>
                <w:iCs w:val="1"/>
                <w:color w:val="auto"/>
              </w:rPr>
              <w:t>(Zip Code)</w:t>
            </w:r>
          </w:p>
        </w:tc>
        <w:tc>
          <w:tcPr>
            <w:tcW w:w="0" w:type="dxa"/>
            <w:vAlign w:val="bottom"/>
          </w:tcPr>
          <w:p>
            <w:pPr>
              <w:spacing w:after="0"/>
              <w:rPr>
                <w:sz w:val="1"/>
                <w:szCs w:val="1"/>
                <w:color w:val="auto"/>
              </w:rPr>
            </w:pPr>
          </w:p>
        </w:tc>
      </w:tr>
      <w:tr>
        <w:trPr>
          <w:trHeight w:val="540"/>
        </w:trPr>
        <w:tc>
          <w:tcPr>
            <w:tcW w:w="3420" w:type="dxa"/>
            <w:vAlign w:val="bottom"/>
          </w:tcPr>
          <w:p>
            <w:pPr>
              <w:spacing w:after="0"/>
              <w:rPr>
                <w:sz w:val="24"/>
                <w:szCs w:val="24"/>
                <w:color w:val="auto"/>
              </w:rPr>
            </w:pPr>
          </w:p>
        </w:tc>
        <w:tc>
          <w:tcPr>
            <w:tcW w:w="298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(609) 716-4000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8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80" w:type="dxa"/>
            <w:vAlign w:val="bottom"/>
            <w:gridSpan w:val="5"/>
            <w:vMerge w:val="continue"/>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1"/>
        </w:trPr>
        <w:tc>
          <w:tcPr>
            <w:tcW w:w="6400" w:type="dxa"/>
            <w:vAlign w:val="bottom"/>
            <w:gridSpan w:val="6"/>
          </w:tcPr>
          <w:p>
            <w:pPr>
              <w:jc w:val="right"/>
              <w:ind w:right="21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0" w:type="dxa"/>
            <w:vAlign w:val="bottom"/>
          </w:tcPr>
          <w:p>
            <w:pPr>
              <w:spacing w:after="0"/>
              <w:rPr>
                <w:sz w:val="1"/>
                <w:szCs w:val="1"/>
                <w:color w:val="auto"/>
              </w:rPr>
            </w:pPr>
          </w:p>
        </w:tc>
      </w:tr>
      <w:tr>
        <w:trPr>
          <w:trHeight w:val="228"/>
        </w:trPr>
        <w:tc>
          <w:tcPr>
            <w:tcW w:w="34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MG</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6"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201"/>
        </w:trPr>
        <w:tc>
          <w:tcPr>
            <w:tcW w:w="1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line="201" w:lineRule="exact"/>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rPr>
                <w:sz w:val="20"/>
                <w:szCs w:val="20"/>
                <w:color w:val="auto"/>
              </w:rPr>
            </w:pPr>
            <w:r>
              <w:rPr>
                <w:rFonts w:ascii="Wingdings" w:cs="Wingdings" w:eastAsia="Wingdings" w:hAnsi="Wingdings"/>
                <w:sz w:val="18"/>
                <w:szCs w:val="18"/>
                <w:b w:val="1"/>
                <w:bCs w:val="1"/>
                <w:color w:val="auto"/>
                <w:w w:val="83"/>
              </w:rPr>
              <w:t>x</w:t>
            </w: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5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225" w:right="339" w:bottom="150" w:gutter="0" w:footer="0" w:header="0"/>
        </w:sect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 2023, the registrant had 30,301,985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5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470535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9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8"/>
              </w:rPr>
              <w:t>PART I—FINANCIAL INFORMATION</w:t>
            </w:r>
          </w:p>
        </w:tc>
        <w:tc>
          <w:tcPr>
            <w:tcW w:w="7520" w:type="dxa"/>
            <w:vAlign w:val="bottom"/>
            <w:gridSpan w:val="11"/>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2"/>
            <w:vMerge w:val="continue"/>
          </w:tcPr>
          <w:p>
            <w:pPr>
              <w:spacing w:after="0"/>
              <w:rPr>
                <w:sz w:val="14"/>
                <w:szCs w:val="14"/>
                <w:color w:val="auto"/>
              </w:rPr>
            </w:pPr>
          </w:p>
        </w:tc>
        <w:tc>
          <w:tcPr>
            <w:tcW w:w="7520" w:type="dxa"/>
            <w:vAlign w:val="bottom"/>
            <w:gridSpan w:val="11"/>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Unaudited Condensed Consolidated Balance Sheets as of March 31, 2023 and December 31, 2022</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Loss for the three months ended March 31, 2023 and March 31, 2022</w:t>
            </w:r>
          </w:p>
        </w:tc>
        <w:tc>
          <w:tcPr>
            <w:tcW w:w="240" w:type="dxa"/>
            <w:vAlign w:val="bottom"/>
            <w:gridSpan w:val="2"/>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0" w:type="dxa"/>
            <w:vAlign w:val="bottom"/>
            <w:tcBorders>
              <w:right w:val="single" w:sz="8" w:color="0E32E1"/>
            </w:tcBorders>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Comprehensive Loss for the three months ended March 31, 2023 and</w:t>
            </w:r>
          </w:p>
        </w:tc>
        <w:tc>
          <w:tcPr>
            <w:tcW w:w="240" w:type="dxa"/>
            <w:vAlign w:val="bottom"/>
            <w:gridSpan w:val="2"/>
          </w:tcPr>
          <w:p>
            <w:pPr>
              <w:spacing w:after="0"/>
              <w:rPr>
                <w:sz w:val="24"/>
                <w:szCs w:val="24"/>
                <w:color w:val="auto"/>
              </w:rPr>
            </w:pP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Borders>
              <w:top w:val="single" w:sz="8" w:color="0E32E1"/>
            </w:tcBorders>
            <w:gridSpan w:val="6"/>
          </w:tcPr>
          <w:p>
            <w:pPr>
              <w:spacing w:after="0" w:line="142" w:lineRule="exact"/>
              <w:rPr>
                <w:sz w:val="20"/>
                <w:szCs w:val="20"/>
                <w:color w:val="auto"/>
              </w:rPr>
            </w:pPr>
            <w:r>
              <w:rPr>
                <w:rFonts w:ascii="Times New Roman" w:cs="Times New Roman" w:eastAsia="Times New Roman" w:hAnsi="Times New Roman"/>
                <w:sz w:val="16"/>
                <w:szCs w:val="16"/>
                <w:color w:val="0E32E1"/>
              </w:rPr>
              <w:t>March 31, 2022</w:t>
            </w:r>
          </w:p>
        </w:tc>
        <w:tc>
          <w:tcPr>
            <w:tcW w:w="7340" w:type="dxa"/>
            <w:vAlign w:val="bottom"/>
            <w:tcBorders>
              <w:top w:val="single" w:sz="8" w:color="0E32E1"/>
            </w:tcBorders>
            <w:gridSpan w:val="10"/>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E32E1"/>
          </w:tcPr>
          <w:p>
            <w:pPr>
              <w:spacing w:after="0"/>
              <w:rPr>
                <w:sz w:val="2"/>
                <w:szCs w:val="2"/>
                <w:color w:val="auto"/>
              </w:rPr>
            </w:pPr>
          </w:p>
        </w:tc>
        <w:tc>
          <w:tcPr>
            <w:tcW w:w="240" w:type="dxa"/>
            <w:vAlign w:val="bottom"/>
            <w:shd w:val="clear" w:color="auto" w:fill="0E32E1"/>
          </w:tcPr>
          <w:p>
            <w:pPr>
              <w:spacing w:after="0"/>
              <w:rPr>
                <w:sz w:val="2"/>
                <w:szCs w:val="2"/>
                <w:color w:val="auto"/>
              </w:rPr>
            </w:pPr>
          </w:p>
        </w:tc>
        <w:tc>
          <w:tcPr>
            <w:tcW w:w="300" w:type="dxa"/>
            <w:vAlign w:val="bottom"/>
            <w:shd w:val="clear" w:color="auto" w:fill="0E32E1"/>
          </w:tcPr>
          <w:p>
            <w:pPr>
              <w:spacing w:after="0"/>
              <w:rPr>
                <w:sz w:val="2"/>
                <w:szCs w:val="2"/>
                <w:color w:val="auto"/>
              </w:rPr>
            </w:pPr>
          </w:p>
        </w:tc>
        <w:tc>
          <w:tcPr>
            <w:tcW w:w="160" w:type="dxa"/>
            <w:vAlign w:val="bottom"/>
            <w:shd w:val="clear" w:color="auto" w:fill="0E32E1"/>
          </w:tcPr>
          <w:p>
            <w:pPr>
              <w:spacing w:after="0"/>
              <w:rPr>
                <w:sz w:val="2"/>
                <w:szCs w:val="2"/>
                <w:color w:val="auto"/>
              </w:rPr>
            </w:pPr>
          </w:p>
        </w:tc>
        <w:tc>
          <w:tcPr>
            <w:tcW w:w="260" w:type="dxa"/>
            <w:vAlign w:val="bottom"/>
            <w:gridSpan w:val="2"/>
            <w:shd w:val="clear" w:color="auto" w:fill="0E32E1"/>
          </w:tcPr>
          <w:p>
            <w:pPr>
              <w:spacing w:after="0"/>
              <w:rPr>
                <w:sz w:val="2"/>
                <w:szCs w:val="2"/>
                <w:color w:val="auto"/>
              </w:rPr>
            </w:pPr>
          </w:p>
        </w:tc>
        <w:tc>
          <w:tcPr>
            <w:tcW w:w="44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Equity for the three months ended March 31, 2023 and March 31, 2022</w:t>
            </w: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0" w:type="dxa"/>
            <w:vAlign w:val="bottom"/>
            <w:tcBorders>
              <w:right w:val="single" w:sz="8" w:color="0E32E1"/>
            </w:tcBorders>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Cash Flows for the three months ended March 31, 2023 and March 31,</w:t>
            </w:r>
          </w:p>
        </w:tc>
        <w:tc>
          <w:tcPr>
            <w:tcW w:w="100" w:type="dxa"/>
            <w:vAlign w:val="bottom"/>
          </w:tcPr>
          <w:p>
            <w:pPr>
              <w:spacing w:after="0"/>
              <w:rPr>
                <w:sz w:val="24"/>
                <w:szCs w:val="24"/>
                <w:color w:val="auto"/>
              </w:rPr>
            </w:pP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E32E1"/>
            </w:tcBorders>
          </w:tcPr>
          <w:p>
            <w:pPr>
              <w:spacing w:after="0" w:line="142" w:lineRule="exact"/>
              <w:rPr>
                <w:sz w:val="20"/>
                <w:szCs w:val="20"/>
                <w:color w:val="auto"/>
              </w:rPr>
            </w:pPr>
            <w:r>
              <w:rPr>
                <w:rFonts w:ascii="Times New Roman" w:cs="Times New Roman" w:eastAsia="Times New Roman" w:hAnsi="Times New Roman"/>
                <w:sz w:val="16"/>
                <w:szCs w:val="16"/>
                <w:color w:val="0E32E1"/>
              </w:rPr>
              <w:t>2022</w:t>
            </w:r>
          </w:p>
        </w:tc>
        <w:tc>
          <w:tcPr>
            <w:tcW w:w="240" w:type="dxa"/>
            <w:vAlign w:val="bottom"/>
            <w:tcBorders>
              <w:top w:val="single" w:sz="8" w:color="0E32E1"/>
            </w:tcBorders>
          </w:tcPr>
          <w:p>
            <w:pPr>
              <w:spacing w:after="0"/>
              <w:rPr>
                <w:sz w:val="13"/>
                <w:szCs w:val="13"/>
                <w:color w:val="auto"/>
              </w:rPr>
            </w:pPr>
          </w:p>
        </w:tc>
        <w:tc>
          <w:tcPr>
            <w:tcW w:w="300" w:type="dxa"/>
            <w:vAlign w:val="bottom"/>
            <w:tcBorders>
              <w:top w:val="single" w:sz="8" w:color="0E32E1"/>
            </w:tcBorders>
          </w:tcPr>
          <w:p>
            <w:pPr>
              <w:spacing w:after="0"/>
              <w:rPr>
                <w:sz w:val="13"/>
                <w:szCs w:val="13"/>
                <w:color w:val="auto"/>
              </w:rPr>
            </w:pPr>
          </w:p>
        </w:tc>
        <w:tc>
          <w:tcPr>
            <w:tcW w:w="160" w:type="dxa"/>
            <w:vAlign w:val="bottom"/>
            <w:tcBorders>
              <w:top w:val="single" w:sz="8" w:color="0E32E1"/>
            </w:tcBorders>
          </w:tcPr>
          <w:p>
            <w:pPr>
              <w:spacing w:after="0"/>
              <w:rPr>
                <w:sz w:val="13"/>
                <w:szCs w:val="13"/>
                <w:color w:val="auto"/>
              </w:rPr>
            </w:pPr>
          </w:p>
        </w:tc>
        <w:tc>
          <w:tcPr>
            <w:tcW w:w="80" w:type="dxa"/>
            <w:vAlign w:val="bottom"/>
            <w:tcBorders>
              <w:top w:val="single" w:sz="8" w:color="0E32E1"/>
            </w:tcBorders>
          </w:tcPr>
          <w:p>
            <w:pPr>
              <w:spacing w:after="0"/>
              <w:rPr>
                <w:sz w:val="13"/>
                <w:szCs w:val="13"/>
                <w:color w:val="auto"/>
              </w:rPr>
            </w:pPr>
          </w:p>
        </w:tc>
        <w:tc>
          <w:tcPr>
            <w:tcW w:w="18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56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600" w:type="dxa"/>
            <w:vAlign w:val="bottom"/>
            <w:tcBorders>
              <w:top w:val="single" w:sz="8" w:color="0E32E1"/>
            </w:tcBorders>
          </w:tcPr>
          <w:p>
            <w:pPr>
              <w:spacing w:after="0"/>
              <w:rPr>
                <w:sz w:val="13"/>
                <w:szCs w:val="13"/>
                <w:color w:val="auto"/>
              </w:rPr>
            </w:pPr>
          </w:p>
        </w:tc>
        <w:tc>
          <w:tcPr>
            <w:tcW w:w="1600" w:type="dxa"/>
            <w:vAlign w:val="bottom"/>
            <w:tcBorders>
              <w:top w:val="single" w:sz="8" w:color="0E32E1"/>
            </w:tcBorders>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E32E1"/>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4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40" w:type="dxa"/>
            <w:vAlign w:val="bottom"/>
            <w:gridSpan w:val="4"/>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540" w:type="dxa"/>
            <w:vAlign w:val="bottom"/>
            <w:gridSpan w:val="2"/>
          </w:tcPr>
          <w:p>
            <w:pPr>
              <w:spacing w:after="0"/>
              <w:rPr>
                <w:sz w:val="24"/>
                <w:szCs w:val="24"/>
                <w:color w:val="auto"/>
              </w:rPr>
            </w:pPr>
          </w:p>
        </w:tc>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4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540" w:type="dxa"/>
            <w:vAlign w:val="bottom"/>
            <w:gridSpan w:val="2"/>
          </w:tcPr>
          <w:p>
            <w:pPr>
              <w:spacing w:after="0"/>
              <w:rPr>
                <w:sz w:val="24"/>
                <w:szCs w:val="24"/>
                <w:color w:val="auto"/>
              </w:rPr>
            </w:pPr>
          </w:p>
        </w:tc>
        <w:tc>
          <w:tcPr>
            <w:tcW w:w="43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0" w:type="dxa"/>
            <w:vAlign w:val="bottom"/>
            <w:gridSpan w:val="7"/>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58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320" w:type="dxa"/>
            <w:vAlign w:val="bottom"/>
          </w:tcPr>
          <w:p>
            <w:pPr>
              <w:spacing w:after="0"/>
              <w:rPr>
                <w:sz w:val="24"/>
                <w:szCs w:val="24"/>
                <w:color w:val="auto"/>
              </w:rPr>
            </w:pP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56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58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4.</w:t>
            </w:r>
          </w:p>
        </w:tc>
        <w:tc>
          <w:tcPr>
            <w:tcW w:w="540" w:type="dxa"/>
            <w:vAlign w:val="bottom"/>
            <w:gridSpan w:val="2"/>
          </w:tcPr>
          <w:p>
            <w:pPr>
              <w:spacing w:after="0"/>
              <w:rPr>
                <w:sz w:val="24"/>
                <w:szCs w:val="24"/>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8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1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5.</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24"/>
                <w:szCs w:val="24"/>
                <w:color w:val="auto"/>
              </w:rPr>
            </w:pPr>
          </w:p>
        </w:tc>
        <w:tc>
          <w:tcPr>
            <w:tcW w:w="714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6.</w:t>
            </w:r>
          </w:p>
        </w:tc>
        <w:tc>
          <w:tcPr>
            <w:tcW w:w="540" w:type="dxa"/>
            <w:vAlign w:val="bottom"/>
            <w:gridSpan w:val="2"/>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4"/>
          </w:tcPr>
          <w:p>
            <w:pPr>
              <w:spacing w:after="0"/>
              <w:rPr>
                <w:sz w:val="24"/>
                <w:szCs w:val="24"/>
                <w:color w:val="auto"/>
              </w:rPr>
            </w:pPr>
          </w:p>
        </w:tc>
        <w:tc>
          <w:tcPr>
            <w:tcW w:w="758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123,657</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167,882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77,561</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199,635</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40,032</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530,819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534,904</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32,273</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336,155</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2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200,000,000 shares authorized, 30,230,446 and 29,895,487 shares issued</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243,031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198,450</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198,749</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530,819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534,904</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67"/>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161,662</w:t>
            </w: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115,758</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39,892</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41,922</w:t>
            </w: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29"/>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r>
      <w:tr>
        <w:trPr>
          <w:trHeight w:val="229"/>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benefit for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r>
      <w:tr>
        <w:trPr>
          <w:trHeight w:val="229"/>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229"/>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Mistras Group, Inc.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29"/>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29,634</w:t>
            </w:r>
          </w:p>
        </w:tc>
      </w:tr>
      <w:tr>
        <w:trPr>
          <w:trHeight w:val="234"/>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29,634</w:t>
            </w:r>
          </w:p>
        </w:tc>
      </w:tr>
    </w:tbl>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23"/>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r>
      <w:tr>
        <w:trPr>
          <w:trHeight w:val="202"/>
        </w:trPr>
        <w:tc>
          <w:tcPr>
            <w:tcW w:w="79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1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1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Mistras Group, Inc.</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r>
      <w:tr>
        <w:trPr>
          <w:trHeight w:val="20"/>
        </w:trPr>
        <w:tc>
          <w:tcPr>
            <w:tcW w:w="790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5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70"/>
        </w:trPr>
        <w:tc>
          <w:tcPr>
            <w:tcW w:w="2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28"/>
        </w:trPr>
        <w:tc>
          <w:tcPr>
            <w:tcW w:w="2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9"/>
        </w:trPr>
        <w:tc>
          <w:tcPr>
            <w:tcW w:w="2500" w:type="dxa"/>
            <w:vAlign w:val="bottom"/>
          </w:tcPr>
          <w:p>
            <w:pPr>
              <w:spacing w:after="0"/>
              <w:rPr>
                <w:sz w:val="14"/>
                <w:szCs w:val="14"/>
                <w:color w:val="auto"/>
              </w:rPr>
            </w:pPr>
          </w:p>
        </w:tc>
        <w:tc>
          <w:tcPr>
            <w:tcW w:w="168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1"/>
        </w:trPr>
        <w:tc>
          <w:tcPr>
            <w:tcW w:w="25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120" w:type="dxa"/>
            <w:vAlign w:val="bottom"/>
          </w:tcPr>
          <w:p>
            <w:pPr>
              <w:spacing w:after="0"/>
              <w:rPr>
                <w:sz w:val="5"/>
                <w:szCs w:val="5"/>
                <w:color w:val="auto"/>
              </w:rPr>
            </w:pPr>
          </w:p>
        </w:tc>
        <w:tc>
          <w:tcPr>
            <w:tcW w:w="880" w:type="dxa"/>
            <w:vAlign w:val="bottom"/>
          </w:tcPr>
          <w:p>
            <w:pPr>
              <w:jc w:val="right"/>
              <w:ind w:right="79"/>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tcPr>
          <w:p>
            <w:pPr>
              <w:jc w:val="center"/>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140" w:type="dxa"/>
            <w:vAlign w:val="bottom"/>
          </w:tcPr>
          <w:p>
            <w:pPr>
              <w:spacing w:after="0"/>
              <w:rPr>
                <w:sz w:val="5"/>
                <w:szCs w:val="5"/>
                <w:color w:val="auto"/>
              </w:rPr>
            </w:pPr>
          </w:p>
        </w:tc>
        <w:tc>
          <w:tcPr>
            <w:tcW w:w="114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140" w:type="dxa"/>
            <w:vAlign w:val="bottom"/>
          </w:tcPr>
          <w:p>
            <w:pPr>
              <w:spacing w:after="0"/>
              <w:rPr>
                <w:sz w:val="5"/>
                <w:szCs w:val="5"/>
                <w:color w:val="auto"/>
              </w:rPr>
            </w:pPr>
          </w:p>
        </w:tc>
        <w:tc>
          <w:tcPr>
            <w:tcW w:w="114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183"/>
        </w:trPr>
        <w:tc>
          <w:tcPr>
            <w:tcW w:w="250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20" w:type="dxa"/>
            <w:vAlign w:val="bottom"/>
          </w:tcPr>
          <w:p>
            <w:pPr>
              <w:spacing w:after="0"/>
              <w:rPr>
                <w:sz w:val="15"/>
                <w:szCs w:val="15"/>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r>
      <w:tr>
        <w:trPr>
          <w:trHeight w:val="257"/>
        </w:trPr>
        <w:tc>
          <w:tcPr>
            <w:tcW w:w="25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17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198,749</w:t>
            </w: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(4,978)</w:t>
            </w: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w:t>
            </w: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w:t>
            </w: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w:t>
            </w:r>
          </w:p>
        </w:tc>
      </w:tr>
      <w:tr>
        <w:trPr>
          <w:trHeight w:val="169"/>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30,230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244,131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(16,475)</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(32,117)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195,841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196,148</w:t>
            </w: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r>
      <w:tr>
        <w:trPr>
          <w:trHeight w:val="163"/>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29,546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238,687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(17,988)</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(20,311)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200,683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200,912</w:t>
            </w: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(5,353)</w:t>
            </w: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w:t>
            </w: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r>
      <w:tr>
        <w:trPr>
          <w:trHeight w:val="200"/>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197,085</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7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40" w:type="dxa"/>
            <w:vAlign w:val="bottom"/>
          </w:tcPr>
          <w:p>
            <w:pPr>
              <w:spacing w:after="0"/>
              <w:rPr>
                <w:sz w:val="17"/>
                <w:szCs w:val="17"/>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8,807</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Bad debt provision for troubled customers, net of recoveries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value adjustments to contingent consideration</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loss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0" w:type="dxa"/>
            <w:vAlign w:val="bottom"/>
          </w:tcPr>
          <w:p>
            <w:pPr>
              <w:spacing w:after="0"/>
              <w:rPr>
                <w:sz w:val="18"/>
                <w:szCs w:val="18"/>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acquisitions and dispositions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(17,831)</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3,605</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contingent consideration liability in excess of acquisition-date fair value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40" w:type="dxa"/>
            <w:vAlign w:val="bottom"/>
          </w:tcPr>
          <w:p>
            <w:pPr>
              <w:spacing w:after="0"/>
              <w:rPr>
                <w:sz w:val="18"/>
                <w:szCs w:val="18"/>
                <w:color w:val="auto"/>
              </w:rPr>
            </w:pP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40" w:type="dxa"/>
            <w:vAlign w:val="bottom"/>
          </w:tcPr>
          <w:p>
            <w:pPr>
              <w:spacing w:after="0"/>
              <w:rPr>
                <w:sz w:val="18"/>
                <w:szCs w:val="18"/>
                <w:color w:val="auto"/>
              </w:rPr>
            </w:pP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40" w:type="dxa"/>
            <w:vAlign w:val="bottom"/>
          </w:tcPr>
          <w:p>
            <w:pPr>
              <w:spacing w:after="0"/>
              <w:rPr>
                <w:sz w:val="17"/>
                <w:szCs w:val="17"/>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40" w:type="dxa"/>
            <w:vAlign w:val="bottom"/>
          </w:tcPr>
          <w:p>
            <w:pPr>
              <w:spacing w:after="0"/>
              <w:rPr>
                <w:sz w:val="17"/>
                <w:szCs w:val="17"/>
                <w:color w:val="auto"/>
              </w:rPr>
            </w:pP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revolver</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revolver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contingent consideration for business acquisitions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40" w:type="dxa"/>
            <w:vAlign w:val="bottom"/>
          </w:tcPr>
          <w:p>
            <w:pPr>
              <w:spacing w:after="0"/>
              <w:rPr>
                <w:sz w:val="18"/>
                <w:szCs w:val="18"/>
                <w:color w:val="auto"/>
              </w:rPr>
            </w:pP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40" w:type="dxa"/>
            <w:vAlign w:val="bottom"/>
          </w:tcPr>
          <w:p>
            <w:pPr>
              <w:spacing w:after="0"/>
              <w:rPr>
                <w:sz w:val="17"/>
                <w:szCs w:val="17"/>
                <w:color w:val="auto"/>
              </w:rPr>
            </w:pPr>
          </w:p>
        </w:tc>
      </w:tr>
      <w:tr>
        <w:trPr>
          <w:trHeight w:val="20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40" w:type="dxa"/>
            <w:vAlign w:val="bottom"/>
          </w:tcPr>
          <w:p>
            <w:pPr>
              <w:spacing w:after="0"/>
              <w:rPr>
                <w:sz w:val="17"/>
                <w:szCs w:val="17"/>
                <w:color w:val="auto"/>
              </w:rPr>
            </w:pP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40" w:type="dxa"/>
            <w:vAlign w:val="bottom"/>
          </w:tcPr>
          <w:p>
            <w:pPr>
              <w:spacing w:after="0"/>
              <w:rPr>
                <w:sz w:val="17"/>
                <w:szCs w:val="17"/>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40" w:type="dxa"/>
            <w:vAlign w:val="bottom"/>
          </w:tcPr>
          <w:p>
            <w:pPr>
              <w:spacing w:after="0"/>
              <w:rPr>
                <w:sz w:val="17"/>
                <w:szCs w:val="17"/>
                <w:color w:val="auto"/>
              </w:rPr>
            </w:pPr>
          </w:p>
        </w:tc>
      </w:tr>
      <w:tr>
        <w:trPr>
          <w:trHeight w:val="196"/>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20,488</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24,110</w:t>
            </w:r>
          </w:p>
        </w:tc>
        <w:tc>
          <w:tcPr>
            <w:tcW w:w="40" w:type="dxa"/>
            <w:vAlign w:val="bottom"/>
          </w:tcPr>
          <w:p>
            <w:pPr>
              <w:spacing w:after="0"/>
              <w:rPr>
                <w:sz w:val="17"/>
                <w:szCs w:val="17"/>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16,717</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19,921</w:t>
            </w:r>
          </w:p>
        </w:tc>
        <w:tc>
          <w:tcPr>
            <w:tcW w:w="40" w:type="dxa"/>
            <w:vAlign w:val="bottom"/>
          </w:tcPr>
          <w:p>
            <w:pPr>
              <w:spacing w:after="0"/>
              <w:rPr>
                <w:sz w:val="17"/>
                <w:szCs w:val="17"/>
                <w:color w:val="auto"/>
              </w:rPr>
            </w:pPr>
          </w:p>
        </w:tc>
      </w:tr>
      <w:tr>
        <w:trPr>
          <w:trHeight w:val="17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 (received)</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net</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40" w:type="dxa"/>
            <w:vAlign w:val="bottom"/>
          </w:tcPr>
          <w:p>
            <w:pPr>
              <w:spacing w:after="0"/>
              <w:rPr>
                <w:sz w:val="17"/>
                <w:szCs w:val="17"/>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2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11"/>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20" w:type="dxa"/>
            <w:vAlign w:val="bottom"/>
          </w:tcPr>
          <w:p>
            <w:pPr>
              <w:spacing w:after="0"/>
              <w:rPr>
                <w:sz w:val="24"/>
                <w:szCs w:val="24"/>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Mistras Group, Inc. and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three operating segments. During the first quarter of 2023, the Company renamed the Services segment to more closely align to the geographical area in which the Segment operates. We did not recast the corresponding financial information for the historical periods presented, as there was no change in the manner which our chief operating decision maker reviews the financial results of each Segment and allocates resources. Our Segments, with the updated naming convention, are as follows:</w:t>
      </w:r>
    </w:p>
    <w:p>
      <w:pPr>
        <w:spacing w:after="0" w:line="205" w:lineRule="exact"/>
        <w:rPr>
          <w:sz w:val="20"/>
          <w:szCs w:val="20"/>
          <w:color w:val="auto"/>
        </w:rPr>
      </w:pPr>
    </w:p>
    <w:p>
      <w:pPr>
        <w:ind w:left="900" w:right="80" w:hanging="244"/>
        <w:spacing w:after="0" w:line="26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(Referred to as "Services" in prior filings). </w:t>
      </w:r>
      <w:r>
        <w:rPr>
          <w:rFonts w:ascii="Times New Roman" w:cs="Times New Roman" w:eastAsia="Times New Roman" w:hAnsi="Times New Roman"/>
          <w:sz w:val="18"/>
          <w:szCs w:val="18"/>
          <w:color w:val="auto"/>
        </w:rPr>
        <w:t>This segment provides asset protection solutions predominantly in North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largest concentration in the United 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20" w:hanging="244"/>
        <w:spacing w:after="0" w:line="267"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40" w:hanging="244"/>
        <w:spacing w:after="0" w:line="284"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2022, the Company experienced unfavorable foreign currency exchange impacts as it relates to the Company's European operations, which has continued in 2023. Additionally, the Russian-Ukrainian war continues to create disruptions in the oil and gas market and the supply chain in general, which is resulting in some disruption to our business operations. The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Company’s European operations are currently experiencing increased costs associated with higher energy costs, among others, due in part to the Russian-Ukrainian war.</w:t>
      </w:r>
    </w:p>
    <w:p>
      <w:pPr>
        <w:spacing w:after="0" w:line="1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 2022, the Company eliminated substantially all of the COVID related cost reduction initiatives undertaken in 2020, including re-installment of the savings plan employer match and increasing wages back to pre-pandemic amounts.</w:t>
      </w:r>
    </w:p>
    <w:p>
      <w:pPr>
        <w:spacing w:after="0" w:line="203"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 will continue to monitor market conditions and respond accordingly.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2023 and December 31, 2022.</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2022 Annual Report on Form 10-K ("2022 Annual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Loss. All significant intercompany accounts and transactions have been eliminated in consolidation. The results of operations of companies acquired are included from the date of acquisition.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1–</w:t>
      </w:r>
      <w:r>
        <w:rPr>
          <w:rFonts w:ascii="Times New Roman" w:cs="Times New Roman" w:eastAsia="Times New Roman" w:hAnsi="Times New Roman"/>
          <w:sz w:val="18"/>
          <w:szCs w:val="18"/>
          <w:b w:val="1"/>
          <w:bCs w:val="1"/>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2022 Annual Report. On an ongoing basis, the Company evaluates its estimates and assumptions, including among other things, those related to revenue recognition, long-lived assets, goodwill and acquisitions. Since the date of the 2022 Annual Report, there have been no material changes to the Company's significant accounting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management concluded that it is more likely than not that a substantial portion of the Company's deferred tax assets will be realized.</w:t>
      </w:r>
    </w:p>
    <w:p>
      <w:pPr>
        <w:spacing w:after="0" w:line="23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approximately 15.6% and 19.3% for the three months ended March 31, 2023 and 2022, respectively. The effective income tax rate benefit for the three months ended March 31, 2023 was lower than the statutory rate primarily due to the impact of an unfavorable discrete item related to stock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In March 2020 and updated in January 2021, the FASB issued Accounting Standards Update ("ASU") 2020-04 and 2021-01, “Reference Rate Reform (Topic 848): Facilitation of the Effects of Reference Rate Reform on Financial Reporting.” The amendments provide optional guidance for a limited period of time to ease the potential burden in 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2024. The Company is currently evaluating applicable contracts and the available expedients provided by the new guidance.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40" w:type="dxa"/>
            <w:vAlign w:val="bottom"/>
          </w:tcPr>
          <w:p>
            <w:pPr>
              <w:spacing w:after="0"/>
              <w:rPr>
                <w:sz w:val="16"/>
                <w:szCs w:val="16"/>
                <w:color w:val="auto"/>
              </w:rPr>
            </w:pP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98,665</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18,602</w:t>
            </w:r>
          </w:p>
        </w:tc>
      </w:tr>
      <w:tr>
        <w:trPr>
          <w:trHeight w:val="229"/>
        </w:trPr>
        <w:tc>
          <w:tcPr>
            <w:tcW w:w="20" w:type="dxa"/>
            <w:vAlign w:val="bottom"/>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15,913</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w:t>
            </w: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r>
      <w:tr>
        <w:trPr>
          <w:trHeight w:val="229"/>
        </w:trPr>
        <w:tc>
          <w:tcPr>
            <w:tcW w:w="20" w:type="dxa"/>
            <w:vAlign w:val="bottom"/>
          </w:tcPr>
          <w:p>
            <w:pPr>
              <w:spacing w:after="0"/>
              <w:rPr>
                <w:sz w:val="19"/>
                <w:szCs w:val="19"/>
                <w:color w:val="auto"/>
              </w:rPr>
            </w:pPr>
          </w:p>
        </w:tc>
        <w:tc>
          <w:tcPr>
            <w:tcW w:w="3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r>
      <w:tr>
        <w:trPr>
          <w:trHeight w:val="248"/>
        </w:trPr>
        <w:tc>
          <w:tcPr>
            <w:tcW w:w="20" w:type="dxa"/>
            <w:vAlign w:val="bottom"/>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40" w:type="dxa"/>
            <w:vAlign w:val="bottom"/>
          </w:tcPr>
          <w:p>
            <w:pPr>
              <w:spacing w:after="0"/>
              <w:rPr>
                <w:sz w:val="24"/>
                <w:szCs w:val="24"/>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94,223</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w:t>
            </w: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w:t>
            </w:r>
          </w:p>
        </w:tc>
      </w:tr>
      <w:tr>
        <w:trPr>
          <w:trHeight w:val="230"/>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r>
      <w:tr>
        <w:trPr>
          <w:trHeight w:val="230"/>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r>
      <w:tr>
        <w:trPr>
          <w:trHeight w:val="230"/>
        </w:trPr>
        <w:tc>
          <w:tcPr>
            <w:tcW w:w="2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43"/>
        </w:trPr>
        <w:tc>
          <w:tcPr>
            <w:tcW w:w="20" w:type="dxa"/>
            <w:vAlign w:val="bottom"/>
            <w:shd w:val="clear" w:color="auto" w:fill="CCEEFF"/>
          </w:tcPr>
          <w:p>
            <w:pPr>
              <w:spacing w:after="0"/>
              <w:rPr>
                <w:sz w:val="21"/>
                <w:szCs w:val="21"/>
                <w:color w:val="auto"/>
              </w:rPr>
            </w:pPr>
          </w:p>
        </w:tc>
        <w:tc>
          <w:tcPr>
            <w:tcW w:w="3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4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122,112</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w:t>
            </w: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25,030</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48"/>
        </w:trPr>
        <w:tc>
          <w:tcPr>
            <w:tcW w:w="3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24"/>
                <w:szCs w:val="24"/>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Products &amp; Sytems</w:t>
            </w:r>
          </w:p>
        </w:tc>
        <w:tc>
          <w:tcPr>
            <w:tcW w:w="14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114,804</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26,320</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48"/>
        </w:trPr>
        <w:tc>
          <w:tcPr>
            <w:tcW w:w="3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161,662</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2023 and 2022 that was included in the contract liability balance at the beginning of such year was $3.1 million and $2.2 million for each period. Changes in the contract asset and liability balances during these periods were not materially impacted by any other factors. The Company applies a practical expedient to expense incremental costs incurred related to obtaining a contract. The Company applies the practical expedient to expense incremental costs incurred related to obtaining a contract when the amortization period of the asset that the Company otherwise would have recognized is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granted share-based incentive awards to its eligible employees and non-employee directors under two equity incentive plans: (i) the 2009 Long-Term Incentive Plan (the "2009 Plan") and (ii) the 2016 Long-Term Incentive Plan (the "2016 Plan"). No awards have been granted under the 2009 Plan since the 2016 Plan was approved by shareholders in 2016, and the remaining stock option award granted under the 2009 Plan expired during the three months ended March 31, 2022. Awards granted under the 2016 Plan may be in the form of stock options, restricted stock units and other forms of share-based incentives, including performance restricted stock units, stock appreciation rights and deferred stock rights. At the annual shareholders meeting on May 23, 2022, the Company’s shareholders approved an amendment to increase the total number of shares that may be issued under the 2016 Plan by</w:t>
      </w:r>
    </w:p>
    <w:p>
      <w:pPr>
        <w:spacing w:after="0" w:line="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1.2 million, for a total of 4.9 million shares that are authorized for issuance under the 2016 Plan, of which approximately 1,100,000 shares were available for future grants as of March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all remaining outstanding stock options expired. For each of the three months ended March 31, 2023 and 2022, the Company did not recognize any share-based compensation expense related to the stock option award.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2023 and March 31, 2022, the Company recognized share-based compensation expense related to restricted stock unit awards of $0.9 million and $0.9 million, respectively. As of March 31, 2023, there was $10.0 million of unrecognized compensation costs, net of estimated forfeitures, related to restricted stock unit awards, which is expected to be recognized over a remaining weighted-average period of 3.1 years. Upon vesting, restricted stock units are generally net share-settled to cover the required withholding tax and the remaining amount is converted into an equivalent number of shares of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r>
    </w:tbl>
    <w:p>
      <w:pPr>
        <w:spacing w:after="0" w:line="314" w:lineRule="exact"/>
        <w:rPr>
          <w:sz w:val="20"/>
          <w:szCs w:val="20"/>
          <w:color w:val="auto"/>
        </w:rPr>
      </w:pPr>
    </w:p>
    <w:p>
      <w:pPr>
        <w:ind w:right="700"/>
        <w:spacing w:after="0" w:line="270" w:lineRule="auto"/>
        <w:rPr>
          <w:sz w:val="20"/>
          <w:szCs w:val="20"/>
          <w:color w:val="auto"/>
        </w:rPr>
      </w:pPr>
      <w:r>
        <w:rPr>
          <w:rFonts w:ascii="Times New Roman" w:cs="Times New Roman" w:eastAsia="Times New Roman" w:hAnsi="Times New Roman"/>
          <w:sz w:val="18"/>
          <w:szCs w:val="18"/>
          <w:color w:val="auto"/>
        </w:rPr>
        <w:t>A summary of the fully-vested common stock the Company issued to its six non-employee directors, in connection with its non-employee director compensation plan, is as follows:</w:t>
      </w: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00" w:type="dxa"/>
            <w:vAlign w:val="bottom"/>
            <w:gridSpan w:val="4"/>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20"/>
                <w:szCs w:val="20"/>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share units is as follows: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left="10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54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w:t>
      </w:r>
    </w:p>
    <w:p>
      <w:pPr>
        <w:spacing w:after="0" w:line="1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2022, the Compensation Committee utilized the same structure for the Company’s equity incentive compensation plan for its executive officers as 2021, and approved the new target awards for 2022. The three metrics were:</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net cash provided by operating activities less purchases of property, plant, equipment and intangible assets and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approved by the Compensation Committee.</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Shareholder Return (TSR) </w:t>
      </w:r>
      <w:r>
        <w:rPr>
          <w:rFonts w:ascii="Times New Roman" w:cs="Times New Roman" w:eastAsia="Times New Roman" w:hAnsi="Times New Roman"/>
          <w:sz w:val="18"/>
          <w:szCs w:val="18"/>
          <w:color w:val="auto"/>
        </w:rPr>
        <w:t>measures the total return to shareholders of the Company during 2021 versus the total return to the shareholders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of 2021), compared to the average share price during the 20-trading day period ending on the final measurement date (the last 20 trading days of 2022). Any cash dividends or distributions paid in 2022 will be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spacing w:after="0" w:line="2"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9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Expected volatility of the Company’s common stock at the date of grant was estimated based on a historical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rate for the approximate 1-year performance period.</w:t>
      </w: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 The dividend yield assumption was based on historical and anticipated dividend payouts (assumed at zero).</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29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assumption was based on observed interest rates consistent with the approximate 1-year performance measurement period.</w:t>
      </w:r>
    </w:p>
    <w:p>
      <w:pPr>
        <w:spacing w:after="0" w:line="2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2023, the Compensation Committee made changes to the Company's equity incentive compensation plan for its executive officers including modifying the metrics utilized, and approved the new target awards for 2023. The three metrics 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net cash provided by operating activities less purchases of property, plant, equipment and intangible assets and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approved by the Compensation Committee.</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PRSUs are equity-classified and compensation costs are initially measured using the fair value of the underlying stock at the date of grant. Compensation costs related to the PRSUs are subsequently adjusted for changes in the expected outcomes of the performance conditions. Compensation cost related to the PRSUs with a market condition is not reversed if the market condition is not achieved, provided the employee requisite service has been rendered. PRSUs generally vest ratably on each of the first four anniversary dates upon completion of the performance period, for a total requisite service period of up to five years and have no dividend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4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8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2023 and March 31, 2022, the Compensation Committee approved the final calculation of the award metrics for calendar year 2022 and 2021, respectively. As a result, the calendar year 2023 PRSUs decreased by approximately 32,000 units as a result of the final calculation of award metrics.</w:t>
      </w:r>
    </w:p>
    <w:p>
      <w:pPr>
        <w:spacing w:after="0" w:line="2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and March 31, 2022, the Company recognized aggregate share-based compensation expense related to the awards described above of approximately $0.7 million and $0.3 million, respectively. At March 31, 2023, there was $2.8 million of total unrecognized compensation costs related to approximately 382,000 non-vested PRSUs, which is expected to be recognized over a remaining weighted-average period of 2.0 years.</w:t>
      </w:r>
    </w:p>
    <w:p>
      <w:pPr>
        <w:spacing w:after="0" w:line="200" w:lineRule="exact"/>
        <w:rPr>
          <w:sz w:val="20"/>
          <w:szCs w:val="20"/>
          <w:color w:val="auto"/>
        </w:rPr>
      </w:pPr>
    </w:p>
    <w:p>
      <w:pPr>
        <w:spacing w:after="0" w:line="2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loss by the weighted-average number of shares outstanding during the period. Diluted earnings per share is computed by dividing net loss by the sum of (1) the weighted-average number of shares of common stock outstanding during the period, and</w:t>
      </w:r>
    </w:p>
    <w:p>
      <w:pPr>
        <w:ind w:firstLine="8"/>
        <w:spacing w:after="0" w:line="25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loss per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0"/>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Mistras Group, Inc.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29,634</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57"/>
        </w:trPr>
        <w:tc>
          <w:tcPr>
            <w:tcW w:w="8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Mistras Group, Inc.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29,634</w:t>
            </w:r>
          </w:p>
        </w:tc>
      </w:tr>
      <w:tr>
        <w:trPr>
          <w:trHeight w:val="229"/>
        </w:trPr>
        <w:tc>
          <w:tcPr>
            <w:tcW w:w="80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restricted stock units outstanding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30,021</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29,634</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301"/>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ind w:left="180" w:right="200" w:hanging="172"/>
        <w:spacing w:after="0" w:line="236" w:lineRule="auto"/>
        <w:tabs>
          <w:tab w:leader="none" w:pos="183"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months ended March 31, 2023 and 2022, 1,513,000 and 1,212,000 shares, respectively, related to restricted stock were excluded from the calculation of diluted EPS due to the net loss for the period.</w:t>
      </w:r>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Expense</w:t>
      </w:r>
    </w:p>
    <w:p>
      <w:pPr>
        <w:spacing w:after="0" w:line="2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Loss and were as follows for the three months ended March 31, 2023 and 2022:</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7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diligence, professional fees and other transaction costs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fair value of contingent consideration liabilities</w:t>
            </w:r>
          </w:p>
        </w:tc>
        <w:tc>
          <w:tcPr>
            <w:tcW w:w="1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8"/>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liabilities are included in Accrued expenses and other current liabilities and Other long-term liabilities on the Condensed Consolidated Balance Sheets.</w:t>
      </w:r>
    </w:p>
    <w:p>
      <w:pPr>
        <w:spacing w:after="0" w:line="200" w:lineRule="exact"/>
        <w:rPr>
          <w:sz w:val="20"/>
          <w:szCs w:val="20"/>
          <w:color w:val="auto"/>
        </w:rPr>
      </w:pPr>
    </w:p>
    <w:p>
      <w:pPr>
        <w:spacing w:after="0" w:line="2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left="340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Mistras Group, Inc. and Subsidiaries Notes to Unaudited Condensed Consolidated Financial Statements </w:t>
      </w: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127,767</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48"/>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had $21.6 million and $13.5 million of unbilled revenue accrued as of March 31, 2023 and December 31, 2022,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filed a lawsuit to recover the $1.4 million and other amounts due to the Company and the customer filed a counterclaim, alleging breach of contract and seeking its damages. The Company recorded a full reserve for this receivable during 2019 and the status of this situation has not changed since 2019 through March 31, 2023. See Note 14-</w:t>
      </w:r>
      <w:r>
        <w:rPr>
          <w:rFonts w:ascii="Times New Roman" w:cs="Times New Roman" w:eastAsia="Times New Roman" w:hAnsi="Times New Roman"/>
          <w:sz w:val="18"/>
          <w:szCs w:val="18"/>
          <w:b w:val="1"/>
          <w:bCs w:val="1"/>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and Note 16 -</w:t>
      </w:r>
      <w:r>
        <w:rPr>
          <w:rFonts w:ascii="Times New Roman" w:cs="Times New Roman" w:eastAsia="Times New Roman" w:hAnsi="Times New Roman"/>
          <w:sz w:val="18"/>
          <w:szCs w:val="18"/>
          <w:b w:val="1"/>
          <w:bCs w:val="1"/>
          <w:i w:val="1"/>
          <w:iCs w:val="1"/>
          <w:color w:val="auto"/>
        </w:rPr>
        <w:t xml:space="preserve"> Subsequent Events </w:t>
      </w:r>
      <w:r>
        <w:rPr>
          <w:rFonts w:ascii="Times New Roman" w:cs="Times New Roman" w:eastAsia="Times New Roman" w:hAnsi="Times New Roman"/>
          <w:sz w:val="18"/>
          <w:szCs w:val="18"/>
          <w:color w:val="auto"/>
        </w:rPr>
        <w:t>for additional details.</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consumable supplies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 and finished goods</w:t>
            </w: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 net</w:t>
            </w: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6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257,227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(224,959)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2023 and 2022 was approximately $6.3 million and $6.6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199,635</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199,956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8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performed a quantitative annual impairment test as of October 1, 2022 and the Company did not identify any changes in circumstances that would indicate the carrying value of goodwill may not be recoverable. Additionally, through March 31, 2023,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1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4"/>
        </w:trPr>
        <w:tc>
          <w:tcPr>
            <w:tcW w:w="30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25,553</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22,359</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2023 and 2022 was approximately $2.1 million and $2.4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26,684</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77,844</w:t>
            </w:r>
          </w:p>
        </w:tc>
        <w:tc>
          <w:tcPr>
            <w:tcW w:w="0" w:type="dxa"/>
            <w:vAlign w:val="bottom"/>
          </w:tcPr>
          <w:p>
            <w:pPr>
              <w:spacing w:after="0"/>
              <w:rPr>
                <w:sz w:val="1"/>
                <w:szCs w:val="1"/>
                <w:color w:val="auto"/>
              </w:rPr>
            </w:pPr>
          </w:p>
        </w:tc>
      </w:tr>
      <w:tr>
        <w:trPr>
          <w:trHeight w:val="21"/>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Long-Term Debt</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7"/>
                <w:szCs w:val="17"/>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net of unamortized debt issuance costs of $0.5 million and $0.5 million, respectively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191,251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16"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18"/>
          <w:szCs w:val="18"/>
          <w:color w:val="auto"/>
        </w:rPr>
        <w:t>Prior to entering into the Credit Agreement (defined and described below), the Company had a credit agreement with its banking group (the "Prior Credit Agreement") which provided the Company with a $150 million revolving credit facility and a $100 million term loan. The Prior Credit Agreement was most recently amended on May 19, 2021 and had a maturity date of December 12, 2023.</w:t>
      </w:r>
    </w:p>
    <w:p>
      <w:pPr>
        <w:jc w:val="both"/>
        <w:spacing w:after="0" w:line="230" w:lineRule="auto"/>
        <w:rPr>
          <w:sz w:val="20"/>
          <w:szCs w:val="20"/>
          <w:color w:val="auto"/>
        </w:rPr>
      </w:pPr>
      <w:r>
        <w:rPr>
          <w:rFonts w:ascii="Times New Roman" w:cs="Times New Roman" w:eastAsia="Times New Roman" w:hAnsi="Times New Roman"/>
          <w:sz w:val="18"/>
          <w:szCs w:val="18"/>
          <w:color w:val="auto"/>
        </w:rPr>
        <w:t>On August 1, 2022, the Company entered into a new credit agreement (the “Credit Agreement”) which replaced the Prior Credit Agreement and provides the Company with a $190 million 5-year committed revolving credit facility and a $125 million term loan with a balance of $120 million as of March 31, 2023. The Credit Agreement permits the Company to borrow up to $100 million in non-US dollar currencies and to use up to $20 million of the credit limit for the issuance of letters of credit. Both the revolving line of credit and the term loan under the Credit Agreement have a maturity date of July 30, 2027.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has the following key terms, conditions and financial covenants:</w:t>
      </w:r>
    </w:p>
    <w:p>
      <w:pPr>
        <w:spacing w:after="0" w:line="225" w:lineRule="exact"/>
        <w:rPr>
          <w:sz w:val="20"/>
          <w:szCs w:val="20"/>
          <w:color w:val="auto"/>
        </w:rPr>
      </w:pPr>
    </w:p>
    <w:p>
      <w:pPr>
        <w:ind w:left="660" w:hanging="328"/>
        <w:spacing w:after="0" w:line="24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bear interest at Secured Overnight Financing Rate ("SOFR") plus a credit spread adjustment and applicable SOFR margin ranging from 1.25% to 2.75%, based upon our Total Consolidated Debt Leverage Ratio (defined below); under the Prior Credit Agreement, the margin was based upon the LIBOR margin.</w:t>
      </w:r>
    </w:p>
    <w:p>
      <w:pPr>
        <w:spacing w:after="0" w:line="1" w:lineRule="exact"/>
        <w:rPr>
          <w:rFonts w:ascii="Times New Roman" w:cs="Times New Roman" w:eastAsia="Times New Roman" w:hAnsi="Times New Roman"/>
          <w:sz w:val="18"/>
          <w:szCs w:val="18"/>
          <w:color w:val="auto"/>
        </w:rPr>
      </w:pPr>
    </w:p>
    <w:p>
      <w:pPr>
        <w:ind w:left="1300" w:right="720" w:hanging="320"/>
        <w:spacing w:after="0" w:line="226" w:lineRule="auto"/>
        <w:tabs>
          <w:tab w:leader="none" w:pos="12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fiscal quarters.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31" w:lineRule="exact"/>
        <w:rPr>
          <w:sz w:val="20"/>
          <w:szCs w:val="20"/>
          <w:color w:val="auto"/>
        </w:rPr>
      </w:pPr>
    </w:p>
    <w:p>
      <w:pPr>
        <w:jc w:val="both"/>
        <w:ind w:left="660" w:right="40" w:hanging="328"/>
        <w:spacing w:after="0" w:line="24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spacing w:after="0" w:line="197"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to maintain a Total Consolidated Debt Leverage Ratio of no more than 4.0 to 1.0 at the end of each quarter through June 30, 2023 and stepping down to a maximum permitted ratio of no more than 3.75 to 1.0 for the remainder of the term.</w:t>
      </w:r>
    </w:p>
    <w:p>
      <w:pPr>
        <w:spacing w:after="0" w:line="189"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to maintain a Fixed Charge Coverage Ratio of 1.25 to 1.0 for the duration of the New Credit Agreement, as defined in the Credit Agreement.</w:t>
      </w:r>
    </w:p>
    <w:p>
      <w:pPr>
        <w:spacing w:after="0" w:line="175" w:lineRule="exact"/>
        <w:rPr>
          <w:rFonts w:ascii="Times New Roman" w:cs="Times New Roman" w:eastAsia="Times New Roman" w:hAnsi="Times New Roman"/>
          <w:sz w:val="18"/>
          <w:szCs w:val="18"/>
          <w:color w:val="auto"/>
        </w:rPr>
      </w:pPr>
    </w:p>
    <w:p>
      <w:pPr>
        <w:jc w:val="both"/>
        <w:ind w:left="660" w:right="340" w:hanging="328"/>
        <w:spacing w:after="0" w:line="23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212" w:lineRule="exact"/>
        <w:rPr>
          <w:rFonts w:ascii="Times New Roman" w:cs="Times New Roman" w:eastAsia="Times New Roman" w:hAnsi="Times New Roman"/>
          <w:sz w:val="18"/>
          <w:szCs w:val="18"/>
          <w:color w:val="auto"/>
        </w:rPr>
      </w:pPr>
    </w:p>
    <w:p>
      <w:pPr>
        <w:ind w:left="660" w:right="180" w:hanging="328"/>
        <w:spacing w:after="0" w:line="23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12"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Credit Agreement was accounted for as a modification and the Company expensed $0.8 million in unamortized capitalized debt issuance costs and fees during the three months ended September 30, 2022, which was included in selling, general and administrative expenses on the Consolidated Statements of Income (Loss). The Company incurred $1.6 million in financing costs for the Credit Agreement, of which $0.2 million of third party costs were expensed and included in selling, general and administrative expenses on the Consolidated Statements of Income (Loss) during the three months ended September 30, 2022.</w:t>
      </w:r>
    </w:p>
    <w:p>
      <w:pPr>
        <w:spacing w:after="0" w:line="22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As of March 31, 2023, the Company had borrowings of $185.0 million and a total of $2.6 million of letters of credit outstanding under the Credit Agreement. The Company has capitalized costs associated with debt modifications of $1.4 million as of March 31, 2023, which is included in Other Assets on the Condensed Consolidated Balance Sheets and will be amortized into interest expense over the remaining term of the Credit Agreement through July 30, 2027.</w:t>
      </w:r>
    </w:p>
    <w:p>
      <w:pPr>
        <w:spacing w:after="0" w:line="20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March 31, 2023, the Company was in compliance with the terms and covenants of the Credit Agreement. The Company continuously monitors compliance with the covenants contained in the Credit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5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bank financing provided at the local subsidiary level used to support working capital requirements and fund capital expenditures. At March 31, 2023, there was an aggregate of approximately $4.3 million outstanding, payable at various times through 2030. Monthly payments range from $0.7 thousand to $16 thousand and interest rates range from 0.4% to 3.5%.</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The Company performs fair value measurements in accordance with the guidance provided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future cash flows related to the acquisitions, appropriately discounted considering the uncertainties associated with the obligation, and as calculated in accordance with the terms of the applicable acquisition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the fair value of Level 3 contingent consideration: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Revaluation</w:t>
            </w: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0"/>
        </w:trPr>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that arise in the ordinary course of business. The Company cannot predict with certainty the ultimate resolution of lawsuits, investigations and claims asserted against it. Except for possible losses from the matters described below, the Company does not believe that any currently pending or threatened legal proceeding to which the Company is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contracted to perform inspections of welds on various pipeline projects in Texas for a customer. As of March 31, 2023,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of past due receivables were outstanding from this customer. The customer provided the Company with notice in December 2019, alleging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inspection of 66 welds (out of approximately 16,000 welds inspected) were not in compliance with the contract, claimed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million in damages, and requested that the Company pay these damages and any other damages incurred. The Company filed a lawsuit in the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of Bexar County, Texas, 37th Judicial District on December 17, 2019, in an action captioned Mistras Group, Inc. v. Epic Y-Grade Pipeline LP,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 the $1.4 million and other amounts due to the Company. The customer filed a counterclaim on March 6, 2020, alleging breach of contract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seeking recovery of its alleged damages. The Company believes that any successful claim by the customer regarding the Company’s workmanship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by insurance, subject to payment of a deductible. At this time, the Company is unable to determine whether it has any liability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matter and if so, the amount or range of any such liability. In the year ended December 31, 2022, the Company recorded a charge of $0.1 million for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loss from this matter. The Company recorded a reserve in the amount of $1.4 million during the twelve months ended December 31, 2019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these past due receivables. See Note 16 - </w:t>
      </w:r>
      <w:r>
        <w:rPr>
          <w:rFonts w:ascii="Times New Roman" w:cs="Times New Roman" w:eastAsia="Times New Roman" w:hAnsi="Times New Roman"/>
          <w:sz w:val="18"/>
          <w:szCs w:val="18"/>
          <w:b w:val="1"/>
          <w:bCs w:val="1"/>
          <w:i w:val="1"/>
          <w:iCs w:val="1"/>
          <w:color w:val="auto"/>
        </w:rPr>
        <w:t>Subsequent Events</w:t>
      </w:r>
      <w:r>
        <w:rPr>
          <w:rFonts w:ascii="Times New Roman" w:cs="Times New Roman" w:eastAsia="Times New Roman" w:hAnsi="Times New Roman"/>
          <w:sz w:val="18"/>
          <w:szCs w:val="18"/>
          <w:color w:val="auto"/>
        </w:rPr>
        <w:t>, for updated information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Two proceedings have been filed in California Superior Court for the County of Los Angeles regarding alleged violations of the California Labor Code. Both cases are captioned Justin Price v. Mistras Group, Inc., one being a purported class action lawsuit on behalf of current and former Mistras employees in California, filed on June 10, 2020, and the other was filed on September 18, 2020, behalf of the State of California under the California Private Attorney General Act on the basis of the same alleged violations. The two cases was consolidated and requested payment of all damages, including unpaid wages, and various fines and penalties available under California law. On May 4, 2021, the Company agreed to a settlement of all claims in the cases, which was more formally documented pursuant to a settlement agreement completed October 5, 2021, as amended as of May 3, 2022. Pursuant to the settlement, the Company agreed to pay $2.3 million to resolve the allegations in these proceedings and to be responsible for the employer portion of payroll taxes on the amount of the settlement allocated to wages. The settlement as agreed upon by the parties received final court approval on September 26, 2022, and the Company paid the settlement proceeds and related payroll taxes to the claims administrator in the fourth quarter of 2022.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Company’s subsidiaries had significant reductions in their unionized workers in 2018. The collective bargaining agreements for the employees</w:t>
      </w:r>
    </w:p>
    <w:p>
      <w:pPr>
        <w:spacing w:after="0" w:line="5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of these subsidiaries required contributions for these employees to two national multi-employer pension funds. The reduction in employees resulted in the subsidiary incurring a complete withdrawal to one of the pension funds under the Employee Retirement Income Security Act of 1974 ("ERISA"), which</w:t>
      </w:r>
    </w:p>
    <w:p>
      <w:pPr>
        <w:spacing w:after="0" w:line="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was fully satisfied in 2019. The Company has determined that the subsidiary is likely to incur partial or complete withdrawal liability to the other pension fund. The balance of the estimated total amount of this potential liability as of March 31, 2023 is approximately $2.5 million, which were incurred in 2018 and 2019.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labor disputes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December 2019, the Company executed an agreement to sell the rights of certain customer "staff leasing" contracts related to its German subsidiary for total consideration of approximately $0.1 million, effective January 1, 2020. No other assets or liabilities other than those employee benefits related to employees working on the customer contracts were included in the sale. As of March 31, 2023, the Company has approximately $0.1 million of accrued estimated severance payment obligations, which takes into account the Company's estimate with respect to the employees that have been or will be transitioned to the German subsidiaries' other customers. The $0.2 million of estimated obligations is net of $0.4 million in payments made and $1.0 million in reversals due to employees being transitioned to customer contracts.</w:t>
      </w:r>
    </w:p>
    <w:p>
      <w:pPr>
        <w:spacing w:after="0" w:line="200" w:lineRule="exact"/>
        <w:rPr>
          <w:sz w:val="20"/>
          <w:szCs w:val="20"/>
          <w:color w:val="auto"/>
        </w:rPr>
      </w:pP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Disclosure</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As noted in Note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updated the naming convention of one of our three operating segments and the updates are reflected below. Our three operating segments are:</w:t>
      </w:r>
    </w:p>
    <w:p>
      <w:pPr>
        <w:spacing w:after="0" w:line="157" w:lineRule="exact"/>
        <w:rPr>
          <w:sz w:val="20"/>
          <w:szCs w:val="20"/>
          <w:color w:val="auto"/>
        </w:rPr>
      </w:pPr>
    </w:p>
    <w:p>
      <w:pPr>
        <w:ind w:left="900" w:right="20" w:hanging="244"/>
        <w:spacing w:after="0" w:line="261" w:lineRule="auto"/>
        <w:tabs>
          <w:tab w:leader="none" w:pos="89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20" w:hanging="244"/>
        <w:spacing w:after="0" w:line="267"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40" w:hanging="244"/>
        <w:spacing w:after="0" w:line="284"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segments. Additionally, engineering charges and royalty fees charged to the North America and International segments by the Products and Systems segment are reflected in the operating performance of each segment.</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3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132,946</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28,138</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1"/>
        </w:trPr>
        <w:tc>
          <w:tcPr>
            <w:tcW w:w="8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30,526</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operations by operating segment includes intercompany transactions, which are eliminated in Corporate and eliminations.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4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7"/>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4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4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 and Systems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394,280</w:t>
            </w:r>
          </w:p>
        </w:tc>
        <w:tc>
          <w:tcPr>
            <w:tcW w:w="4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 and Systems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530,819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534,904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revenue by geographic area for the three months ended March 31, 2023 and 2022.</w:t>
      </w:r>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52"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8"/>
          <w:szCs w:val="18"/>
          <w:color w:val="auto"/>
        </w:rPr>
        <w:t>On April 25, 2023, the Company settled the outstanding litigation described in Note 14-</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Mistras Group, Inc. v. Epic Y-Grade Pipeline LP, </w:t>
      </w:r>
      <w:r>
        <w:rPr>
          <w:rFonts w:ascii="Times New Roman" w:cs="Times New Roman" w:eastAsia="Times New Roman" w:hAnsi="Times New Roman"/>
          <w:sz w:val="18"/>
          <w:szCs w:val="18"/>
          <w:color w:val="auto"/>
        </w:rPr>
        <w:t>pending in Texas state court. The lawsuit involves a claim against a customer for unpaid receivables and the customer’s counterclaim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inspection of welds on various pipeline projects in Texas. The settlement will result in a payment by the Company of $0.3 million (which the Company estimates is significantly less than the cost of going to trial) and a release of its claim for $1.4 million of associated past due receivables which were fully reserved for in prior periods. The settlement is contingent on the parties executing a settlement agreement, which will include a release of all claims related to the matter and dismissal of the case with prejudice.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following Management’s Discussion and Analysis (“MD&amp;A”) provides a discussion of our results of operations and financial position for the three months ended March 31, 2023 and 2022. The MD&amp;A should be read together with our Unaudited Condensed Consolidated Financial Statements and related notes included in Item 1 in this Quarterly Report on Form 10-Q and our audited consolidated financial statements and related notes included in our Annual Report on Form 10-K for the year ended December 31, 2022 (“2022 Annual Report”). Unless otherwise specified or the context otherwise requires, “Mistras,” “the Company,” “we,” “us” and “our” refer to Mistras Group, Inc. and its consolidated subsidiaries. The MD&amp;A includes the following sections:</w:t>
      </w:r>
    </w:p>
    <w:p>
      <w:pPr>
        <w:spacing w:after="0" w:line="16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2022 Annual Report as well as those discussed in this Quarterly Report on Form 10-Q and in our other filings with the SEC. In addition, there are various developments discussed below which could create risks and uncertainty about our business, results of operations or liquidity.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Our operations consist of three reportable segments: North America (which we previously referred to as our Services segment), International, and Products and Systems.</w:t>
      </w:r>
    </w:p>
    <w:p>
      <w:pPr>
        <w:spacing w:after="0" w:line="1" w:lineRule="exact"/>
        <w:rPr>
          <w:sz w:val="20"/>
          <w:szCs w:val="20"/>
          <w:color w:val="auto"/>
        </w:rPr>
      </w:pPr>
    </w:p>
    <w:p>
      <w:pPr>
        <w:ind w:left="660" w:right="120" w:hanging="328"/>
        <w:spacing w:after="0" w:line="25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spacing w:after="0" w:line="1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 w:lineRule="exact"/>
        <w:rPr>
          <w:rFonts w:ascii="Times New Roman" w:cs="Times New Roman" w:eastAsia="Times New Roman" w:hAnsi="Times New Roman"/>
          <w:sz w:val="18"/>
          <w:szCs w:val="18"/>
          <w:color w:val="auto"/>
        </w:rPr>
      </w:pPr>
    </w:p>
    <w:p>
      <w:pPr>
        <w:ind w:left="660" w:right="74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2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2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0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90 plus applications being offered on one centralized platform.</w:t>
      </w:r>
    </w:p>
    <w:p>
      <w:pPr>
        <w:spacing w:after="0" w:line="189"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We have continued to develop new technologies to provide monitoring of wind blade integrity through our Sensoria™ tool. Sensoria helps provide real-time monitoring and damage detection of wind turbine blades and allows our customers to maximize uptime, performance and safety of wind turbine blades. This tool provides additional growth and expansion of our capabilities to serve both new and existing wind turbines and greatly enhances our product offerings within the renewable energy industry.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43"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Issues related to the COVID-19 coronavirus (COVID-19) pandemic have subsided significantly during 2023 as compared to 2022. The Russian-Ukrainian war is creating disruption in the oil and gas market and the supply chain in general, which is resulting in some disruption to our business operations.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175"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Earlier in 2022, the Company eliminated substantially all of the COVID related cost reduction initiatives undertaken in 2020, including re-installment of the savings plan employer match and increasing wages back to pre-pandemic amounts. Our cash position and liquidity remains strong. As of March 31, 2023, the cash balance was approximately $16.7 million, and with our Credit Agreement, provides us with significant liquidity.</w:t>
      </w:r>
    </w:p>
    <w:p>
      <w:pPr>
        <w:spacing w:after="0" w:line="27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Company’s European operations are currently experiencing higher energy costs, among other increased costs, due in part to the Russian-Ukrainian war. The Company will continue to monitor market conditions and respond accordingly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U.S. GAAP. In this MD&amp;A under the heading "Income (loss) from Operations", the non-GAAP financial performance measure "Income (loss) from operations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months ended March 31, 2023 and 2022 were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168,016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161,662</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46,077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39,892</w:t>
            </w: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24.7 %</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(4,698)</w:t>
            </w: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Loss from Operations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benefit for income taxes</w:t>
            </w: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(5,898)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(6,636)</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(5,353)</w:t>
            </w:r>
          </w:p>
        </w:tc>
      </w:t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Mistras Group, Inc.</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(5,363)</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Revenue was $168.0 million for the three months ended March 31, 2023, an increase of $6.4 million, or 3.9%, compared with the three months ended March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three months ended March 31, 2023 and 2022 were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132,946</w:t>
            </w: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28,138</w:t>
            </w:r>
          </w:p>
        </w:tc>
      </w:tr>
      <w:tr>
        <w:trPr>
          <w:trHeight w:val="23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30"/>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2023, total revenue increased 3.9% versus the prior year comparable period due predominantly to a single-digit organic increase. North America segment revenue increased 3.0%, driven predominantly by a single-digit organic increase and increased turnarounds in the current year, minimally offset by low single-digit unfavorable impact of foreign exchange rates. International segment revenue increased 4.6%, due predominantly to high single-digit organic growth mostly offset by mid single-digit unfavorable impact of foreign exchange rates. Products and Systems segment revenue increased by 27.3%, due to increased sales volume and shipments as compared to the prior period.</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59% and 58% of total revenue for the three months ended March 31, 2023 and 2022, respectively. Aerospace and defense customer revenue comprised approximately 11% and 12% of total revenue for the three months ended March 31, 2023 and 2022, respectively. The Company’s top ten customers comprised approximately 36% of total revenue for the three months ended March 31, 2023, as compared to 34% for the three months ended March 31, 2022, with no customer accounting for 10% or more of total revenue in either three-month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9"/>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Revenue by sub-category</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Upstream</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32,265</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Midstream</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24,907</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Downstream</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40,495</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37,051</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98,665</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94,223</w:t>
            </w:r>
          </w:p>
        </w:tc>
      </w:tr>
      <w:tr>
        <w:trPr>
          <w:trHeight w:val="20"/>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the Company reclassified $9.4 million from Upstream to Downstream in order to reflect the proper classification in the current period. Oil and gas upstream customer revenue increased approximately $4.7 million, or 14%, due primarily to market share gains and increased exploration activity as compared to the prior period. Midstream customer revenues decreased approximately $(3.7) million, or (15)%, due to decreased pipe inspection services performed as compared to the prior year quarter. Downstream customer revenues increased $3.4 million or, 9%, primarily due to increased customer turnarounds in the current year that were delayed in the prior period.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6"/>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105,495</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 Laboratories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Data Solutions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30,679</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Field Services revenues are comprised of revenue derived primarily by technicians performing asset inspections and maintenance services for our customers at locations other than Mistras properties. Field Services revenue increased by $4.2 million as compared to the prior year primarily due to increases in sales volume in our oil and gas and petrochemical end markets for our North America and International segments and increased sales volumes within our the power generation and infrastructure end markets for our Products segment.</w:t>
      </w:r>
    </w:p>
    <w:p>
      <w:pPr>
        <w:spacing w:after="0" w:line="21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Shop Laboratory revenues are comprised of quality assurance inspections of components and materials at our Mistras in house laboratory facilities. Shop revenues were flat as compared to the prior year quarter due to similar sales volumes related to our aerospace end market in both periods.</w:t>
      </w:r>
    </w:p>
    <w:p>
      <w:pPr>
        <w:spacing w:after="0" w:line="189"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Data Solutions revenues are comprised of revenue derived from data software sales &amp; subscriptions, implementation services and analytics which offer insights and generate value from asset protection. Data Solutions revenue is derived from work performed by Mistras employees in our facilities, or at customer locations. Data Solutions revenue increased by $4.4 million due to increased sales volume within PCMS, Onstream and other Data Solutions offerings within our North America segment.</w:t>
      </w:r>
    </w:p>
    <w:p>
      <w:pPr>
        <w:spacing w:after="0" w:line="21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Other revenues are comprised of locations that perform both asset inspection services and testing of components and materials at in house Mistras laboratories. Other revenues decreased approximately $2.3 million as compared to the prior year primarily due to decreased sales within the defense sector within the North America segment offset by increased private space shop related activities during the quarter.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Gross profit increased by $6.2 million, or 15.5%, in the three months ended March 31, 2023 versus the prior year comparable period, on a increase in revenue of 3.9%.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months ended March 31, 2023 and 2022 was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36,637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30,526</w:t>
            </w:r>
          </w:p>
        </w:tc>
      </w:tr>
      <w:tr>
        <w:trPr>
          <w:trHeight w:val="229"/>
        </w:trPr>
        <w:tc>
          <w:tcPr>
            <w:tcW w:w="78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26.8 %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23.0 %</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8,190</w:t>
            </w:r>
          </w:p>
        </w:tc>
      </w:tr>
      <w:tr>
        <w:trPr>
          <w:trHeight w:val="230"/>
        </w:trPr>
        <w:tc>
          <w:tcPr>
            <w:tcW w:w="78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29.1 %</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1,168</w:t>
            </w:r>
          </w:p>
        </w:tc>
      </w:tr>
      <w:tr>
        <w:trPr>
          <w:trHeight w:val="230"/>
        </w:trPr>
        <w:tc>
          <w:tcPr>
            <w:tcW w:w="78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39.8 %</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8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46,077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39,892</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24.7 %</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Gross profit margin was 27.4% and 24.7% for the three-month periods ended March 31, 2023 and 2022, respectively. North America segment realized an increase of 3.8% in gross profit margin to 26.8% during the three months ended March 31, 2023. This was primarily due to better sales mix in the period and increased rebates received for insurance claims as compared to the prior year period. International segment realized a 4.0% decrease in gross profit margin to 25.1% during the three months ended March 31, 2023 due primarily to sales mix and increased energy costs in the current period. Products and Systems segment gross margin had a increase of 15.4% to 55.2% during the three months ended March 31, 2023 due to increased sales volume and better sales mix, as compared to the prior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three months ended March 31, 2023 and 2022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41,922</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34"/>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Operating expenses increased $3.3 million, or 7.4%, for the three months ended March 31, 2023 compared to the three months ended March 31, 2022. Selling, general and administrative expenses increased $0.9 million during the three months ended March 31, 2023 compared to the three months ended March 31, 2022, due to increased costs and unfavorable foreign exchange impact as compared to the prior period. Reorganization and other costs increased by approximately $2.0 million as compared to the prior year due primarily to an increase in severance costs during the period, including separation of the former COO, as well as other restructuring costs. Depreciation and amortization decreased $0.3 million during the three months ended March 31, 2023 compared to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The following table shows a reconciliation of the income from operations to income (loss) before special items for each of our three segments, Corporate and Elimination and for the Company in total:</w:t>
      </w: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before special items (non-GAAP)</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before special items (non-GAAP)</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before special items (non-GAAP)</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before special items (non-GAAP)</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report for an explanation of the use of non-GAAP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the loss from operations (GAAP) decreased $2.9 million or 61.0%, compared with the three months ended March 31, 2022, while the income (loss) before special items (non-GAAP) improved by $5.6 million, or 104.6%. As a percentage of revenue, the income (loss) before special items improved by 340 basis points to 0.1% in the three months ended March 31, 2023 from (3.3)% in the three months ended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expense was approximately $4.1 million and $1.9 million for the three months ended March 31, 2023 and 2022, respectively. The increase was a result of a change in the effective interest rate, due to a lower leverage ratio and the elimination of the minimum LIBOR floor.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was approximately 15.6% and 19.3% for the three months ended March 31, 2023 and 2022, respectively.</w:t>
      </w:r>
    </w:p>
    <w:p>
      <w:pPr>
        <w:spacing w:after="0" w:line="25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effective income tax rate benefit for the three months ended March 31, 2023 was lower than the statutory rate primarily due to the impact of an unfavorable discrete item related to stock compensation. The effective income tax rate for the three months ended March 31, 2022 was lower than the statutory rate primarily due to the impact of an unfavorable discrete item related to stock compensation.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19, 2022, the United States enacted the Inflation Reduction Act, (the "Inflation Act"), a package intended to reduce inflation. The Inflation Act contains a variety of tax provisions, including a 15% corporate minimum tax, a tax on stock repurchases, and various tax credit opportunities. We evaluated the impact of this guidance on our consolidated financial position, results of operations, and cash flows, and it will not have a material impact.</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9"/>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cash provided by operating activities was $4.4 million, representing a year-on-year increase of $9.8 million, or 182%. The increase was primarily attributable to an improved days sales outstanding and movements in working capital, as compared to the prior year quarter.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and 2022, cash used in investing activities was $4.5 million primarily attributable to increased expenditures for vehicles leased related to customer projects that will be occurring in the remaining quarters of 2023 which did not exist in the prior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by financing activities was $4.0 million for the three months ended March 31, 2023, compared to net cash provided by financing activities of $4.3 million for the three months ended March 31, 2022. During the three months ended March 31, 2023, net borrowings of debt were approximately $8.4 million higher as compared to 2022 resulting in debt paydown during the period. In addition, $0.2 million more taxes were paid related to net share settlement of share-based awards during the three months ended March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an increase of $0.2 million in the three months ended March 31, 2023, compared to a decrease of $0.4 million for the three months ended March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1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March 31, 2023, we had cash and cash equivalents totaling $16.7 million and $122.2 million of unused commitments under our Credit Agreement with borrowings of $185.0 million and $2.6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2023, we were in compliance with the terms of the Credit Agreement and will continuously monitor our compliance with the covenants contained in the Credit Agreement.</w:t>
      </w:r>
    </w:p>
    <w:p>
      <w:pPr>
        <w:spacing w:after="0" w:line="18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color w:val="auto"/>
        </w:rPr>
        <w:t xml:space="preserve">The terms of our Credit Agreement are described in Note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xml:space="preserve"> of the Notes to the Unaudited Condensed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contractual obligations and outstanding indebtedness as disclosed in the 2022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2022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quantitative and qualitative disclosures about market risk as discussed in Part II, Item 7A “Quantitative and Qualitative Disclosures About Market Risk,” included in the 2022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March 31, 2023,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2023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2022 Annual Report, except as disclosed in such Note 14-</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and Note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b w:val="1"/>
          <w:bCs w:val="1"/>
          <w:i w:val="1"/>
          <w:iCs w:val="1"/>
          <w:color w:val="auto"/>
        </w:rPr>
        <w:t>Subsequent Events</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2022 Annual Report. Except as described below, there have been no material changes to the risk factors previously disclosed in the 2022 Annual Report.</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5" w:lineRule="exact"/>
        <w:rPr>
          <w:sz w:val="20"/>
          <w:szCs w:val="20"/>
          <w:color w:val="auto"/>
        </w:rPr>
      </w:pPr>
    </w:p>
    <w:p>
      <w:pPr>
        <w:ind w:left="660" w:right="8620" w:hanging="652"/>
        <w:spacing w:after="0" w:line="500" w:lineRule="auto"/>
        <w:tabs>
          <w:tab w:leader="none" w:pos="267"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660" w:right="6800" w:hanging="652"/>
        <w:spacing w:after="0" w:line="500" w:lineRule="auto"/>
        <w:tabs>
          <w:tab w:leader="none" w:pos="267"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2560" w:type="dxa"/>
            <w:vAlign w:val="bottom"/>
          </w:tcPr>
          <w:p>
            <w:pPr>
              <w:jc w:val="center"/>
              <w:ind w:left="648"/>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jc w:val="right"/>
              <w:ind w:right="837"/>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340" w:type="dxa"/>
            <w:vAlign w:val="bottom"/>
            <w:tcBorders>
              <w:bottom w:val="single" w:sz="8" w:color="auto"/>
            </w:tcBorders>
            <w:gridSpan w:val="3"/>
            <w:vMerge w:val="continue"/>
          </w:tcPr>
          <w:p>
            <w:pPr>
              <w:spacing w:after="0"/>
              <w:rPr>
                <w:sz w:val="16"/>
                <w:szCs w:val="16"/>
                <w:color w:val="auto"/>
              </w:rPr>
            </w:pPr>
          </w:p>
        </w:tc>
        <w:tc>
          <w:tcPr>
            <w:tcW w:w="2560" w:type="dxa"/>
            <w:vAlign w:val="bottom"/>
            <w:tcBorders>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31, 2023</w:t>
            </w:r>
          </w:p>
        </w:tc>
        <w:tc>
          <w:tcPr>
            <w:tcW w:w="100" w:type="dxa"/>
            <w:vAlign w:val="bottom"/>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2023</w:t>
            </w:r>
          </w:p>
        </w:tc>
        <w:tc>
          <w:tcPr>
            <w:tcW w:w="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135,338</w:t>
            </w:r>
          </w:p>
        </w:tc>
        <w:tc>
          <w:tcPr>
            <w:tcW w:w="120" w:type="dxa"/>
            <w:vAlign w:val="bottom"/>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81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3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None.</w:t>
            </w: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16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3"/>
        </w:trPr>
        <w:tc>
          <w:tcPr>
            <w:tcW w:w="340" w:type="dxa"/>
            <w:vAlign w:val="bottom"/>
            <w:gridSpan w:val="2"/>
          </w:tcPr>
          <w:p>
            <w:pPr>
              <w:ind w:left="20"/>
              <w:spacing w:after="0" w:line="182" w:lineRule="exact"/>
              <w:rPr>
                <w:rFonts w:ascii="Times New Roman" w:cs="Times New Roman" w:eastAsia="Times New Roman" w:hAnsi="Times New Roman"/>
                <w:sz w:val="18"/>
                <w:szCs w:val="18"/>
                <w:color w:val="0000FF"/>
                <w:w w:val="95"/>
              </w:rPr>
            </w:pPr>
            <w:hyperlink r:id="rId5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7"/>
          </w:tcPr>
          <w:p>
            <w:pPr>
              <w:spacing w:after="0" w:line="18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Separation Agreement and Release between Jonathan Wolk and Registrant (filed as exhibit 10.1 to Current Report on Form 8-K filed on</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March 8, 2023 and incorporated herein by reference).</w:t>
              </w:r>
            </w:hyperlink>
          </w:p>
        </w:tc>
        <w:tc>
          <w:tcPr>
            <w:tcW w:w="5960" w:type="dxa"/>
            <w:vAlign w:val="bottom"/>
            <w:tcBorders>
              <w:top w:val="single" w:sz="8" w:color="0000FF"/>
            </w:tcBorders>
            <w:gridSpan w:val="5"/>
          </w:tcPr>
          <w:p>
            <w:pPr>
              <w:spacing w:after="0"/>
              <w:rPr>
                <w:sz w:val="13"/>
                <w:szCs w:val="13"/>
                <w:color w:val="auto"/>
              </w:rPr>
            </w:pPr>
          </w:p>
        </w:tc>
        <w:tc>
          <w:tcPr>
            <w:tcW w:w="200" w:type="dxa"/>
            <w:vAlign w:val="bottom"/>
          </w:tcPr>
          <w:p>
            <w:pPr>
              <w:spacing w:after="0"/>
              <w:rPr>
                <w:sz w:val="13"/>
                <w:szCs w:val="13"/>
                <w:color w:val="auto"/>
              </w:rPr>
            </w:pPr>
          </w:p>
        </w:tc>
      </w:tr>
      <w:tr>
        <w:trPr>
          <w:trHeight w:val="493"/>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Description of Compensation for Non-Employee Directors effective January 1, 2023.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under the Securities Exchange Act of 1934.</w:t>
            </w:r>
          </w:p>
        </w:tc>
        <w:tc>
          <w:tcPr>
            <w:tcW w:w="1980" w:type="dxa"/>
            <w:vAlign w:val="bottom"/>
            <w:gridSpan w:val="2"/>
          </w:tcPr>
          <w:p>
            <w:pPr>
              <w:spacing w:after="0"/>
              <w:rPr>
                <w:sz w:val="24"/>
                <w:szCs w:val="24"/>
                <w:color w:val="auto"/>
              </w:rPr>
            </w:pPr>
          </w:p>
        </w:tc>
      </w:tr>
      <w:tr>
        <w:trPr>
          <w:trHeight w:val="43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2040" w:type="dxa"/>
            <w:vAlign w:val="bottom"/>
            <w:gridSpan w:val="3"/>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760" w:type="dxa"/>
            <w:vAlign w:val="bottom"/>
            <w:gridSpan w:val="5"/>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10.1 and 10.2 are management contracts or compensation plans, contracts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630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ectPr>
          <w:pgSz w:w="11900" w:h="16838" w:orient="portrait"/>
          <w:cols w:equalWidth="0" w:num="1">
            <w:col w:w="10920"/>
          </w:cols>
          <w:pgMar w:left="320" w:top="117" w:right="659" w:bottom="1440" w:gutter="0" w:footer="0" w:header="0"/>
        </w:sectPr>
      </w:pPr>
    </w:p>
    <w:bookmarkStart w:id="40" w:name="page41"/>
    <w:bookmarkEnd w:id="40"/>
    <w:p>
      <w:pPr>
        <w:jc w:val="center"/>
        <w:ind w:right="-339"/>
        <w:spacing w:after="0"/>
        <w:rPr>
          <w:sz w:val="20"/>
          <w:szCs w:val="20"/>
          <w:color w:val="auto"/>
        </w:rPr>
      </w:pPr>
      <w:r>
        <w:rPr>
          <w:rFonts w:ascii="Times New Roman" w:cs="Times New Roman" w:eastAsia="Times New Roman" w:hAnsi="Times New Roman"/>
          <w:sz w:val="22"/>
          <w:szCs w:val="22"/>
          <w:color w:val="auto"/>
        </w:rPr>
        <w:t>Mistras Group, Inc.</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Compensation Plan for Non-Employee Directors</w:t>
      </w:r>
    </w:p>
    <w:p>
      <w:pPr>
        <w:spacing w:after="0" w:line="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Effective January 1, 2023</w:t>
      </w:r>
    </w:p>
    <w:p>
      <w:pPr>
        <w:sectPr>
          <w:pgSz w:w="11900" w:h="16838" w:orient="portrait"/>
          <w:cols w:equalWidth="0" w:num="1">
            <w:col w:w="10880"/>
          </w:cols>
          <w:pgMar w:left="340" w:top="1408" w:right="679" w:bottom="1440" w:gutter="0" w:footer="0" w:header="0"/>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Members of the Board of Directors who are not employees of the Company.</w:t>
      </w:r>
    </w:p>
    <w:p>
      <w:pPr>
        <w:spacing w:after="0" w:line="56" w:lineRule="exact"/>
        <w:rPr>
          <w:sz w:val="20"/>
          <w:szCs w:val="20"/>
          <w:color w:val="auto"/>
        </w:rPr>
      </w:pPr>
    </w:p>
    <w:p>
      <w:pPr>
        <w:sectPr>
          <w:pgSz w:w="11900" w:h="16838" w:orient="portrait"/>
          <w:cols w:equalWidth="0" w:num="2">
            <w:col w:w="1540" w:space="720"/>
            <w:col w:w="8620"/>
          </w:cols>
          <w:pgMar w:left="340" w:top="1408" w:right="67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Annual Retainer:</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22"/>
          <w:szCs w:val="22"/>
          <w:color w:val="auto"/>
        </w:rPr>
        <w:t>$90,000 per year, payable $22,500 per quarter at the beginning of each quarter. This amount will be paid in cash.</w:t>
      </w:r>
    </w:p>
    <w:p>
      <w:pPr>
        <w:spacing w:after="0" w:line="1" w:lineRule="exact"/>
        <w:rPr>
          <w:sz w:val="20"/>
          <w:szCs w:val="20"/>
          <w:color w:val="auto"/>
        </w:rPr>
      </w:pPr>
    </w:p>
    <w:p>
      <w:pPr>
        <w:sectPr>
          <w:pgSz w:w="11900" w:h="16838" w:orient="portrait"/>
          <w:cols w:equalWidth="0" w:num="2">
            <w:col w:w="1540" w:space="720"/>
            <w:col w:w="8620"/>
          </w:cols>
          <w:pgMar w:left="340" w:top="1408" w:right="67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Committee Chair Fees: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22"/>
          <w:szCs w:val="22"/>
          <w:color w:val="auto"/>
        </w:rPr>
        <w:t>Committee Chairs shall receive the following annual fees, payable quarterly in cash with the annual retainer payments:</w:t>
      </w:r>
    </w:p>
    <w:p>
      <w:pPr>
        <w:spacing w:after="0" w:line="1" w:lineRule="exact"/>
        <w:rPr>
          <w:sz w:val="20"/>
          <w:szCs w:val="20"/>
          <w:color w:val="auto"/>
        </w:rPr>
      </w:pPr>
    </w:p>
    <w:p>
      <w:pPr>
        <w:sectPr>
          <w:pgSz w:w="11900" w:h="16838" w:orient="portrait"/>
          <w:cols w:equalWidth="0" w:num="2">
            <w:col w:w="2020" w:space="240"/>
            <w:col w:w="8620"/>
          </w:cols>
          <w:pgMar w:left="340" w:top="1408" w:right="67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22"/>
          <w:szCs w:val="22"/>
          <w:color w:val="auto"/>
        </w:rPr>
        <w:t>Audit Committee: $15,500</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Compensation Committee: $12,500</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Corporate Governance Committee: $12,500</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Environmental, Social and Safety Committee: $12,500</w:t>
      </w:r>
    </w:p>
    <w:p>
      <w:pPr>
        <w:sectPr>
          <w:pgSz w:w="11900" w:h="16838" w:orient="portrait"/>
          <w:cols w:equalWidth="0" w:num="1">
            <w:col w:w="10880"/>
          </w:cols>
          <w:pgMar w:left="340" w:top="1408" w:right="679"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Lead Director Fee: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$33,000 per year, payable $8,250 per quarter in cash with the annual retainer payments.</w:t>
      </w:r>
    </w:p>
    <w:p>
      <w:pPr>
        <w:spacing w:after="0" w:line="200" w:lineRule="exact"/>
        <w:rPr>
          <w:sz w:val="20"/>
          <w:szCs w:val="20"/>
          <w:color w:val="auto"/>
        </w:rPr>
      </w:pPr>
    </w:p>
    <w:p>
      <w:pPr>
        <w:sectPr>
          <w:pgSz w:w="11900" w:h="16838" w:orient="portrait"/>
          <w:cols w:equalWidth="0" w:num="2">
            <w:col w:w="1640" w:space="620"/>
            <w:col w:w="8620"/>
          </w:cols>
          <w:pgMar w:left="340" w:top="1408" w:right="67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Annual Equity Awards: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$110,000 of Company common stock, to be granted under the Mistras Group, Inc. 2016 Long-Term Incentive Plan. The awards will be granted in two equal installments of $55,000 each, the first after the release of results for the fourth quarter of the prior year (March) and the second after the release of results for the second quarter of the current year (August).</w:t>
      </w:r>
    </w:p>
    <w:p>
      <w:pPr>
        <w:spacing w:after="0" w:line="200" w:lineRule="exact"/>
        <w:rPr>
          <w:sz w:val="20"/>
          <w:szCs w:val="20"/>
          <w:color w:val="auto"/>
        </w:rPr>
      </w:pPr>
    </w:p>
    <w:p>
      <w:pPr>
        <w:sectPr>
          <w:pgSz w:w="11900" w:h="16838" w:orient="portrait"/>
          <w:cols w:equalWidth="0" w:num="2">
            <w:col w:w="2040" w:space="220"/>
            <w:col w:w="8620"/>
          </w:cols>
          <w:pgMar w:left="340" w:top="1408" w:right="679" w:bottom="1440" w:gutter="0" w:footer="0" w:header="0"/>
          <w:type w:val="continuous"/>
        </w:sectPr>
      </w:pPr>
    </w:p>
    <w:p>
      <w:pPr>
        <w:spacing w:after="0" w:line="1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Pricing of Equity Awards: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The price per share of equity awards will be based on the average of the high and the low trading prices during the first three trading days of the Company’s permitted trading period following the release of the prior year fourth quarter results and the current year second quarter results, as applicable.</w:t>
      </w:r>
    </w:p>
    <w:p>
      <w:pPr>
        <w:sectPr>
          <w:pgSz w:w="11900" w:h="16838" w:orient="portrait"/>
          <w:cols w:equalWidth="0" w:num="2">
            <w:col w:w="1540" w:space="720"/>
            <w:col w:w="8620"/>
          </w:cols>
          <w:pgMar w:left="340" w:top="1408" w:right="67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Bertolotti, certify that:</w:t>
      </w:r>
    </w:p>
    <w:p>
      <w:pPr>
        <w:spacing w:after="0" w:line="9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pacing w:after="0" w:line="5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575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104"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30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March 31, 2023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2023</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lvl w:ilvl="1">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1" Type="http://schemas.openxmlformats.org/officeDocument/2006/relationships/hyperlink" Target="https://www.sec.gov/Archives/edgar/data/1436126/000143612623000011/wolkseparationagreementc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2023-05-05T14:09:18Z</dcterms:created>
  <dcterms:modified xsi:type="dcterms:W3CDTF">2023-05-05T14:09:18Z</dcterms:modified>
</cp:coreProperties>
</file>