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760" w:right="1880" w:hanging="3657"/>
        <w:spacing w:after="0" w:line="516"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68"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1440"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2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January 1, 2015, the registrant had 28,623,549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3"/>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November 30, 2014 (unaudited) and May 31, 2014</w:t>
              </w:r>
            </w:hyperlink>
          </w:p>
        </w:tc>
        <w:tc>
          <w:tcPr>
            <w:tcW w:w="206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Income for the three and six months ended November 30, 2014 and 2013</w:t>
              </w:r>
            </w:hyperlink>
          </w:p>
        </w:tc>
        <w:tc>
          <w:tcPr>
            <w:tcW w:w="1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Comprehensive Income for the three and six months ended November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2014 and 2013</w:t>
              </w:r>
            </w:hyperlink>
          </w:p>
        </w:tc>
        <w:tc>
          <w:tcPr>
            <w:tcW w:w="7900" w:type="dxa"/>
            <w:vAlign w:val="bottom"/>
            <w:tcBorders>
              <w:top w:val="single" w:sz="8" w:color="0000EE"/>
            </w:tcBorders>
            <w:gridSpan w:val="12"/>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Cash Flows for the six months ended November 30,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720" w:type="dxa"/>
            <w:vAlign w:val="bottom"/>
            <w:tcBorders>
              <w:top w:val="single" w:sz="8" w:color="0000EE"/>
            </w:tcBorders>
            <w:gridSpan w:val="3"/>
          </w:tcPr>
          <w:p>
            <w:pPr>
              <w:spacing w:after="0"/>
              <w:rPr>
                <w:sz w:val="24"/>
                <w:szCs w:val="24"/>
                <w:color w:val="auto"/>
              </w:rPr>
            </w:pPr>
          </w:p>
        </w:tc>
        <w:tc>
          <w:tcPr>
            <w:tcW w:w="5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520" w:type="dxa"/>
            <w:vAlign w:val="bottom"/>
            <w:gridSpan w:val="3"/>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4.A</w:t>
              </w:r>
            </w:hyperlink>
          </w:p>
        </w:tc>
        <w:tc>
          <w:tcPr>
            <w:tcW w:w="91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4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w:t>
              </w:r>
            </w:hyperlink>
          </w:p>
        </w:tc>
        <w:tc>
          <w:tcPr>
            <w:tcW w:w="1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5.</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0" w:type="dxa"/>
            <w:vAlign w:val="bottom"/>
            <w:gridSpan w:val="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SIGNATURES</w:t>
              </w:r>
            </w:hyperlink>
          </w:p>
        </w:tc>
        <w:tc>
          <w:tcPr>
            <w:tcW w:w="52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November 30, 2014</w:t>
            </w:r>
          </w:p>
        </w:tc>
        <w:tc>
          <w:tcPr>
            <w:tcW w:w="2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164,888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137,824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11,376</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3,283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175,129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77,811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61,543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57,875</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532,071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443,972</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54,650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86,791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13,664</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14,699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17,014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201,580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shares authorized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204,987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201,831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242,392</w:t>
            </w: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532,071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443,972</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November 30,</w:t>
            </w: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5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206,893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156,755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373,466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292,593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196,747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8,592</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87,254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58,548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4,958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24,827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19,599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Less: net loss (income) attributable to noncontrolling interests,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taxes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14,898</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29,397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29,147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November 30,</w:t>
            </w: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162"/>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2,432</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attributable to Mistras Group,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17,330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 November 30,</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 to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deposit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borrowings against revolver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share-based awards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notes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20,500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2015 and 2014.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2014, as filed with the Securities and Exchange Commission on August 8,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 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our Annual Report. On an ongoing basis, we evaluate its estimates and assumptions, including, among other things those related to revenue recognition, valuations of accounts receivable, long-lived assets, goodwill, deferred tax assets and uncertain tax positions. Since the date of the 2014 Annual Report, there have been no material changes to our significant accounting policies.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On May 28, 2014, the Financial Accounting Standards Board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requires an entity to recognize the amount of revenue to which it expects to be entitled for the transfer of promised goods or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74"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November 30, 2014 and 2013, the Company recognized share-based compensation expense related to stock option awards of less than $0.1 million and $0.1 million, respectively. For the six months ended November 30, 2014 and 2013, the Company recognized share-based compensation expense related to stock option awards of less than $0.1 million and $0.7 million respectively. As of November 30, 2014, there was less than $0.1 million of unrecognized compensation costs, net of estimated forfeitures, related to stock option awards, which are expected to be recognized over a remaining weighted average period of 1.3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six months ended November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each of the three months ended November 30, 2014 and 2013, the Company recognized share-based compensation expense related to restricted stock unit awards of $1.2 million and $1.1 million, respectively. For the six months ended November 30, 2014 and 2013, the Company recognized share-based compensation expense related to restricted stock unit awards of $2.3 million and $1.9 million, respectively. As of November 30, 2014, there was $10.2 million of unrecognized compensation costs, net of estimated forfeitures, related to restricted stock unit awards, which are expected to be recognized over a remaining weighted average period of 2.6 years.</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the first quarter of fiscal 2015 and 2014, the Company granted approximately 10,000 shares of fully-vested common stock to its five non-employee directors, in connection with its non-employee director compensation plan. These shares had grant date fair values of $0.2 million for each period respectively, which was recorded as share-based compensation expense during the six months ended November 30, 2014 and 2013.</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first half of fiscal 2015 and 2014, approximately 226,000 and 175,000 restricted stock units, respectively, vested. The fair value of these units was $4.9 million and $3.2 million, respectively. Upon vesting, restricted stock units are generally net share-settled to cover the required minimum withholding tax and the remaining amount is converted into an equivalent number of shares of common stock.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second quarter of fiscal 2015, the company granted performance restricted stock units to its executive and certain other senior officers. These units have requisite service (vesting) periods of three years and have no dividend rights. For the three months ended November 30, 2014, the Company recognized share-based compensation expense related to performance restricted stock units of $0.1 million. At November 30, 2014, there was $1.8 million of total unrecognized compensation costs related to approximately 115,000 non-vested performance restricted stock units. These costs are expected to be recognized over a weighted-average period of approximately 2.8 years. The actual payout of these units will vary based on the Company’s performance over a three -year period (based on pre-established targets) and a market condition modifier based on total shareholder return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second quarter of fiscal 2014, the company granted performance restricted stock units to its executive and certain other senior officers. These units have requisite service (vesting) periods of three years and have no dividend rights.</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For the three months ended November 30, 2014 and 2013, the Company recognized share-based compensation expense related to performance restricted stock units of $0.8 million and less than $0.1 million, respectively. For the six months ended November 30, 2014 and 2013, the Company recognized share-based compensation expense related to performance restricted stock units of $1.6 million and less than $0.1 million , respectively. At November 30, 2014, there was $5.7 million of total unrecognized compensation costs related to approximately 423,000 non-vested performance restricted stock units. These costs are expected to be recognized over a weighted-average period of approximately 1.8 years. The actual payout of these units will vary based on the Company’s performance over one, two and three-year periods (based on pre-established targets) and a market condition modifier based on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 The one-year performance condition of the fiscal 2014 awards was not achieved. The one-year market condition of the fiscal 2014 awards was achieved and will payout at 170% of target once the requisite service period is complete.</w:t>
      </w:r>
    </w:p>
    <w:p>
      <w:pPr>
        <w:spacing w:after="0" w:line="183"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162"/>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28,309</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0.53</w:t>
            </w:r>
          </w:p>
        </w:tc>
      </w:tr>
      <w:tr>
        <w:trPr>
          <w:trHeight w:val="284"/>
        </w:trPr>
        <w:tc>
          <w:tcPr>
            <w:tcW w:w="5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14,898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28,309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136</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29,147</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0.51</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first half of fiscal 2015, the Company completed three acquisitions. The Company purchased The NACHER Corporation, located in Louisiana, a provider of maintenance and inspection services primarily on offshore platforms. This acquisition expands the service offerings within the Services segment, allowing the Company to provide services to the upstream operations of its customers. The Company also purchased a group of asset protection businesses located in Quebec, Canada to continue its market expansion strategy. The Company’s International Segment completed an acquisition of an asset inspection business located in the United Kingdom.</w:t>
      </w:r>
    </w:p>
    <w:p>
      <w:pPr>
        <w:spacing w:after="0" w:line="18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these acquisitions, the Company acquired 100% of the common stock or certain assets of each acquiree in exchange for aggregate consideration of approximately $33.7 million in cash and $20.5 million in notes payable issued as part of the acquisition and other liabilities assumed. The Company accounted for these transactions in accordance with the acquisition method of accounting for business combinations. In addition, the acquisition in Quebec provides for contingent consideration of up to $2.7 million to be earned based upon the acquired business achieving specific performance metrics over the next three years of operation. The Company is in the process of completing the preliminary purchase price allocations.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half of fiscal 2014, the Company completed an acquisition of a professional engineering consulting and technical training services company located in the U.S. serving the hydrocarbon processing and other energy-related industries. This company was acquired to complement service offerings within the Company’s Services segment and expand its technical capabilities. The Company acquired 100% of the common stock in exchange for $1.5 million in cash.</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is continuing its review of the fair value estimate of assets acquired and liabilities assumed for one entity acquired in fiscal 2014. This process will conclude as soon as the Company finalizes information regarding facts and circumstances that existed as of the acquisition date. Goodwill and intangibles for this entity totaled $0.6 million and $1.6 million, respectively. This measurement period will not exceed one year from the acquisition date.</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assets and liabilities of the businesses acquired in fiscal 2015 were included in the Company’s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these acquisitions are included in each respective operating segment’s results of operations from the date of acquisition. For acquisitions in fiscal 2015 and 2014 for which the final purchase accounting has yet to be completed, the Company’s</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preliminary purchase price allocations are included in the table below, summarizing the estimated fair value of the assets acquired and liabilities assumed at the date of acquisition: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w:t>
            </w:r>
          </w:p>
        </w:tc>
        <w:tc>
          <w:tcPr>
            <w:tcW w:w="112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162"/>
        </w:trPr>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Notes payable issued to seller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Consideration transferred</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53,902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2,597</w:t>
            </w:r>
          </w:p>
        </w:tc>
      </w:tr>
      <w:tr>
        <w:trPr>
          <w:trHeight w:val="284"/>
        </w:trPr>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Current deferred tax asset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Long-term deferred tax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2,597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amortization period of intangible assets acquired in fiscal 2015 ranges from 3 to 10 years. The Company recorded $42.9 million of goodwill in connection with these acquisitions, reflecting the strategic fit and revenue and earnings growth potential of these business.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Revenues and operating income from these acquisitions for the period subsequent to the closing of these transactions were $25.9 million and $2.7 million, respectively, for the six month period ended November 30, 2014. No unaudited pro forma financial information is required as these acquisitions are not significant to the Company.</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and six month periods ended November 30, 2014, the Company incurred acquisition-related costs of $0.2 million, in connection with due diligence, professional fees, and other expenses related to its acquisition activity. Additionally, the Company adjusted the fair value of certain previously recorded acquisition-related contingent consideration liabilities. For the three and six month periods ended November 30, 2014, these adjustments resulted in a net decrease of acquisition-related contingent consideration liabilities and a corresponding increase in income from operations of $0.6 million and $1.6 million, respectively. The Company’s aggregate acquisition-related contingent consideration liabilities were $12.5 million and $14.1 million as of November 30, 2014 and May 31, 2014, respectively.</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six month period ended November 30, 2013, the Company incurred acquisition-related costs of $0.4 million and $0.5 million in connection with due diligence, professional fees, and other expenses for its acquisition activity. Additionally, the Company adjusted the fair value of certain acquisition-related contingent consideration liabilities. For the three and six month periods ended November 30, 2013, these adjustments resulted in a net decrease of acquisition-related contingent consideration liabilities and a corresponding increase in income from operations of approximately $0.8 million and $3.0 million, respectively.</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 net in the condensed consolidated statements of income for the three and six month periods ended November 30, 2014 and 2013.</w:t>
      </w:r>
    </w:p>
    <w:p>
      <w:pPr>
        <w:spacing w:after="0" w:line="120"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2" w:right="2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 2014</w:t>
            </w:r>
          </w:p>
        </w:tc>
        <w:tc>
          <w:tcPr>
            <w:tcW w:w="26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31, 2014</w:t>
            </w:r>
          </w:p>
        </w:tc>
      </w:tr>
      <w:tr>
        <w:trPr>
          <w:trHeight w:val="162"/>
        </w:trPr>
        <w:tc>
          <w:tcPr>
            <w:tcW w:w="7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140,120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30, 2014</w:t>
            </w:r>
          </w:p>
        </w:tc>
        <w:tc>
          <w:tcPr>
            <w:tcW w:w="300" w:type="dxa"/>
            <w:vAlign w:val="bottom"/>
          </w:tcPr>
          <w:p>
            <w:pPr>
              <w:spacing w:after="0"/>
              <w:rPr>
                <w:sz w:val="16"/>
                <w:szCs w:val="16"/>
                <w:color w:val="auto"/>
              </w:rPr>
            </w:pPr>
          </w:p>
        </w:tc>
        <w:tc>
          <w:tcPr>
            <w:tcW w:w="1520" w:type="dxa"/>
            <w:vAlign w:val="bottom"/>
          </w:tcPr>
          <w:p>
            <w:pPr>
              <w:jc w:val="right"/>
              <w:ind w:right="413"/>
              <w:spacing w:after="0"/>
              <w:rPr>
                <w:sz w:val="20"/>
                <w:szCs w:val="20"/>
                <w:color w:val="auto"/>
              </w:rPr>
            </w:pPr>
            <w:r>
              <w:rPr>
                <w:rFonts w:ascii="Arial" w:cs="Arial" w:eastAsia="Arial" w:hAnsi="Arial"/>
                <w:sz w:val="14"/>
                <w:szCs w:val="14"/>
                <w:b w:val="1"/>
                <w:bCs w:val="1"/>
                <w:color w:val="auto"/>
              </w:rPr>
              <w:t>May 31, 2014</w:t>
            </w:r>
          </w:p>
        </w:tc>
      </w:tr>
      <w:tr>
        <w:trPr>
          <w:trHeight w:val="162"/>
        </w:trPr>
        <w:tc>
          <w:tcPr>
            <w:tcW w:w="7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2,069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Services-related consumable supplies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2,182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November 30, 2014</w:t>
            </w:r>
          </w:p>
        </w:tc>
        <w:tc>
          <w:tcPr>
            <w:tcW w:w="300" w:type="dxa"/>
            <w:vAlign w:val="bottom"/>
          </w:tcPr>
          <w:p>
            <w:pPr>
              <w:spacing w:after="0"/>
              <w:rPr>
                <w:sz w:val="14"/>
                <w:szCs w:val="14"/>
                <w:color w:val="auto"/>
              </w:rPr>
            </w:pPr>
          </w:p>
        </w:tc>
        <w:tc>
          <w:tcPr>
            <w:tcW w:w="15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17,948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156,979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144,798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176,888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(102,297)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(99,077)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82,266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expense for the three months ended November 30, 2014 and 2013 was $5.5 million and $4.6 million, respectively. Depreciation expense for the six months ended November 30, 2014 and 2013 was $10.9 million and $9.2 million, respectively.</w:t>
      </w:r>
    </w:p>
    <w:p>
      <w:pPr>
        <w:spacing w:after="0" w:line="166"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November 30,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87,595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47,759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121,662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61,543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113,063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57,875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expense for the three months ended November 30, 2014 and 2013 was $2.9 million and $2.2 million, respectively. Amortization expense for the six months ended November 30, 2014 and 2013 was $5.8 million and $4.3 million, respectively.</w:t>
      </w:r>
    </w:p>
    <w:p>
      <w:pPr>
        <w:spacing w:after="0" w:line="166"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November 30, 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54,594</w:t>
            </w: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54,650</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7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7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November 30, 2014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123,796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61,148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155,068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76,648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137,080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68,590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31, 2014, the Company entered into a Third Amendment and Modification Agreement (the “Amendment”), to its revolving line of credit, the Third Amended and Restated Credit Agreement (“Credit Agreement”), dated December 21, 2011, with Bank of America, N.A., as agent for the lenders and a lender, and JPMorgan Chase Bank, N.A., Keybank, National Association and TD Bank, N.A., as lenders. The Amendment increased the Company’s revolving line of credit to from $125.0 million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 As of November 30, 2014, the Company had borrowings of $123.8 million and a total of $4.2 million of letters of credit outstanding under the Credit Agreement.</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or based upon the Company’s Funded Debt Leverage Ratio. Funded Debt Leverage Ratio is generally the ratio of</w:t>
      </w:r>
    </w:p>
    <w:p>
      <w:pPr>
        <w:ind w:right="120" w:firstLine="8"/>
        <w:spacing w:after="0" w:line="281"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w:t>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amounts not paid when due. Amounts borrowed under the Credit Agreement are secured by liens on substantially all of the assets of the Company.</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no greater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November 30, 2014,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certain of its acquisitions through fiscal 2015, the Company issued subordinated notes payable to the sellers. The maturity of these notes range from two to five years from the date of acquisition with stated interest rates ranging from 0% to 4%. The Company has discounted these obligations to reflect a 2% to 4% market interest. Unamortized discount on the notes was de minimis as of November 30, 2014 and May 31, 2014. Amortization is recorded as interest expense in the consolidated statements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November 30,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12,531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12,531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95"/>
              </w:rPr>
              <w:t>May 31, 2014</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14,145</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on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fiscal 2012 and 2013, the Company performed radiography work on the construction of pipeline projects in Georgia. The Company has received notice that the owner of the pipeline projects contends that certain of the x-ray images the Company’s technicians prepared did not meet the code quality interpretation standards required by API (American Petroleum Institute) 1104. The owner of the projects is claiming damages as a result of the alleged quality defects of the Company’s x-ray images. No lawsuit has been filed at this time. The Company is currently unable to determine the likely outcome or reasonably estimate the amount or range of potential liability related to this matter, and accordingly, has not established any reserves for this matter.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received a notice from an insurance company of a chemical plant alleging that the Company is liable due to faulty inspections for all or part of $46 million of damages paid by the insurance company as a result of an explosion at the facility. The Company believes it was not involved in inspecting the portion of the plant where the explosion occurred and therefore has no liability for the claim. Accordingly, the Company has not established a reserve for this matter.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November 30, 2014, total potential acquisition-related contingent consideration ranged from zero to approximately $26.9 million and would be payable upon the achievement of specific performance metrics by certain of the acquired companies over the next three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60" w:hanging="484"/>
        <w:spacing w:after="0" w:line="264" w:lineRule="auto"/>
        <w:tabs>
          <w:tab w:leader="none" w:pos="897"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1140" w:right="60" w:hanging="484"/>
        <w:spacing w:after="0" w:line="264"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40" w:hanging="484"/>
        <w:spacing w:after="0" w:line="277" w:lineRule="auto"/>
        <w:tabs>
          <w:tab w:leader="none" w:pos="89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1 — </w:t>
      </w:r>
      <w:r>
        <w:rPr>
          <w:rFonts w:ascii="Arial" w:cs="Arial" w:eastAsia="Arial" w:hAnsi="Arial"/>
          <w:sz w:val="17"/>
          <w:szCs w:val="17"/>
          <w:i w:val="1"/>
          <w:iCs w:val="1"/>
          <w:color w:val="auto"/>
        </w:rPr>
        <w:t>Description of Business and Basis of Presentation</w:t>
      </w:r>
      <w:r>
        <w:rPr>
          <w:rFonts w:ascii="Arial" w:cs="Arial" w:eastAsia="Arial" w:hAnsi="Arial"/>
          <w:sz w:val="17"/>
          <w:szCs w:val="17"/>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160,874</w:t>
            </w:r>
          </w:p>
        </w:tc>
        <w:tc>
          <w:tcPr>
            <w:tcW w:w="10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108,862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282,806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204,672</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41,018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80,968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15,189</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r>
      <w:tr>
        <w:trPr>
          <w:trHeight w:val="237"/>
        </w:trPr>
        <w:tc>
          <w:tcPr>
            <w:tcW w:w="51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206,893</w:t>
            </w:r>
          </w:p>
        </w:tc>
        <w:tc>
          <w:tcPr>
            <w:tcW w:w="10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156,755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373,466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292,593</w:t>
            </w:r>
          </w:p>
        </w:tc>
      </w:tr>
      <w:tr>
        <w:trPr>
          <w:trHeight w:val="27"/>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96"/>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24"/>
                <w:szCs w:val="24"/>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44,252</w:t>
            </w:r>
          </w:p>
        </w:tc>
        <w:tc>
          <w:tcPr>
            <w:tcW w:w="10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30,918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74,023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57,665</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23,413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6,102</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r>
      <w:tr>
        <w:trPr>
          <w:trHeight w:val="237"/>
        </w:trPr>
        <w:tc>
          <w:tcPr>
            <w:tcW w:w="51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47,977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101,033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87,254</w:t>
            </w:r>
          </w:p>
        </w:tc>
      </w:tr>
      <w:tr>
        <w:trPr>
          <w:trHeight w:val="27"/>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96"/>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24"/>
                <w:szCs w:val="24"/>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21"/>
                <w:szCs w:val="21"/>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28,951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25,246</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1,060</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21,856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24,827</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1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2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5,579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8,391</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3,905</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1,166</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37"/>
        </w:trPr>
        <w:tc>
          <w:tcPr>
            <w:tcW w:w="5240" w:type="dxa"/>
            <w:vAlign w:val="bottom"/>
          </w:tcPr>
          <w:p>
            <w:pPr>
              <w:spacing w:after="0"/>
              <w:rPr>
                <w:sz w:val="20"/>
                <w:szCs w:val="20"/>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8,386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13,550</w:t>
            </w:r>
          </w:p>
        </w:tc>
      </w:tr>
      <w:tr>
        <w:trPr>
          <w:trHeight w:val="27"/>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30, 2014</w:t>
            </w:r>
          </w:p>
        </w:tc>
        <w:tc>
          <w:tcPr>
            <w:tcW w:w="260" w:type="dxa"/>
            <w:vAlign w:val="bottom"/>
          </w:tcPr>
          <w:p>
            <w:pPr>
              <w:spacing w:after="0"/>
              <w:rPr>
                <w:sz w:val="16"/>
                <w:szCs w:val="16"/>
                <w:color w:val="auto"/>
              </w:rPr>
            </w:pP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115,039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73,767</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13,197</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130,516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136"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2" w:right="259" w:bottom="1136"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30, 2014</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345,133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249,378</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155,571</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35,697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38,041</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r>
      <w:tr>
        <w:trPr>
          <w:trHeight w:val="237"/>
        </w:trPr>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532,071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443,972</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six months ended November 30, 2014 and 2013,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140,308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99,497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252,248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182,654</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27,172</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38,081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72,805</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9,962</w:t>
            </w:r>
          </w:p>
        </w:tc>
      </w:tr>
      <w:tr>
        <w:trPr>
          <w:trHeight w:val="237"/>
        </w:trPr>
        <w:tc>
          <w:tcPr>
            <w:tcW w:w="5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206,893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156,755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373,466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292,593</w:t>
            </w:r>
          </w:p>
        </w:tc>
      </w:tr>
      <w:tr>
        <w:trPr>
          <w:trHeight w:val="27"/>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7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six months ended November 30, 2014 and 2013.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2014 (“2014 Annual Report”). In this quarterly report, our fiscal years, which end on May 31, are identified according to the calendar year in which they end (e.g., the fiscal year ending May 31, 2015 is referred to as “fiscal 2015”), and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in the “Business—Forward-Looking Statements,” and “Risk Factors” sections of our 2014 Annual Report as well as those discussed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offer our customers “one source for asset protection solutions” ®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66" w:lineRule="exact"/>
        <w:rPr>
          <w:sz w:val="20"/>
          <w:szCs w:val="20"/>
          <w:color w:val="auto"/>
        </w:rPr>
      </w:pPr>
    </w:p>
    <w:p>
      <w:pPr>
        <w:ind w:left="740" w:right="200" w:hanging="246"/>
        <w:spacing w:after="0" w:line="264" w:lineRule="auto"/>
        <w:tabs>
          <w:tab w:leader="none" w:pos="7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Canadian services business, consisting primarily of NDT,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60" w:hanging="246"/>
        <w:spacing w:after="0" w:line="342" w:lineRule="auto"/>
        <w:tabs>
          <w:tab w:leader="none" w:pos="7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740" w:right="40" w:hanging="246"/>
        <w:spacing w:after="0" w:line="277" w:lineRule="auto"/>
        <w:tabs>
          <w:tab w:leader="none" w:pos="7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global economy continues to be fragile. Global financial markets continue to experience uncertainty, including tight liquidity and credit availability, relatively low consumer confidence, slow economic growth, persistently high unemployment rates and volatile currency exchange rates. However, we believe these conditions have allowed us to selectively hire new talented individuals that otherwise might not have been available to us, to acquire new technologies in order to aggressively expand our proprietary portfolio of customized solutions, and to make acquisitions of complementary businesses at reasonable valuations.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and six months ended November 30, 2014 and 2013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November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November 30,</w:t>
            </w:r>
          </w:p>
        </w:tc>
        <w:tc>
          <w:tcPr>
            <w:tcW w:w="96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r>
      <w:tr>
        <w:trPr>
          <w:trHeight w:val="250"/>
        </w:trPr>
        <w:tc>
          <w:tcPr>
            <w:tcW w:w="4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206,893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156,755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373,466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292,593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47,977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101,033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87,254</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40,847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32,725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79,177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62,427</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15,252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21,856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24,827</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1,517</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16,840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19,599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23,310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8,391</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14,919</w:t>
            </w: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w w:val="96"/>
              </w:rPr>
              <w:t>Less: net loss (income) attributable to noncontrolling interests,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380" w:type="dxa"/>
            <w:vAlign w:val="bottom"/>
          </w:tcPr>
          <w:p>
            <w:pPr>
              <w:spacing w:after="0"/>
              <w:rPr>
                <w:sz w:val="20"/>
                <w:szCs w:val="20"/>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(21)</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9,257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14,898</w:t>
            </w:r>
          </w:p>
        </w:tc>
      </w:tr>
      <w:tr>
        <w:trPr>
          <w:trHeight w:val="20"/>
        </w:trPr>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6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three and six months ended November 30, 2014 and 2013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November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November 30,</w:t>
            </w:r>
          </w:p>
        </w:tc>
        <w:tc>
          <w:tcPr>
            <w:tcW w:w="9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and Adjusted EBITDA data</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14,898</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8,391</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26,593</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38,531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38,356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Acquisition-related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28,249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22,639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41,393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38,595</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and, if applicable, certain non-recurring items which we note.</w:t>
      </w:r>
    </w:p>
    <w:p>
      <w:pPr>
        <w:spacing w:after="0" w:line="15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Later in the MD&amp;A under the heading "Income for Operations", the non-GAAP financial performance measures "Income from operations before acquistion-related expense (benefit), net” are used for each of our three segments and the "Total Company", with tables reconciling the measures to financial measures under GAAP. These non-GAAP measures exclude from the GAAP measures income from operations (a) transaction expenses related to acquisitions, such as professional fees and due diligence costs and (b) the net changes in the fair value of acquisition-related contingent consideration liabilities. These items have been excluded from the GAAP measures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investors and other users of our financial statements benefit from the presentation of EBITDA, Adjusted EBITDA and "Income from operations before acquisition-related expense (benefit), net” for each of our three segments and the "Total Company" in evaluating our operating performance because they provide additional tools to compare our operating performance on a consistent basis and measure underlying trends and results in our business. EBITDA and Adjusted EBITDA remove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 Similarly, we believe that "Income from operations before acquisition-related expense (benefit), net” for each of our three segments and the "Total Company", provides investors with useful information and more meaningful period over period comparisons by identifying and excluding these acquisition-related costs so that the performance of the core business operations can be identified and compared.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generally accepted accounting principles. In addition, acquisitions are a part of our growth strategy, and therefore acquisition-related items are a necessary cost of the Company’s business. "Income from operations before acquisition-related expense (benefit), net” for each of our three segments and for the consolidated company are not metrics used to determine incentive compensation for executives or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were $206.9 million for the three months ended November 30, 2014 compared to $156.8 million for the three months ended November 30,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Revenues were $373.5 million for the six months ended November 30, 2014 compared to $292.6 million for the six months ended November 30, 2013.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six months ended November 30, 2014 and 2013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160,874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108,862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282,806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204,672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81,056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80,968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14,062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15,189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r>
      <w:tr>
        <w:trPr>
          <w:trHeight w:val="237"/>
        </w:trPr>
        <w:tc>
          <w:tcPr>
            <w:tcW w:w="51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206,893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156,755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373,466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292,593</w:t>
            </w: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growth rates for the three and six months ended November 30, 2014 and 2013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Three months ended November 30,</w:t>
            </w:r>
          </w:p>
        </w:tc>
        <w:tc>
          <w:tcPr>
            <w:tcW w:w="360" w:type="dxa"/>
            <w:vAlign w:val="bottom"/>
          </w:tcPr>
          <w:p>
            <w:pPr>
              <w:spacing w:after="0"/>
              <w:rPr>
                <w:sz w:val="16"/>
                <w:szCs w:val="16"/>
                <w:color w:val="auto"/>
              </w:rPr>
            </w:pPr>
          </w:p>
        </w:tc>
        <w:tc>
          <w:tcPr>
            <w:tcW w:w="284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Six months ended November 30,</w:t>
            </w:r>
          </w:p>
        </w:tc>
      </w:tr>
      <w:tr>
        <w:trPr>
          <w:trHeight w:val="264"/>
        </w:trPr>
        <w:tc>
          <w:tcPr>
            <w:tcW w:w="49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4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0"/>
              </w:rPr>
              <w:t>($ in thousands)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0"/>
              </w:rPr>
              <w:t>($ in thousands)</w:t>
            </w:r>
          </w:p>
        </w:tc>
        <w:tc>
          <w:tcPr>
            <w:tcW w:w="102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growth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50,138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19,026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80,873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41,477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 Growth over prior year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Comprised of:</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 of organic growth</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of acquisition growth</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 foreign exchange increase</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second quarter of fiscal 2015, our revenue growth was entirely driven by our Services segment. Services segment revenues increased approximately 48% due to acquisition growth of approximately 26% and organic growth of approximately 22%. International Segment’s revenues declined by approximately 5%, driven by projects in the United Kingdom and product sales in Japan and Russia in fiscal 2014 that did not repeat. Products and Systems segment revenues declined by approximately 13% driven by lower revenue in our Acoustic Emission and NDT product lines.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continued to experience year-on-year growth in its key vertical markets during the second quarter of fiscal 2015. Oil and gas revenues grew by approximately 49% and remained the Company’s most significant vertical market, reflecting 54% and 48% of total Company revenues in the second quarter of fiscal 2015 and 2014, respectively. We also experienced growth in several of our other target markets, primarily industrials, process industries and power generation and transmission. The Company’s top ten customers comprised approximately 35% of total revenues in the second quarter of fiscal 2015 compared with 36% in the second quarter of the prior fiscal year.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the first six months of fiscal 2015, our revenue growth was primarily driven by our Services segment. Services segment revenues increased 38% due to acquisition growth of approximately 22% and organic growth of approximately 16%. International Segment’s revenues were flat compared with prior year. Products and Systems segment revenues declined approximately 7% primarily due to lower revenue in our Acoustic Emission product line.</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continued to experience year-on-year growth in its key vertical markets during the first six months of fiscal 2015. Oil and gas revenues grew by approximately 37% and remained the Company’s most significant vertical market, reflecting 52% and 48% of total Company revenues in the first six months of fiscal 2015 and 2014, respectively. We also experienced growth in several of our other target markets, primarily industrials, power generation and transmission, process industries and public infrastructure. The Company’s top ten customers comprised approximately 32% of total revenues in the first six months of fiscal 2015 compared with 35% in the first six months of the prior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Gross profit increased by $11.1 million, or 23%, to $59.0 million in the second quarter of fiscal 2015, compared with $48.0 million in the second quarter of fiscal 2014. Gross profit increased by $13.8 million, or 16%, to $101.0 million during the first six months of fiscal 2015, compared with $87.3 million in the first six months of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November 30, 2014 and 2013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November 30,</w:t>
            </w:r>
          </w:p>
        </w:tc>
        <w:tc>
          <w:tcPr>
            <w:tcW w:w="340" w:type="dxa"/>
            <w:vAlign w:val="bottom"/>
          </w:tcPr>
          <w:p>
            <w:pPr>
              <w:spacing w:after="0"/>
              <w:rPr>
                <w:sz w:val="16"/>
                <w:szCs w:val="16"/>
                <w:color w:val="auto"/>
              </w:rPr>
            </w:pPr>
          </w:p>
        </w:tc>
        <w:tc>
          <w:tcPr>
            <w:tcW w:w="27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Six months ended November 30,</w:t>
            </w:r>
          </w:p>
        </w:tc>
      </w:tr>
      <w:tr>
        <w:trPr>
          <w:trHeight w:val="264"/>
        </w:trPr>
        <w:tc>
          <w:tcPr>
            <w:tcW w:w="51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44,252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30,918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74,023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57,665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23,413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6,102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r>
      <w:tr>
        <w:trPr>
          <w:trHeight w:val="237"/>
        </w:trPr>
        <w:tc>
          <w:tcPr>
            <w:tcW w:w="51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59,039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47,977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101,033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87,254</w:t>
            </w: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percentage of revenues, gross profit was 29% and 31% for the second quarters of fiscal 2015 and 2014, respectively. The decrease in gross profit percentage was primarily attributable to the Services and International segments. Service segment gross profit margin was 28%, a decline of 90 basis points from the second quarter of fiscal 2014, due primarily to a continued investment in expanding the Company’s capability to service the Canadian oil sands region, wage increases that exceeded price increases, and a lower mix of advanced services. International segment gross margins decreased to 28% in the second quarter of fiscal 2015 compared with 31% in the prior year, due primarily to a lower level of project sales in the U.K. and product sales which typically have higher margins. Products and Systems segment gross margin improved to 44% compared to 43% in the prior year driven by cost reductions and higher margin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a percentage of revenues, gross profit was 27% and 30% for the first six months of fiscal 2015 and 2014, respectively. The decrease in gross profit percentage was primarily attributable to the Services and International segments. Service segment gross profit margin declined to 26% compared to 28% in the first six months of fiscal 2014, due primarily to a continued investment in expanding the Company’s capability to service the Canadian oil sands region, wage increases that exceeded price increases, and a lower mix of advanced services. International segment gross margins decreased to 26% in the first six months of fiscal 2015 compared with 29% in the prior year, due primarily to a lower level of project sales in the U.K. and of product sales which typically have higher margins. Products and Systems segment gross margin improved to 43% compared to 40% in the prior year driven by cost reductions and higher margin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before acquisition-related expense (benefit), net, to income from operations for each of the Company's three segments and for the Company in total: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November 30,</w:t>
            </w:r>
          </w:p>
        </w:tc>
        <w:tc>
          <w:tcPr>
            <w:tcW w:w="220" w:type="dxa"/>
            <w:vAlign w:val="bottom"/>
          </w:tcPr>
          <w:p>
            <w:pPr>
              <w:spacing w:after="0"/>
              <w:rPr>
                <w:sz w:val="16"/>
                <w:szCs w:val="16"/>
                <w:color w:val="auto"/>
              </w:rPr>
            </w:pPr>
          </w:p>
        </w:tc>
        <w:tc>
          <w:tcPr>
            <w:tcW w:w="24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Six months ended November 30,</w:t>
            </w:r>
          </w:p>
        </w:tc>
      </w:tr>
      <w:tr>
        <w:trPr>
          <w:trHeight w:val="264"/>
        </w:trPr>
        <w:tc>
          <w:tcPr>
            <w:tcW w:w="58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21"/>
                <w:szCs w:val="2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14,387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29,737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25,402</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28,951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25,246</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w w:val="97"/>
              </w:rPr>
              <w:t>Income from operations before acquisition-related expense (benefit),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5,337</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9,108</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Loss from operations before acquisition-related (benefit),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Loss from operations before acquisition-related (benefit),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(8,445)</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(10,587)</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30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 before acquisition-related (benefit),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17,758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20,461</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22,319</w:t>
            </w:r>
          </w:p>
        </w:tc>
      </w:tr>
      <w:tr>
        <w:trPr>
          <w:trHeight w:val="251"/>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21,856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24,827</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November 30, 2014, income from operations exclusive of acquisition-related costs increased $2.9 million, or 20%, compared with the prior year’s quarter. As a percentage of revenues, income from operations excluding acquisition-related items was 9% for the second quarters of fiscal 2015 and 2014, respectively.</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Operating expenses excluding acquisition-related items increased by $8.1 million or 25%, compared with the prior year’s second quarter. This increase was primarily from the Services segment, which incurred a year-on-year operating expense increase of $7.1 million, or 43%, exclusive of acquisition-related charges. The impact of recent acquisitions accounted for $4.9 million of this increase. The remainder of the increase in Services operating expenses was primarily due to increased salary, benefits and facility-related costs incurred due to growth in Canada and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November 30, 2014, income from operations exclusive of acquisition-related costs decreased $1.9 million or 8%, compared with the prior year’s first half. As a percentage of revenues, income from operations excluding acquisition-related items was 5% and 8% for the first half of fiscal 2015 and 2014, respectively.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expenses increased by $16.8 million, or 27% compared with the prior year’s first half, and by $15.6 million, or 24%, excluding acquisition-related items. This increase was driven by the Services segment, which incurred a year-on-year operating expense increase of $12.0 million or 37%, exclusive of acquisition-related charges. The impact of recent acquisitions accounted for $7.6 million of this increase. The remainder of the increase in Services operating expenses was primarily due to increased salary, benefits and facility-related costs incurred due to growth in Canada and in the United States. Corporate operating</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expenses increased $2.5 million or 30%, exclusive of acquisition-related charges primarily due to increased share-based compensation expense, and higher salary and benefits expenses due to growth. Operating expenses in the International segment increased $1.2 million or 6%, exclusive of acquisition-related charges primarily due to increased salary and benefits costs from increased headcount and recent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expense was approximately $1.4 million and $0.8 million for the second quarters of fiscal 2015 and 2014, respectively. The increase was primarily related to an increase in average borrowings in the second quarter of fiscal 2015. Interest expense was approximately $2.3 million and $1.5 million for the first six months of fiscal 2015 and 2014, respectively. The increase was primarily related to an increase in average borrowings in the first six months of fiscal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effective income tax rate was approximately 38% and 36% for the second quarter of fiscal 2015 and 2014, respectively. The increase was primarily due to a lower proportion of income from various foreign jurisdictions that carry lower tax rates and higher state income taxes, partially offset by lower permanent tax differences. The Company’s effective income tax rate was approximately 38% and 36% for the first six months of fiscal 2015 and 2014, respectively. The increase was primarily due to the same items described above for the second quarter of fiscal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November 30,</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15,634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46,810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13,130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November 30, 2014, cash provided by our operating activities was $3.2 million, a decrease of $12.4 million from the comparable period of fiscal 2014. The decrease of cash provided by our operating activities was primarily attributable to a reduction in working capital items of $17.6 million, primarily accounts receivable, accounts payable, and accrued expenses and other liabilities. This was partially offset by an increase in our net income, excluding depreciation, amortization and other non-cash expenses of $5.2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During the six months ended November 30, 2014, cash used in investing activities was $40.7 million, an increase of $20.4 million, principally due to acquisitions totaling $33.0 million, net of cash acquired in fiscal 2015. Cash used in investing activities also included purchases of property, plant and equipment of $7.9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provided by financing activities was $46.8 million for the six months ended November 30, 2014, an increase of $33.7 million from the comparable period of fiscal 2014. The increase in cash provided by financing activities was driven by net borrowings of $62.6 million from our revolving credit facility to fund acquisitions, offset by payments of notes payable, other long-term debt and capital lease obligations and totaling $14.0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$0.2 million and $(0.1) million for the six months ended November 30,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On October 31, 2014, the Company entered into a Third Amendment and Modification Agreement (the “Amendment”), to our $125.0 million revolving line of credit, the Third Amended and Restated Credit Agreement (“Credit Agreement”), dated December 21, 2011, with Bank of America, N.A., as agent for the lenders and a lender, and JPMorgan Chase Bank, N.A., Keybank, National Association and TD Bank, N.A., as lenders. The Amendment increased the Company’s revolving line of credit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 See Note 10 — </w:t>
      </w: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included in this report, under the heading “Senior Credit Facility” for further detail.</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November 30, 2014, we had cash and cash equivalents totaling $19.6 million and available borrowing capacity of $47.0 million under our Credit Agreement with borrowings of $123.8 million and $4.2 million of letters of credit outstanding. We finance our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November 30, 2014,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the amendment to the Credit Agreement, discussed above under “Liquidity and Capital Resources- Cash Balance and Credit Facility Borrowings”, there have been no significant changes in our contractual obligations and outstanding indebtedness as disclosed in the 2014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six months ended November 30, 2014,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2014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2014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November 30, 2014,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be disclosed by the Company in the reports it files or submits under the Exchange Act, as amended, is recorded, processed, summarized and reported within the time periods specified in Securities and Exchange Commission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November 30, 2014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121" w:right="4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2014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other legal proceedings.</w:t>
      </w:r>
    </w:p>
    <w:p>
      <w:pPr>
        <w:spacing w:after="0" w:line="24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2014 Annual Report. There have been no material changes to the risk factors previously disclosed in the 2014 Annual Report.</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quarter pursuant to the surrender of shares by employees to satisfy the minimum tax withholding obligations in connection with the vesting of restricted stock units.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Month Ending</w:t>
            </w:r>
          </w:p>
        </w:tc>
        <w:tc>
          <w:tcPr>
            <w:tcW w:w="4940" w:type="dxa"/>
            <w:vAlign w:val="bottom"/>
            <w:gridSpan w:val="2"/>
          </w:tcPr>
          <w:p>
            <w:pPr>
              <w:jc w:val="center"/>
              <w:ind w:left="2357"/>
              <w:spacing w:after="0"/>
              <w:rPr>
                <w:sz w:val="20"/>
                <w:szCs w:val="20"/>
                <w:color w:val="auto"/>
              </w:rPr>
            </w:pPr>
            <w:r>
              <w:rPr>
                <w:rFonts w:ascii="Arial" w:cs="Arial" w:eastAsia="Arial" w:hAnsi="Arial"/>
                <w:sz w:val="14"/>
                <w:szCs w:val="14"/>
                <w:b w:val="1"/>
                <w:bCs w:val="1"/>
                <w:color w:val="auto"/>
                <w:w w:val="94"/>
              </w:rPr>
              <w:t>Total Number of Shares (or</w:t>
            </w:r>
          </w:p>
        </w:tc>
        <w:tc>
          <w:tcPr>
            <w:tcW w:w="240" w:type="dxa"/>
            <w:vAlign w:val="bottom"/>
          </w:tcPr>
          <w:p>
            <w:pPr>
              <w:spacing w:after="0"/>
              <w:rPr>
                <w:sz w:val="14"/>
                <w:szCs w:val="14"/>
                <w:color w:val="auto"/>
              </w:rPr>
            </w:pPr>
          </w:p>
        </w:tc>
        <w:tc>
          <w:tcPr>
            <w:tcW w:w="192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Average Price Paid per</w:t>
            </w:r>
          </w:p>
        </w:tc>
        <w:tc>
          <w:tcPr>
            <w:tcW w:w="0" w:type="dxa"/>
            <w:vAlign w:val="bottom"/>
          </w:tcPr>
          <w:p>
            <w:pPr>
              <w:spacing w:after="0"/>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4940" w:type="dxa"/>
            <w:vAlign w:val="bottom"/>
            <w:gridSpan w:val="2"/>
          </w:tcPr>
          <w:p>
            <w:pPr>
              <w:jc w:val="center"/>
              <w:ind w:left="2357"/>
              <w:spacing w:after="0"/>
              <w:rPr>
                <w:sz w:val="20"/>
                <w:szCs w:val="20"/>
                <w:color w:val="auto"/>
              </w:rPr>
            </w:pPr>
            <w:r>
              <w:rPr>
                <w:rFonts w:ascii="Arial" w:cs="Arial" w:eastAsia="Arial" w:hAnsi="Arial"/>
                <w:sz w:val="14"/>
                <w:szCs w:val="14"/>
                <w:b w:val="1"/>
                <w:bCs w:val="1"/>
                <w:color w:val="auto"/>
                <w:w w:val="92"/>
              </w:rPr>
              <w:t>Units) Purchased</w:t>
            </w:r>
          </w:p>
        </w:tc>
        <w:tc>
          <w:tcPr>
            <w:tcW w:w="240" w:type="dxa"/>
            <w:vAlign w:val="bottom"/>
          </w:tcPr>
          <w:p>
            <w:pPr>
              <w:spacing w:after="0"/>
              <w:rPr>
                <w:sz w:val="16"/>
                <w:szCs w:val="16"/>
                <w:color w:val="auto"/>
              </w:rPr>
            </w:pPr>
          </w:p>
        </w:tc>
        <w:tc>
          <w:tcPr>
            <w:tcW w:w="1920" w:type="dxa"/>
            <w:vAlign w:val="bottom"/>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0" w:type="dxa"/>
            <w:vAlign w:val="bottom"/>
          </w:tcPr>
          <w:p>
            <w:pPr>
              <w:spacing w:after="0"/>
              <w:rPr>
                <w:sz w:val="1"/>
                <w:szCs w:val="1"/>
                <w:color w:val="auto"/>
              </w:rPr>
            </w:pPr>
          </w:p>
        </w:tc>
      </w:tr>
      <w:tr>
        <w:trPr>
          <w:trHeight w:val="250"/>
        </w:trPr>
        <w:tc>
          <w:tcPr>
            <w:tcW w:w="4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4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October 31, 2014</w:t>
            </w:r>
          </w:p>
        </w:tc>
        <w:tc>
          <w:tcPr>
            <w:tcW w:w="4840" w:type="dxa"/>
            <w:vAlign w:val="bottom"/>
          </w:tcPr>
          <w:p>
            <w:pPr>
              <w:jc w:val="right"/>
              <w:ind w:right="37"/>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30, 2014</w:t>
            </w:r>
          </w:p>
        </w:tc>
        <w:tc>
          <w:tcPr>
            <w:tcW w:w="4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Third Amendment and Modification Agreement, dated October 31, 2014 to the Third Amended and Restated Credit Agreement, dated</w:t>
            </w:r>
          </w:p>
        </w:tc>
      </w:tr>
      <w:tr>
        <w:trPr>
          <w:trHeight w:val="230"/>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December 21, 2011</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2015</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121" w:right="7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THIRD AMENDMENT AND MODIFICATION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by and among</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Borrower,</w:t>
      </w:r>
    </w:p>
    <w:p>
      <w:pPr>
        <w:spacing w:after="0" w:line="207"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 a Lender and L/C Issuer,</w:t>
      </w:r>
    </w:p>
    <w:p>
      <w:pPr>
        <w:spacing w:after="0" w:line="207"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as a Lender</w:t>
      </w:r>
    </w:p>
    <w:p>
      <w:pPr>
        <w:ind w:left="438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The Other Lenders Party Hereto</w:t>
      </w:r>
    </w:p>
    <w:p>
      <w:pPr>
        <w:spacing w:after="0" w:line="200" w:lineRule="exact"/>
        <w:rPr>
          <w:sz w:val="20"/>
          <w:szCs w:val="20"/>
          <w:color w:val="auto"/>
        </w:rPr>
      </w:pP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MERRILL LYNCH, PIERCE, FENNER &amp; SMITH INCORPORATED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 MORGAN SECURITIES LLC,</w:t>
      </w:r>
    </w:p>
    <w:p>
      <w:pPr>
        <w:jc w:val="center"/>
        <w:ind w:right="1180"/>
        <w:spacing w:after="0"/>
        <w:rPr>
          <w:sz w:val="20"/>
          <w:szCs w:val="20"/>
          <w:color w:val="auto"/>
        </w:rPr>
      </w:pPr>
      <w:r>
        <w:rPr>
          <w:rFonts w:ascii="Arial" w:cs="Arial" w:eastAsia="Arial" w:hAnsi="Arial"/>
          <w:sz w:val="20"/>
          <w:szCs w:val="20"/>
          <w:color w:val="auto"/>
        </w:rPr>
        <w:t>as</w:t>
      </w:r>
    </w:p>
    <w:p>
      <w:pPr>
        <w:jc w:val="center"/>
        <w:ind w:right="1180"/>
        <w:spacing w:after="0"/>
        <w:rPr>
          <w:sz w:val="20"/>
          <w:szCs w:val="20"/>
          <w:color w:val="auto"/>
        </w:rPr>
      </w:pPr>
      <w:r>
        <w:rPr>
          <w:rFonts w:ascii="Arial" w:cs="Arial" w:eastAsia="Arial" w:hAnsi="Arial"/>
          <w:sz w:val="20"/>
          <w:szCs w:val="20"/>
          <w:color w:val="auto"/>
        </w:rPr>
        <w:t>Joint Lead Arrangers and Joint Bookrunners</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KEYBANK NATIONAL ASSOCIATION,</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Documentation Agent</w:t>
      </w:r>
    </w:p>
    <w:p>
      <w:pPr>
        <w:spacing w:after="0" w:line="200" w:lineRule="exact"/>
        <w:rPr>
          <w:sz w:val="20"/>
          <w:szCs w:val="20"/>
          <w:color w:val="auto"/>
        </w:rPr>
      </w:pPr>
    </w:p>
    <w:p>
      <w:pPr>
        <w:spacing w:after="0" w:line="243"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Dated October ___, 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358140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-0-</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144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u w:val="single" w:color="auto"/>
          <w:color w:val="auto"/>
        </w:rPr>
        <w:t>THIRD AMENDMENT AND MODIFICATION AGREEMENT</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THIS THIRD AMENDMENT AND MODIFICATION AGREEMENT </w:t>
      </w:r>
      <w:r>
        <w:rPr>
          <w:rFonts w:ascii="Arial" w:cs="Arial" w:eastAsia="Arial" w:hAnsi="Arial"/>
          <w:sz w:val="20"/>
          <w:szCs w:val="20"/>
          <w:color w:val="auto"/>
        </w:rPr>
        <w:t>(hereinafter referred to as this “</w:t>
      </w:r>
      <w:r>
        <w:rPr>
          <w:rFonts w:ascii="Arial" w:cs="Arial" w:eastAsia="Arial" w:hAnsi="Arial"/>
          <w:sz w:val="20"/>
          <w:szCs w:val="20"/>
          <w:u w:val="single" w:color="auto"/>
          <w:color w:val="auto"/>
        </w:rPr>
        <w:t>Third Amendment</w:t>
      </w:r>
      <w:r>
        <w:rPr>
          <w:rFonts w:ascii="Arial" w:cs="Arial" w:eastAsia="Arial" w:hAnsi="Arial"/>
          <w:sz w:val="20"/>
          <w:szCs w:val="20"/>
          <w:color w:val="auto"/>
        </w:rPr>
        <w:t>”) is</w:t>
      </w:r>
      <w:r>
        <w:rPr>
          <w:rFonts w:ascii="Arial" w:cs="Arial" w:eastAsia="Arial" w:hAnsi="Arial"/>
          <w:sz w:val="20"/>
          <w:szCs w:val="20"/>
          <w:b w:val="1"/>
          <w:bCs w:val="1"/>
          <w:color w:val="auto"/>
        </w:rPr>
        <w:t xml:space="preserve"> </w:t>
      </w:r>
      <w:r>
        <w:rPr>
          <w:rFonts w:ascii="Arial" w:cs="Arial" w:eastAsia="Arial" w:hAnsi="Arial"/>
          <w:sz w:val="20"/>
          <w:szCs w:val="20"/>
          <w:color w:val="auto"/>
        </w:rPr>
        <w:t>made this ______ day of October, 2014, by and among</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 corporation duly organized, validly existing and in good standing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having its principal office located at 195 Clarksville Road, Princeton Junction, New Jersey 08550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VIRTUAL MEDIA INTEGRATION, LTD.</w:t>
      </w:r>
      <w:r>
        <w:rPr>
          <w:rFonts w:ascii="Arial" w:cs="Arial" w:eastAsia="Arial" w:hAnsi="Arial"/>
          <w:sz w:val="20"/>
          <w:szCs w:val="20"/>
          <w:color w:val="auto"/>
        </w:rPr>
        <w:t>, formerly known as “SJVMI Acquisition Corp.”, a corporation duly organized,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and in good standing under the laws of the State of Delaware having an address of 195 Clarksville Road, Princeton, New Jersey 08540 (hereinafter referred to as “</w:t>
      </w:r>
      <w:r>
        <w:rPr>
          <w:rFonts w:ascii="Arial" w:cs="Arial" w:eastAsia="Arial" w:hAnsi="Arial"/>
          <w:sz w:val="20"/>
          <w:szCs w:val="20"/>
          <w:u w:val="single" w:color="auto"/>
          <w:color w:val="auto"/>
        </w:rPr>
        <w:t>VMI</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 corporation duly organized, validly existing and in good standing under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Delaware having an address of 195 Clarksville Road, Princeton, New Jersey 08540 (hereinafter referred to as “</w:t>
      </w:r>
      <w:r>
        <w:rPr>
          <w:rFonts w:ascii="Arial" w:cs="Arial" w:eastAsia="Arial" w:hAnsi="Arial"/>
          <w:sz w:val="20"/>
          <w:szCs w:val="20"/>
          <w:u w:val="single" w:color="auto"/>
          <w:color w:val="auto"/>
        </w:rPr>
        <w:t>QSL</w:t>
      </w:r>
      <w:r>
        <w:rPr>
          <w:rFonts w:ascii="Arial" w:cs="Arial" w:eastAsia="Arial" w:hAnsi="Arial"/>
          <w:sz w:val="20"/>
          <w:szCs w:val="20"/>
          <w:color w:val="auto"/>
        </w:rPr>
        <w:t>”, and hereinafter VMI and QSL shall be collectively referred to as the “</w:t>
      </w: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 States of</w:t>
      </w:r>
      <w:r>
        <w:rPr>
          <w:rFonts w:ascii="Arial" w:cs="Arial" w:eastAsia="Arial" w:hAnsi="Arial"/>
          <w:sz w:val="20"/>
          <w:szCs w:val="20"/>
          <w:b w:val="1"/>
          <w:bCs w:val="1"/>
          <w:color w:val="auto"/>
        </w:rPr>
        <w:t xml:space="preserve"> </w:t>
      </w:r>
      <w:r>
        <w:rPr>
          <w:rFonts w:ascii="Arial" w:cs="Arial" w:eastAsia="Arial" w:hAnsi="Arial"/>
          <w:sz w:val="20"/>
          <w:szCs w:val="20"/>
          <w:color w:val="auto"/>
        </w:rPr>
        <w:t>America, having an office located at 750 Walnut Avenue, Cranford, New Jersey 07016, in its capacity as a Lender, the letter of credit issuer and the swing line lender (hereinafter referred to as “</w:t>
      </w:r>
      <w:r>
        <w:rPr>
          <w:rFonts w:ascii="Arial" w:cs="Arial" w:eastAsia="Arial" w:hAnsi="Arial"/>
          <w:sz w:val="20"/>
          <w:szCs w:val="20"/>
          <w:u w:val="single" w:color="auto"/>
          <w:color w:val="auto"/>
        </w:rPr>
        <w:t>Bank of America</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 national banking association duly organized and validly existing under the laws of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 having an office located at 695 Route 46 West, Suite 101, Fairfield, New Jersey 07004, in its capacity as a lender hereunder (hereinafter referred to as “</w:t>
      </w:r>
      <w:r>
        <w:rPr>
          <w:rFonts w:ascii="Arial" w:cs="Arial" w:eastAsia="Arial" w:hAnsi="Arial"/>
          <w:sz w:val="20"/>
          <w:szCs w:val="20"/>
          <w:u w:val="single" w:color="auto"/>
          <w:color w:val="auto"/>
        </w:rPr>
        <w:t>JPMorgan</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THOSE OTHER LENDERS SIGNATORY HERETO </w:t>
      </w:r>
      <w:r>
        <w:rPr>
          <w:rFonts w:ascii="Arial" w:cs="Arial" w:eastAsia="Arial" w:hAnsi="Arial"/>
          <w:sz w:val="20"/>
          <w:szCs w:val="20"/>
          <w:color w:val="auto"/>
        </w:rPr>
        <w:t>(hereinafter said lenders, together with Bank of America and JPMorgan,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sometimes individually referred to as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referred to as the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 States of</w:t>
      </w:r>
      <w:r>
        <w:rPr>
          <w:rFonts w:ascii="Arial" w:cs="Arial" w:eastAsia="Arial" w:hAnsi="Arial"/>
          <w:sz w:val="20"/>
          <w:szCs w:val="20"/>
          <w:b w:val="1"/>
          <w:bCs w:val="1"/>
          <w:color w:val="auto"/>
        </w:rPr>
        <w:t xml:space="preserve"> </w:t>
      </w:r>
      <w:r>
        <w:rPr>
          <w:rFonts w:ascii="Arial" w:cs="Arial" w:eastAsia="Arial" w:hAnsi="Arial"/>
          <w:sz w:val="20"/>
          <w:szCs w:val="20"/>
          <w:color w:val="auto"/>
        </w:rPr>
        <w:t>America, having an office located at 750 Walnut Avenue, Cranford, New Jersey 07016, in its capacity as administrative agent for the Lenders (hereinafter referred to as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58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 xml:space="preserve"> :</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conditions, and provisions of that certain Third Amended and Restated Credit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21, 2011, executed by and among the Borrower, as borrower, Bank of America, as a Lender, JPMorgan, as a Lender, KeyBank, N.A. (hereinafter referred to as “</w:t>
      </w:r>
      <w:r>
        <w:rPr>
          <w:rFonts w:ascii="Arial" w:cs="Arial" w:eastAsia="Arial" w:hAnsi="Arial"/>
          <w:sz w:val="19"/>
          <w:szCs w:val="19"/>
          <w:u w:val="single" w:color="auto"/>
          <w:color w:val="auto"/>
        </w:rPr>
        <w:t>KeyBank</w:t>
      </w:r>
      <w:r>
        <w:rPr>
          <w:rFonts w:ascii="Arial" w:cs="Arial" w:eastAsia="Arial" w:hAnsi="Arial"/>
          <w:sz w:val="19"/>
          <w:szCs w:val="19"/>
          <w:color w:val="auto"/>
        </w:rPr>
        <w:t>”), as a Lender, TD Bank, N.A. (hereinafter referred to as “</w:t>
      </w:r>
      <w:r>
        <w:rPr>
          <w:rFonts w:ascii="Arial" w:cs="Arial" w:eastAsia="Arial" w:hAnsi="Arial"/>
          <w:sz w:val="19"/>
          <w:szCs w:val="19"/>
          <w:u w:val="single" w:color="auto"/>
          <w:color w:val="auto"/>
        </w:rPr>
        <w:t>TD Bank</w:t>
      </w:r>
      <w:r>
        <w:rPr>
          <w:rFonts w:ascii="Arial" w:cs="Arial" w:eastAsia="Arial" w:hAnsi="Arial"/>
          <w:sz w:val="19"/>
          <w:szCs w:val="19"/>
          <w:color w:val="auto"/>
        </w:rPr>
        <w:t>”), as a Lender, Bank of America, as letter of credit issuer, and the Administrative Agent, as administrative agent (hereinafter referred to as the “</w:t>
      </w:r>
      <w:r>
        <w:rPr>
          <w:rFonts w:ascii="Arial" w:cs="Arial" w:eastAsia="Arial" w:hAnsi="Arial"/>
          <w:sz w:val="19"/>
          <w:szCs w:val="19"/>
          <w:u w:val="single" w:color="auto"/>
          <w:color w:val="auto"/>
        </w:rPr>
        <w:t>Original Credit Agreement</w:t>
      </w:r>
      <w:r>
        <w:rPr>
          <w:rFonts w:ascii="Arial" w:cs="Arial" w:eastAsia="Arial" w:hAnsi="Arial"/>
          <w:sz w:val="19"/>
          <w:szCs w:val="19"/>
          <w:color w:val="auto"/>
        </w:rPr>
        <w:t>”), the Lenders made available to the Borrower a five (5) year senior secured amended and restated revolving credit facility in the aggregate maximum principal amount of up to US$125,000,000.00, such aggregate maximum principal amount increasing up to US$150,000,000.00 under certain circumstances more particularly set forth in the Credit Agreement (hereinafter referred to as the “</w:t>
      </w:r>
      <w:r>
        <w:rPr>
          <w:rFonts w:ascii="Arial" w:cs="Arial" w:eastAsia="Arial" w:hAnsi="Arial"/>
          <w:sz w:val="19"/>
          <w:szCs w:val="19"/>
          <w:u w:val="single" w:color="auto"/>
          <w:color w:val="auto"/>
        </w:rPr>
        <w:t>Original Credit Facility</w:t>
      </w:r>
      <w:r>
        <w:rPr>
          <w:rFonts w:ascii="Arial" w:cs="Arial" w:eastAsia="Arial" w:hAnsi="Arial"/>
          <w:sz w:val="19"/>
          <w:szCs w:val="19"/>
          <w:color w:val="auto"/>
        </w:rPr>
        <w:t>”), which Original Credit Facility includes (i) a US$10,000,000.00 sublimit for the issuance of standby and commercial letters of credit and (ii) a US $30,000,000.00 sublimit for multicurrency borrowings in readily available and freely transferable and convertible currencies, including, but not limited to, Euros, Pounds Sterling, Canadian Dollars, and Japanese Yen, all to be made available to the Borrower for working capital and other lawful corporate purposes; and</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conditions, and provisions of that certain Third Amended and Restated Guaranty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21, 2011 executed by VMI, as guarantor, in favor of the Administrative Agent, for the benefit of the Lenders (hereinafter referred to as the “</w:t>
      </w:r>
      <w:r>
        <w:rPr>
          <w:rFonts w:ascii="Arial" w:cs="Arial" w:eastAsia="Arial" w:hAnsi="Arial"/>
          <w:sz w:val="19"/>
          <w:szCs w:val="19"/>
          <w:u w:val="single" w:color="auto"/>
          <w:color w:val="auto"/>
        </w:rPr>
        <w:t>Full Guaranty</w:t>
      </w:r>
      <w:r>
        <w:rPr>
          <w:rFonts w:ascii="Arial" w:cs="Arial" w:eastAsia="Arial" w:hAnsi="Arial"/>
          <w:sz w:val="19"/>
          <w:szCs w:val="19"/>
          <w:color w:val="auto"/>
        </w:rPr>
        <w:t>”), VMI guarantied the payment and performance of all of the obligations of the Borrower owed to the Administrative Agent and the Lenders under the Original Credit Agreement and the other “Loan Documents” (as such term is defined in the Original Credit Agreement) (hereinafter collectively referred to as the “</w:t>
      </w:r>
      <w:r>
        <w:rPr>
          <w:rFonts w:ascii="Arial" w:cs="Arial" w:eastAsia="Arial" w:hAnsi="Arial"/>
          <w:sz w:val="19"/>
          <w:szCs w:val="19"/>
          <w:u w:val="single" w:color="auto"/>
          <w:color w:val="auto"/>
        </w:rPr>
        <w:t>Original Loan Documents</w:t>
      </w:r>
      <w:r>
        <w:rPr>
          <w:rFonts w:ascii="Arial" w:cs="Arial" w:eastAsia="Arial" w:hAnsi="Arial"/>
          <w:sz w:val="19"/>
          <w:szCs w:val="19"/>
          <w:color w:val="auto"/>
        </w:rPr>
        <w:t>”); and</w:t>
      </w:r>
    </w:p>
    <w:p>
      <w:pPr>
        <w:spacing w:after="0" w:line="18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terms, conditions, and provisions of that certain Non-Recourse Guaranty Agreement dated December 21,</w:t>
      </w:r>
      <w:r>
        <w:rPr>
          <w:rFonts w:ascii="Arial" w:cs="Arial" w:eastAsia="Arial" w:hAnsi="Arial"/>
          <w:sz w:val="16"/>
          <w:szCs w:val="16"/>
          <w:b w:val="1"/>
          <w:bCs w:val="1"/>
          <w:color w:val="auto"/>
        </w:rPr>
        <w:t xml:space="preserve"> </w:t>
      </w:r>
      <w:r>
        <w:rPr>
          <w:rFonts w:ascii="Arial" w:cs="Arial" w:eastAsia="Arial" w:hAnsi="Arial"/>
          <w:sz w:val="16"/>
          <w:szCs w:val="16"/>
          <w:color w:val="auto"/>
        </w:rPr>
        <w:t>2011 executed by QSL, as guarantor, in favor of the Administrative Agent, for the benefit of the Lenders (hereinafter referred to as the “</w:t>
      </w:r>
      <w:r>
        <w:rPr>
          <w:rFonts w:ascii="Arial" w:cs="Arial" w:eastAsia="Arial" w:hAnsi="Arial"/>
          <w:sz w:val="16"/>
          <w:szCs w:val="16"/>
          <w:u w:val="single" w:color="auto"/>
          <w:color w:val="auto"/>
        </w:rPr>
        <w:t>Non-Recourse Guaranty</w:t>
      </w:r>
      <w:r>
        <w:rPr>
          <w:rFonts w:ascii="Arial" w:cs="Arial" w:eastAsia="Arial" w:hAnsi="Arial"/>
          <w:sz w:val="16"/>
          <w:szCs w:val="16"/>
          <w:color w:val="auto"/>
        </w:rPr>
        <w:t>”, and hereinafter the Full Guaranty and the Non-Recourse Guaranty shall be collectively referred to as the “</w:t>
      </w:r>
      <w:r>
        <w:rPr>
          <w:rFonts w:ascii="Arial" w:cs="Arial" w:eastAsia="Arial" w:hAnsi="Arial"/>
          <w:sz w:val="16"/>
          <w:szCs w:val="16"/>
          <w:u w:val="single" w:color="auto"/>
          <w:color w:val="auto"/>
        </w:rPr>
        <w:t>Guaranties</w:t>
      </w:r>
      <w:r>
        <w:rPr>
          <w:rFonts w:ascii="Arial" w:cs="Arial" w:eastAsia="Arial" w:hAnsi="Arial"/>
          <w:sz w:val="16"/>
          <w:szCs w:val="16"/>
          <w:color w:val="auto"/>
        </w:rPr>
        <w:t>” and individually referred to as a “</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QSL guarantied, </w:t>
      </w:r>
      <w:r>
        <w:rPr>
          <w:rFonts w:ascii="Arial" w:cs="Arial" w:eastAsia="Arial" w:hAnsi="Arial"/>
          <w:sz w:val="16"/>
          <w:szCs w:val="16"/>
          <w:u w:val="single" w:color="auto"/>
          <w:color w:val="auto"/>
        </w:rPr>
        <w:t>on a non-recourse basis</w:t>
      </w:r>
      <w:r>
        <w:rPr>
          <w:rFonts w:ascii="Arial" w:cs="Arial" w:eastAsia="Arial" w:hAnsi="Arial"/>
          <w:sz w:val="16"/>
          <w:szCs w:val="16"/>
          <w:color w:val="auto"/>
        </w:rPr>
        <w:t>, the payment and performance of all of the obligations of the Borrower owed to the Administrative Agent and the Lenders under the Original Credit Agreement and the other Original Loan Documents; and</w:t>
      </w:r>
    </w:p>
    <w:p>
      <w:pPr>
        <w:spacing w:after="0" w:line="1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that certain letter agreement dated March 13, 2012 executed by and among the Borrower, the Guarantors,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and the Administrative Agent (hereinafter referred to as the “</w:t>
      </w:r>
      <w:r>
        <w:rPr>
          <w:rFonts w:ascii="Arial" w:cs="Arial" w:eastAsia="Arial" w:hAnsi="Arial"/>
          <w:sz w:val="20"/>
          <w:szCs w:val="20"/>
          <w:u w:val="single" w:color="auto"/>
          <w:color w:val="auto"/>
        </w:rPr>
        <w:t>First Amendment</w:t>
      </w:r>
      <w:r>
        <w:rPr>
          <w:rFonts w:ascii="Arial" w:cs="Arial" w:eastAsia="Arial" w:hAnsi="Arial"/>
          <w:sz w:val="20"/>
          <w:szCs w:val="20"/>
          <w:color w:val="auto"/>
        </w:rPr>
        <w:t>”), the Borrower, the Guarantors, the Lenders, and the Administrative Agent agreed to amend and modify the terms, conditions, and provisions of the Original Credit Agreement for the purposes more fully set forth and described in the First Amendment; and</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that certain letter agreement dated March 8, 2013 executed by and among the Borrower, the Guarantors,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and the Administrative Agent (hereinafter referred to as the “</w:t>
      </w:r>
      <w:r>
        <w:rPr>
          <w:rFonts w:ascii="Arial" w:cs="Arial" w:eastAsia="Arial" w:hAnsi="Arial"/>
          <w:sz w:val="20"/>
          <w:szCs w:val="20"/>
          <w:u w:val="single" w:color="auto"/>
          <w:color w:val="auto"/>
        </w:rPr>
        <w:t>Second Amendment</w:t>
      </w:r>
      <w:r>
        <w:rPr>
          <w:rFonts w:ascii="Arial" w:cs="Arial" w:eastAsia="Arial" w:hAnsi="Arial"/>
          <w:sz w:val="20"/>
          <w:szCs w:val="20"/>
          <w:color w:val="auto"/>
        </w:rPr>
        <w:t>”), the Borrower, the Guarantors, the Lenders, and the Administrative Agent agreed to further amend and modify the terms, conditions, and provisions of the Original Credit Agreement for the purposes more fully set forth and described in the Second Amendment; and</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effective as of October 15, 2014, the Borrower exercised its option pursuant to the terms, conditions, and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of the Credit Agreement to increase the Commitments in the aggregate amount of US$15,000,000.00, thereby increasing the current Aggregate Commitments to US$140,000,000.00; and</w:t>
      </w:r>
    </w:p>
    <w:p>
      <w:pPr>
        <w:spacing w:after="0" w:line="19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have agreed to further amend and modify the terms, conditions, and provisions of the Original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amended and modified up through the Second Amendment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33" w:name="page34"/>
    <w:bookmarkEnd w:id="33"/>
    <w:p>
      <w:pPr>
        <w:jc w:val="both"/>
        <w:ind w:right="20"/>
        <w:spacing w:after="0" w:line="269" w:lineRule="auto"/>
        <w:rPr>
          <w:sz w:val="20"/>
          <w:szCs w:val="20"/>
          <w:color w:val="auto"/>
        </w:rPr>
      </w:pPr>
      <w:r>
        <w:rPr>
          <w:rFonts w:ascii="Arial" w:cs="Arial" w:eastAsia="Arial" w:hAnsi="Arial"/>
          <w:sz w:val="19"/>
          <w:szCs w:val="19"/>
          <w:color w:val="auto"/>
        </w:rPr>
        <w:t>(hereinafter referred to as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the other Original Loan Documents, in each case as amended and modified up through and including the Second Amendment (hereinafter collectively referred to as the “</w:t>
      </w:r>
      <w:r>
        <w:rPr>
          <w:rFonts w:ascii="Arial" w:cs="Arial" w:eastAsia="Arial" w:hAnsi="Arial"/>
          <w:sz w:val="19"/>
          <w:szCs w:val="19"/>
          <w:u w:val="single" w:color="auto"/>
          <w:color w:val="auto"/>
        </w:rPr>
        <w:t>Loan Documents</w:t>
      </w:r>
      <w:r>
        <w:rPr>
          <w:rFonts w:ascii="Arial" w:cs="Arial" w:eastAsia="Arial" w:hAnsi="Arial"/>
          <w:sz w:val="19"/>
          <w:szCs w:val="19"/>
          <w:color w:val="auto"/>
        </w:rPr>
        <w:t>”), pursuant to the terms, conditions, and provisions of this Third Amendment for the purposes more fully set forth and described herein; and</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defined terms used but not expressly defined herein shall have the same meanings when used herein as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intending to be legally bound hereby, the parties hereto hereby promise, covenant, and agree as follows:</w:t>
      </w:r>
    </w:p>
    <w:p>
      <w:pPr>
        <w:spacing w:after="0" w:line="229" w:lineRule="exact"/>
        <w:rPr>
          <w:sz w:val="20"/>
          <w:szCs w:val="20"/>
          <w:color w:val="auto"/>
        </w:rPr>
      </w:pPr>
    </w:p>
    <w:p>
      <w:pPr>
        <w:jc w:val="both"/>
        <w:ind w:right="20" w:firstLine="656"/>
        <w:spacing w:after="0" w:line="274" w:lineRule="auto"/>
        <w:tabs>
          <w:tab w:leader="none" w:pos="1008"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Increase in Commitments and Applicable Percentages; Amendment of Maximum Amount of Credit Facility</w:t>
      </w:r>
      <w:r>
        <w:rPr>
          <w:rFonts w:ascii="Arial" w:cs="Arial" w:eastAsia="Arial" w:hAnsi="Arial"/>
          <w:sz w:val="18"/>
          <w:szCs w:val="18"/>
          <w:color w:val="auto"/>
        </w:rPr>
        <w:t>.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principal amount of the Original Credit Facility, as amended and modified up through and including the Second Amendment (hereinafter referred to as the “</w:t>
      </w: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is hereby increased to an aggregate maximum principal amount of US$175,000,000.00 and, as a result and to give effect to such increase, the Commitments and Applicable Percentages set forth and contained on the existing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of the Credit Agreement are hereby deleted in their entirety and the Commitments and Applicable Percentages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are hereby inserted in their place and stead. In furtherance of the foregoing, all references in the Credit Agreement and each of the other Loan Documents to the aggregate maximum principal amount of the Credit Facility shall be deemed to refer to such aggregate maximum principal amount in the increased amount of US$175,000,000.00.</w:t>
      </w:r>
    </w:p>
    <w:p>
      <w:pPr>
        <w:spacing w:after="0" w:line="175"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The Credit Agreement is hereby amended and modified as follows:</w:t>
      </w:r>
    </w:p>
    <w:p>
      <w:pPr>
        <w:spacing w:after="0" w:line="235" w:lineRule="exact"/>
        <w:rPr>
          <w:rFonts w:ascii="Arial" w:cs="Arial" w:eastAsia="Arial" w:hAnsi="Arial"/>
          <w:sz w:val="20"/>
          <w:szCs w:val="20"/>
          <w:color w:val="auto"/>
        </w:rPr>
      </w:pPr>
    </w:p>
    <w:p>
      <w:pPr>
        <w:jc w:val="both"/>
        <w:ind w:right="20" w:firstLine="1305"/>
        <w:spacing w:after="0" w:line="250" w:lineRule="auto"/>
        <w:tabs>
          <w:tab w:leader="none" w:pos="1911"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“Administrative Agent Fee Letter” in its entirety and inserting the following new definition of “Administrative Agent Fee Letter” in its place and stead:</w:t>
      </w:r>
    </w:p>
    <w:p>
      <w:pPr>
        <w:spacing w:after="0" w:line="200" w:lineRule="exact"/>
        <w:rPr>
          <w:sz w:val="20"/>
          <w:szCs w:val="20"/>
          <w:color w:val="auto"/>
        </w:rPr>
      </w:pPr>
    </w:p>
    <w:p>
      <w:pPr>
        <w:jc w:val="both"/>
        <w:ind w:left="1300" w:right="2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 Fee Letter</w:t>
      </w:r>
      <w:r>
        <w:rPr>
          <w:rFonts w:ascii="Arial" w:cs="Arial" w:eastAsia="Arial" w:hAnsi="Arial"/>
          <w:sz w:val="20"/>
          <w:szCs w:val="20"/>
          <w:color w:val="auto"/>
        </w:rPr>
        <w:t>” means, collectively, (a) that certain letter agreement dated December 2, 2011, by and among the Borrower and the Lead Arranger and (b) that certain letter agreement dated October 1, 2014, by and among the Borrower and the Lead Arranger.</w:t>
      </w:r>
    </w:p>
    <w:p>
      <w:pPr>
        <w:spacing w:after="0" w:line="200" w:lineRule="exact"/>
        <w:rPr>
          <w:sz w:val="20"/>
          <w:szCs w:val="20"/>
          <w:color w:val="auto"/>
        </w:rPr>
      </w:pPr>
    </w:p>
    <w:p>
      <w:pPr>
        <w:ind w:right="40" w:firstLine="1305"/>
        <w:spacing w:after="0" w:line="260" w:lineRule="auto"/>
        <w:tabs>
          <w:tab w:leader="none" w:pos="1858"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pricing grid in the existing definition of “Applicable Rate” and inserting the following new pricing grid in its place and stead:</w:t>
      </w:r>
    </w:p>
    <w:p>
      <w:pPr>
        <w:spacing w:after="0" w:line="322" w:lineRule="exact"/>
        <w:rPr>
          <w:sz w:val="20"/>
          <w:szCs w:val="20"/>
          <w:color w:val="auto"/>
        </w:rPr>
      </w:pPr>
    </w:p>
    <w:tbl>
      <w:tblPr>
        <w:tblLayout w:type="fixed"/>
        <w:tblInd w:w="90" w:type="dxa"/>
        <w:tblCellMar>
          <w:top w:w="0" w:type="dxa"/>
          <w:left w:w="0" w:type="dxa"/>
          <w:bottom w:w="0" w:type="dxa"/>
          <w:right w:w="0" w:type="dxa"/>
        </w:tblCellMar>
      </w:tblPr>
      <w:tr>
        <w:trPr>
          <w:trHeight w:val="247"/>
        </w:trPr>
        <w:tc>
          <w:tcPr>
            <w:tcW w:w="1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272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89"/>
              </w:rPr>
              <w:t>Funded Debt</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LIBOR Margin</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Commitment Fee</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SBLC Fee/</w:t>
            </w:r>
          </w:p>
        </w:tc>
      </w:tr>
      <w:tr>
        <w:trPr>
          <w:trHeight w:val="256"/>
        </w:trPr>
        <w:tc>
          <w:tcPr>
            <w:tcW w:w="1400" w:type="dxa"/>
            <w:vAlign w:val="bottom"/>
            <w:tcBorders>
              <w:left w:val="single" w:sz="8" w:color="auto"/>
              <w:right w:val="single" w:sz="8" w:color="auto"/>
            </w:tcBorders>
          </w:tcPr>
          <w:p>
            <w:pPr>
              <w:spacing w:after="0"/>
              <w:rPr>
                <w:sz w:val="22"/>
                <w:szCs w:val="22"/>
                <w:color w:val="auto"/>
              </w:rPr>
            </w:pPr>
          </w:p>
        </w:tc>
        <w:tc>
          <w:tcPr>
            <w:tcW w:w="27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0"/>
                <w:szCs w:val="20"/>
                <w:b w:val="1"/>
                <w:bCs w:val="1"/>
                <w:color w:val="auto"/>
                <w:w w:val="89"/>
              </w:rPr>
              <w:t>Leverage Ratio</w:t>
            </w:r>
          </w:p>
        </w:tc>
        <w:tc>
          <w:tcPr>
            <w:tcW w:w="1700" w:type="dxa"/>
            <w:vAlign w:val="bottom"/>
            <w:tcBorders>
              <w:right w:val="single" w:sz="8" w:color="auto"/>
            </w:tcBorders>
          </w:tcPr>
          <w:p>
            <w:pPr>
              <w:spacing w:after="0"/>
              <w:rPr>
                <w:sz w:val="22"/>
                <w:szCs w:val="22"/>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Margin</w:t>
            </w:r>
          </w:p>
        </w:tc>
        <w:tc>
          <w:tcPr>
            <w:tcW w:w="192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Comm’l L/C Fee</w:t>
            </w:r>
          </w:p>
        </w:tc>
      </w:tr>
      <w:tr>
        <w:trPr>
          <w:trHeight w:val="253"/>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10"/>
        </w:trPr>
        <w:tc>
          <w:tcPr>
            <w:tcW w:w="14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1</w:t>
            </w:r>
          </w:p>
        </w:tc>
        <w:tc>
          <w:tcPr>
            <w:tcW w:w="2720" w:type="dxa"/>
            <w:vAlign w:val="bottom"/>
            <w:tcBorders>
              <w:right w:val="single" w:sz="8" w:color="auto"/>
            </w:tcBorders>
            <w:gridSpan w:val="5"/>
          </w:tcPr>
          <w:p>
            <w:pPr>
              <w:jc w:val="right"/>
              <w:ind w:right="1040"/>
              <w:spacing w:after="0" w:line="209" w:lineRule="exact"/>
              <w:rPr>
                <w:sz w:val="20"/>
                <w:szCs w:val="20"/>
                <w:color w:val="auto"/>
              </w:rPr>
            </w:pPr>
            <w:r>
              <w:rPr>
                <w:rFonts w:ascii="Arial" w:cs="Arial" w:eastAsia="Arial" w:hAnsi="Arial"/>
                <w:sz w:val="20"/>
                <w:szCs w:val="20"/>
                <w:color w:val="auto"/>
              </w:rPr>
              <w:t>&lt; 0.50:1</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100.0 bps</w:t>
            </w:r>
          </w:p>
        </w:tc>
        <w:tc>
          <w:tcPr>
            <w:tcW w:w="19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-125.0 bps</w:t>
            </w:r>
          </w:p>
        </w:tc>
        <w:tc>
          <w:tcPr>
            <w:tcW w:w="19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20.0 bps</w:t>
            </w:r>
          </w:p>
        </w:tc>
        <w:tc>
          <w:tcPr>
            <w:tcW w:w="16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100.0 bps</w:t>
            </w:r>
          </w:p>
        </w:tc>
      </w:tr>
      <w:tr>
        <w:trPr>
          <w:trHeight w:val="48"/>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10"/>
        </w:trPr>
        <w:tc>
          <w:tcPr>
            <w:tcW w:w="14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2</w:t>
            </w:r>
          </w:p>
        </w:tc>
        <w:tc>
          <w:tcPr>
            <w:tcW w:w="2720" w:type="dxa"/>
            <w:vAlign w:val="bottom"/>
            <w:tcBorders>
              <w:right w:val="single" w:sz="8" w:color="auto"/>
            </w:tcBorders>
            <w:gridSpan w:val="5"/>
          </w:tcPr>
          <w:p>
            <w:pPr>
              <w:jc w:val="center"/>
              <w:ind w:right="40"/>
              <w:spacing w:after="0" w:line="209" w:lineRule="exact"/>
              <w:rPr>
                <w:sz w:val="20"/>
                <w:szCs w:val="20"/>
                <w:color w:val="auto"/>
              </w:rPr>
            </w:pPr>
            <w:r>
              <w:rPr>
                <w:rFonts w:ascii="Arial" w:cs="Arial" w:eastAsia="Arial" w:hAnsi="Arial"/>
                <w:sz w:val="20"/>
                <w:szCs w:val="20"/>
                <w:color w:val="auto"/>
                <w:w w:val="90"/>
              </w:rPr>
              <w:t>&gt; 0.50 but &lt; 1.00:1</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125.0 bps</w:t>
            </w:r>
          </w:p>
        </w:tc>
        <w:tc>
          <w:tcPr>
            <w:tcW w:w="19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-100.0 bps</w:t>
            </w:r>
          </w:p>
        </w:tc>
        <w:tc>
          <w:tcPr>
            <w:tcW w:w="19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20.0 bps</w:t>
            </w:r>
          </w:p>
        </w:tc>
        <w:tc>
          <w:tcPr>
            <w:tcW w:w="16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125.0 bps</w:t>
            </w:r>
          </w:p>
        </w:tc>
      </w:tr>
      <w:tr>
        <w:trPr>
          <w:trHeight w:val="48"/>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10"/>
        </w:trPr>
        <w:tc>
          <w:tcPr>
            <w:tcW w:w="14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3</w:t>
            </w:r>
          </w:p>
        </w:tc>
        <w:tc>
          <w:tcPr>
            <w:tcW w:w="2720" w:type="dxa"/>
            <w:vAlign w:val="bottom"/>
            <w:tcBorders>
              <w:right w:val="single" w:sz="8" w:color="auto"/>
            </w:tcBorders>
            <w:gridSpan w:val="5"/>
          </w:tcPr>
          <w:p>
            <w:pPr>
              <w:jc w:val="center"/>
              <w:ind w:right="40"/>
              <w:spacing w:after="0" w:line="209" w:lineRule="exact"/>
              <w:rPr>
                <w:sz w:val="20"/>
                <w:szCs w:val="20"/>
                <w:color w:val="auto"/>
              </w:rPr>
            </w:pPr>
            <w:r>
              <w:rPr>
                <w:rFonts w:ascii="Arial" w:cs="Arial" w:eastAsia="Arial" w:hAnsi="Arial"/>
                <w:sz w:val="20"/>
                <w:szCs w:val="20"/>
                <w:color w:val="auto"/>
                <w:w w:val="90"/>
              </w:rPr>
              <w:t>&gt; 1.00 but &lt; 1.50:1</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137.5 bps</w:t>
            </w:r>
          </w:p>
        </w:tc>
        <w:tc>
          <w:tcPr>
            <w:tcW w:w="19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-87.5 bps</w:t>
            </w:r>
          </w:p>
        </w:tc>
        <w:tc>
          <w:tcPr>
            <w:tcW w:w="19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25.0 bps</w:t>
            </w:r>
          </w:p>
        </w:tc>
        <w:tc>
          <w:tcPr>
            <w:tcW w:w="16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137.5 bps</w:t>
            </w:r>
          </w:p>
        </w:tc>
      </w:tr>
      <w:tr>
        <w:trPr>
          <w:trHeight w:val="48"/>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10"/>
        </w:trPr>
        <w:tc>
          <w:tcPr>
            <w:tcW w:w="14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4</w:t>
            </w:r>
          </w:p>
        </w:tc>
        <w:tc>
          <w:tcPr>
            <w:tcW w:w="2720" w:type="dxa"/>
            <w:vAlign w:val="bottom"/>
            <w:tcBorders>
              <w:right w:val="single" w:sz="8" w:color="auto"/>
            </w:tcBorders>
            <w:gridSpan w:val="5"/>
          </w:tcPr>
          <w:p>
            <w:pPr>
              <w:jc w:val="center"/>
              <w:ind w:right="40"/>
              <w:spacing w:after="0" w:line="209" w:lineRule="exact"/>
              <w:rPr>
                <w:sz w:val="20"/>
                <w:szCs w:val="20"/>
                <w:color w:val="auto"/>
              </w:rPr>
            </w:pPr>
            <w:r>
              <w:rPr>
                <w:rFonts w:ascii="Arial" w:cs="Arial" w:eastAsia="Arial" w:hAnsi="Arial"/>
                <w:sz w:val="20"/>
                <w:szCs w:val="20"/>
                <w:color w:val="auto"/>
                <w:w w:val="90"/>
              </w:rPr>
              <w:t>&gt; 1.50 but &lt; 2.00:1</w:t>
            </w:r>
          </w:p>
        </w:tc>
        <w:tc>
          <w:tcPr>
            <w:tcW w:w="17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150.0 bps</w:t>
            </w:r>
          </w:p>
        </w:tc>
        <w:tc>
          <w:tcPr>
            <w:tcW w:w="19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-75.0 bps</w:t>
            </w:r>
          </w:p>
        </w:tc>
        <w:tc>
          <w:tcPr>
            <w:tcW w:w="19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30.0 bps</w:t>
            </w:r>
          </w:p>
        </w:tc>
        <w:tc>
          <w:tcPr>
            <w:tcW w:w="16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150.0 bps</w:t>
            </w:r>
          </w:p>
        </w:tc>
      </w:tr>
      <w:tr>
        <w:trPr>
          <w:trHeight w:val="48"/>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r>
      <w:tr>
        <w:trPr>
          <w:trHeight w:val="254"/>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720" w:type="dxa"/>
            <w:vAlign w:val="bottom"/>
            <w:tcBorders>
              <w:right w:val="single" w:sz="8" w:color="auto"/>
            </w:tcBorders>
            <w:gridSpan w:val="5"/>
          </w:tcPr>
          <w:p>
            <w:pPr>
              <w:jc w:val="right"/>
              <w:ind w:right="1120"/>
              <w:spacing w:after="0"/>
              <w:rPr>
                <w:sz w:val="20"/>
                <w:szCs w:val="20"/>
                <w:color w:val="auto"/>
              </w:rPr>
            </w:pPr>
            <w:r>
              <w:rPr>
                <w:rFonts w:ascii="Arial" w:cs="Arial" w:eastAsia="Arial" w:hAnsi="Arial"/>
                <w:sz w:val="20"/>
                <w:szCs w:val="20"/>
                <w:color w:val="auto"/>
              </w:rPr>
              <w:t>&gt; 2.00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175.0 bps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bps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35.0 bps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175.0 bps</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1300" w:right="20"/>
        <w:spacing w:after="0" w:line="260" w:lineRule="auto"/>
        <w:rPr>
          <w:sz w:val="20"/>
          <w:szCs w:val="20"/>
          <w:color w:val="auto"/>
        </w:rPr>
      </w:pPr>
      <w:r>
        <w:rPr>
          <w:rFonts w:ascii="Arial" w:cs="Arial" w:eastAsia="Arial" w:hAnsi="Arial"/>
          <w:sz w:val="20"/>
          <w:szCs w:val="20"/>
          <w:color w:val="auto"/>
        </w:rPr>
        <w:t>The Applicable Rate in effect from October ___, 2014 until receipt of the Compliance Certificate for the period ended November 30, 2014 shall be determined based upon Pricing Level 4.</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jc w:val="right"/>
        <w:ind w:right="20"/>
        <w:spacing w:after="0" w:line="201" w:lineRule="auto"/>
        <w:rPr>
          <w:sz w:val="20"/>
          <w:szCs w:val="20"/>
          <w:color w:val="auto"/>
        </w:rPr>
      </w:pPr>
      <w:r>
        <w:rPr>
          <w:rFonts w:ascii="Arial" w:cs="Arial" w:eastAsia="Arial" w:hAnsi="Arial"/>
          <w:sz w:val="14"/>
          <w:szCs w:val="14"/>
          <w:color w:val="auto"/>
        </w:rPr>
        <w:t>[THIRD AMENDMENT AGREEMENT</w:t>
      </w:r>
    </w:p>
    <w:p>
      <w:pPr>
        <w:jc w:val="right"/>
        <w:ind w:right="20"/>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40"/>
          </w:cols>
          <w:pgMar w:left="240" w:top="366" w:right="219" w:bottom="1440" w:gutter="0" w:footer="0" w:header="0"/>
        </w:sectPr>
      </w:pPr>
    </w:p>
    <w:bookmarkStart w:id="34" w:name="page35"/>
    <w:bookmarkEnd w:id="34"/>
    <w:p>
      <w:pPr>
        <w:ind w:firstLine="1305"/>
        <w:spacing w:after="0" w:line="316" w:lineRule="auto"/>
        <w:tabs>
          <w:tab w:leader="none" w:pos="179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and modified by deleting the existing definition of “Assignment and Assumption” in its entirety and inserting the following new definition of “Assignment and Assumption” in its place and stead:</w:t>
      </w:r>
    </w:p>
    <w:p>
      <w:pPr>
        <w:spacing w:after="0" w:line="144"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any other form (including electronic documentation generated by use of MarkitClear or other electronic platform) approved by the Administrative Agent.</w:t>
      </w:r>
    </w:p>
    <w:p>
      <w:pPr>
        <w:spacing w:after="0" w:line="205" w:lineRule="exact"/>
        <w:rPr>
          <w:sz w:val="20"/>
          <w:szCs w:val="20"/>
          <w:color w:val="auto"/>
        </w:rPr>
      </w:pPr>
    </w:p>
    <w:p>
      <w:pPr>
        <w:ind w:right="20" w:firstLine="1305"/>
        <w:spacing w:after="0" w:line="287" w:lineRule="auto"/>
        <w:tabs>
          <w:tab w:leader="none" w:pos="178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and modified by deleting the existing definition of “Committed Loan Notice” in its entirety and inserting the following new definition of “Committed Loan Notice” in its place and stead:</w:t>
      </w:r>
    </w:p>
    <w:p>
      <w:pPr>
        <w:spacing w:after="0" w:line="166" w:lineRule="exact"/>
        <w:rPr>
          <w:sz w:val="20"/>
          <w:szCs w:val="20"/>
          <w:color w:val="auto"/>
        </w:rPr>
      </w:pPr>
    </w:p>
    <w:p>
      <w:pPr>
        <w:jc w:val="both"/>
        <w:ind w:left="130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xml:space="preserve">” means a notice of (a) a Committed Borrowing, (b) a conversion of Committed Loans from one Type to the other, or (c) a continuation of Eurocurrency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which form, platform and system shall be approved by the Administrative Agent), appropriately completed and signed by a Responsible Officer of the Borrower.</w:t>
      </w:r>
    </w:p>
    <w:p>
      <w:pPr>
        <w:spacing w:after="0" w:line="194" w:lineRule="exact"/>
        <w:rPr>
          <w:sz w:val="20"/>
          <w:szCs w:val="20"/>
          <w:color w:val="auto"/>
        </w:rPr>
      </w:pPr>
    </w:p>
    <w:p>
      <w:pPr>
        <w:ind w:firstLine="1305"/>
        <w:spacing w:after="0" w:line="260" w:lineRule="auto"/>
        <w:tabs>
          <w:tab w:leader="none" w:pos="1955"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“Eurocurrency Rate” in its entirety and inserting the following new definition of “Eurocurrency Rate” in its place and stead: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216" w:lineRule="exact"/>
        <w:rPr>
          <w:sz w:val="20"/>
          <w:szCs w:val="20"/>
          <w:color w:val="auto"/>
        </w:rPr>
      </w:pPr>
    </w:p>
    <w:p>
      <w:pPr>
        <w:jc w:val="both"/>
        <w:ind w:left="1300" w:firstLine="653"/>
        <w:spacing w:after="0" w:line="259" w:lineRule="auto"/>
        <w:tabs>
          <w:tab w:leader="none" w:pos="2493" w:val="left"/>
        </w:tabs>
        <w:numPr>
          <w:ilvl w:val="0"/>
          <w:numId w:val="25"/>
        </w:numPr>
        <w:rPr>
          <w:rFonts w:ascii="Arial" w:cs="Arial" w:eastAsia="Arial" w:hAnsi="Arial"/>
          <w:sz w:val="19"/>
          <w:szCs w:val="19"/>
          <w:color w:val="auto"/>
        </w:rPr>
      </w:pPr>
      <w:r>
        <w:rPr>
          <w:rFonts w:ascii="Arial" w:cs="Arial" w:eastAsia="Arial" w:hAnsi="Arial"/>
          <w:sz w:val="19"/>
          <w:szCs w:val="19"/>
          <w:color w:val="auto"/>
        </w:rPr>
        <w:t>for any Interest Period with respect to a Eurocurrency Rate Loan, the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w:t>
      </w:r>
    </w:p>
    <w:p>
      <w:pPr>
        <w:spacing w:after="0" w:line="178" w:lineRule="exact"/>
        <w:rPr>
          <w:rFonts w:ascii="Arial" w:cs="Arial" w:eastAsia="Arial" w:hAnsi="Arial"/>
          <w:sz w:val="19"/>
          <w:szCs w:val="19"/>
          <w:color w:val="auto"/>
        </w:rPr>
      </w:pPr>
    </w:p>
    <w:p>
      <w:pPr>
        <w:jc w:val="both"/>
        <w:ind w:left="1300" w:firstLine="653"/>
        <w:spacing w:after="0" w:line="250" w:lineRule="auto"/>
        <w:tabs>
          <w:tab w:leader="none" w:pos="24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LIBOR, at or about 11:00 a.m., London time determined two Business Days prior to such date for U.S. Dollar deposits with a term of one month commencing that day;</w:t>
      </w:r>
    </w:p>
    <w:p>
      <w:pPr>
        <w:spacing w:after="0" w:line="186" w:lineRule="exact"/>
        <w:rPr>
          <w:sz w:val="20"/>
          <w:szCs w:val="20"/>
          <w:color w:val="auto"/>
        </w:rPr>
      </w:pPr>
    </w:p>
    <w:p>
      <w:pPr>
        <w:jc w:val="both"/>
        <w:ind w:left="1300"/>
        <w:spacing w:after="0" w:line="276"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a comparable or successor rate is approved by the Administrative Agent in connection herewith, the approved rate shall be applied in a manner consistent with market practice and as applied by the Administrative Agent to other similar credit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 that</w:t>
      </w:r>
      <w:r>
        <w:rPr>
          <w:rFonts w:ascii="Arial" w:cs="Arial" w:eastAsia="Arial" w:hAnsi="Arial"/>
          <w:sz w:val="18"/>
          <w:szCs w:val="18"/>
          <w:color w:val="auto"/>
        </w:rPr>
        <w:t xml:space="preserve"> to the extent such market practice is not administratively feasible for the Administrative Agent, such approved rate shall be applied in a manner as otherwise reasonably determined by the Administrative Agent consistent with the provisions of this Agreement. In the event the Eurocurrency Rate as determined based upon the foregoing shall be less than zero, such rate shall be deemed to be zero for purposes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35" w:name="page36"/>
    <w:bookmarkEnd w:id="35"/>
    <w:p>
      <w:pPr>
        <w:ind w:firstLine="1305"/>
        <w:spacing w:after="0" w:line="260" w:lineRule="auto"/>
        <w:tabs>
          <w:tab w:leader="none" w:pos="180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“Excluded Taxes” in its entirety and inserting the following new definition of “Excluded Taxes” in its place and stead:</w:t>
      </w:r>
    </w:p>
    <w:p>
      <w:pPr>
        <w:spacing w:after="0" w:line="190" w:lineRule="exact"/>
        <w:rPr>
          <w:sz w:val="20"/>
          <w:szCs w:val="20"/>
          <w:color w:val="auto"/>
        </w:rPr>
      </w:pPr>
    </w:p>
    <w:p>
      <w:pPr>
        <w:jc w:val="both"/>
        <w:ind w:left="13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 (a)(iii)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90" w:lineRule="exact"/>
        <w:rPr>
          <w:sz w:val="20"/>
          <w:szCs w:val="20"/>
          <w:color w:val="auto"/>
        </w:rPr>
      </w:pPr>
    </w:p>
    <w:p>
      <w:pPr>
        <w:ind w:right="20" w:firstLine="1305"/>
        <w:spacing w:after="0" w:line="260" w:lineRule="auto"/>
        <w:tabs>
          <w:tab w:leader="none" w:pos="183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“Guarantor” in its entirety and inserting the following new definition of “Guarantor” in its place and stead:</w:t>
      </w:r>
    </w:p>
    <w:p>
      <w:pPr>
        <w:spacing w:after="0" w:line="190"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individually and collectively, as the context may require, (a) Virtual Media Integration, Ltd., formerly known as “SJVMI Acquisition Corp.”, a Delaware corporation, (b) The Nacher Corporation, a Louisiana corporation, (c) any additional guarantors added pursuant to the terms, conditions, and provisions of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hereof, all on a </w:t>
      </w:r>
      <w:r>
        <w:rPr>
          <w:rFonts w:ascii="Arial" w:cs="Arial" w:eastAsia="Arial" w:hAnsi="Arial"/>
          <w:sz w:val="20"/>
          <w:szCs w:val="20"/>
          <w:u w:val="single" w:color="auto"/>
          <w:color w:val="auto"/>
        </w:rPr>
        <w:t>joint and several</w:t>
      </w:r>
      <w:r>
        <w:rPr>
          <w:rFonts w:ascii="Arial" w:cs="Arial" w:eastAsia="Arial" w:hAnsi="Arial"/>
          <w:sz w:val="20"/>
          <w:szCs w:val="20"/>
          <w:color w:val="auto"/>
        </w:rPr>
        <w:t xml:space="preserve"> basis, and (d) with respect to the payment and performance by each Specified Loan Party of its obligations under its Guaranty with respect to Swap Obligations, the Borrower.</w:t>
      </w:r>
    </w:p>
    <w:p>
      <w:pPr>
        <w:spacing w:after="0" w:line="195" w:lineRule="exact"/>
        <w:rPr>
          <w:sz w:val="20"/>
          <w:szCs w:val="20"/>
          <w:color w:val="auto"/>
        </w:rPr>
      </w:pPr>
    </w:p>
    <w:p>
      <w:pPr>
        <w:ind w:right="20" w:firstLine="1305"/>
        <w:spacing w:after="0" w:line="260" w:lineRule="auto"/>
        <w:tabs>
          <w:tab w:leader="none" w:pos="191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“Lending Office” in its entirety and inserting the following new definition of “Lending Office” in its place and stead:</w:t>
      </w:r>
    </w:p>
    <w:p>
      <w:pPr>
        <w:spacing w:after="0" w:line="190"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5" w:lineRule="exact"/>
        <w:rPr>
          <w:sz w:val="20"/>
          <w:szCs w:val="20"/>
          <w:color w:val="auto"/>
        </w:rPr>
      </w:pPr>
    </w:p>
    <w:p>
      <w:pPr>
        <w:ind w:firstLine="1305"/>
        <w:spacing w:after="0" w:line="260" w:lineRule="auto"/>
        <w:tabs>
          <w:tab w:leader="none" w:pos="186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reference in the definition of “Maturity Date” to the date of “December 20, 2016” and replacing it with “October _____, 2019”.</w:t>
      </w:r>
    </w:p>
    <w:p>
      <w:pPr>
        <w:spacing w:after="0" w:line="190" w:lineRule="exact"/>
        <w:rPr>
          <w:rFonts w:ascii="Arial" w:cs="Arial" w:eastAsia="Arial" w:hAnsi="Arial"/>
          <w:sz w:val="20"/>
          <w:szCs w:val="20"/>
          <w:color w:val="auto"/>
        </w:rPr>
      </w:pPr>
    </w:p>
    <w:p>
      <w:pPr>
        <w:ind w:right="20" w:firstLine="1305"/>
        <w:spacing w:after="0" w:line="260" w:lineRule="auto"/>
        <w:tabs>
          <w:tab w:leader="none" w:pos="1739"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adding the following proviso to the end of the definition of “Obligations”: “;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‘Obligations’ shall exclude any Excluded Swap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36" w:name="page37"/>
    <w:bookmarkEnd w:id="36"/>
    <w:p>
      <w:pPr>
        <w:ind w:firstLine="1305"/>
        <w:spacing w:after="0" w:line="260" w:lineRule="auto"/>
        <w:tabs>
          <w:tab w:leader="none" w:pos="199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and modified by deleting the existing definition of “Responsible Officer” in its entirety and inserting the following new definition of “Responsible Officer” in its place and stead:</w:t>
      </w:r>
    </w:p>
    <w:p>
      <w:pPr>
        <w:spacing w:after="0" w:line="190" w:lineRule="exact"/>
        <w:rPr>
          <w:sz w:val="20"/>
          <w:szCs w:val="20"/>
          <w:color w:val="auto"/>
        </w:rPr>
      </w:pPr>
    </w:p>
    <w:p>
      <w:pPr>
        <w:jc w:val="both"/>
        <w:ind w:left="1300"/>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chief financial officer, treasurer, assistant treasurer or controller of a Loan Party, and solely for purposes of 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secretary or any assistant secretary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(xii)</w:t>
      </w:r>
      <w:r>
        <w:rPr>
          <w:sz w:val="20"/>
          <w:szCs w:val="20"/>
          <w:color w:val="auto"/>
        </w:rPr>
        <w:tab/>
      </w:r>
      <w:r>
        <w:rPr>
          <w:rFonts w:ascii="Arial" w:cs="Arial" w:eastAsia="Arial" w:hAnsi="Arial"/>
          <w:sz w:val="18"/>
          <w:szCs w:val="18"/>
          <w:u w:val="single" w:color="auto"/>
          <w:color w:val="auto"/>
        </w:rPr>
        <w:t xml:space="preserve">Section 1.01 </w:t>
      </w:r>
      <w:r>
        <w:rPr>
          <w:rFonts w:ascii="Arial" w:cs="Arial" w:eastAsia="Arial" w:hAnsi="Arial"/>
          <w:sz w:val="18"/>
          <w:szCs w:val="18"/>
          <w:color w:val="auto"/>
        </w:rPr>
        <w:t>of the Credit Agreement is hereby amended and modified by adding the following new definitions:</w:t>
      </w:r>
    </w:p>
    <w:p>
      <w:pPr>
        <w:spacing w:after="0" w:line="229"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90" w:lineRule="exact"/>
        <w:rPr>
          <w:sz w:val="20"/>
          <w:szCs w:val="20"/>
          <w:color w:val="auto"/>
        </w:rPr>
      </w:pPr>
    </w:p>
    <w:p>
      <w:pPr>
        <w:jc w:val="both"/>
        <w:ind w:left="1300"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90" w:lineRule="exact"/>
        <w:rPr>
          <w:sz w:val="20"/>
          <w:szCs w:val="20"/>
          <w:color w:val="auto"/>
        </w:rPr>
      </w:pPr>
    </w:p>
    <w:p>
      <w:pPr>
        <w:jc w:val="both"/>
        <w:ind w:left="1300"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90" w:lineRule="exact"/>
        <w:rPr>
          <w:sz w:val="20"/>
          <w:szCs w:val="20"/>
          <w:color w:val="auto"/>
        </w:rPr>
      </w:pPr>
    </w:p>
    <w:p>
      <w:pPr>
        <w:jc w:val="both"/>
        <w:ind w:left="1300"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or territory itself is the subject of any Sanction.</w:t>
      </w:r>
    </w:p>
    <w:p>
      <w:pPr>
        <w:spacing w:after="0" w:line="190" w:lineRule="exact"/>
        <w:rPr>
          <w:sz w:val="20"/>
          <w:szCs w:val="20"/>
          <w:color w:val="auto"/>
        </w:rPr>
      </w:pPr>
    </w:p>
    <w:p>
      <w:pPr>
        <w:jc w:val="both"/>
        <w:ind w:left="13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of this Agreement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October ____, 2014 (or any amended or successor version that</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is substantively comparable and not materially more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37" w:name="page38"/>
    <w:bookmarkEnd w:id="37"/>
    <w:p>
      <w:pPr>
        <w:jc w:val="both"/>
        <w:ind w:left="1300" w:right="20"/>
        <w:spacing w:after="0" w:line="260" w:lineRule="auto"/>
        <w:rPr>
          <w:sz w:val="20"/>
          <w:szCs w:val="20"/>
          <w:color w:val="auto"/>
        </w:rPr>
      </w:pPr>
      <w:r>
        <w:rPr>
          <w:rFonts w:ascii="Arial" w:cs="Arial" w:eastAsia="Arial" w:hAnsi="Arial"/>
          <w:sz w:val="20"/>
          <w:szCs w:val="20"/>
          <w:color w:val="auto"/>
        </w:rPr>
        <w:t>onerous to comply with), any current or future regulations or official interpretations thereof and any agreements entered into pursuant to Section 1471 (b) (1) of the Code.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Rate.</w:t>
      </w:r>
    </w:p>
    <w:p>
      <w:pPr>
        <w:spacing w:after="0" w:line="229"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Loan Prepayment</w:t>
      </w:r>
      <w:r>
        <w:rPr>
          <w:rFonts w:ascii="Arial" w:cs="Arial" w:eastAsia="Arial" w:hAnsi="Arial"/>
          <w:sz w:val="19"/>
          <w:szCs w:val="19"/>
          <w:color w:val="auto"/>
        </w:rPr>
        <w:t xml:space="preserve">” means a notice of prepayment with respect to a Loan, which notice shall be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or such other form as may be approved by the Administrative Agent (including any form on an electronic platform or electronic transmission system which form, platform and system shall be approved by the Administrative Agent), appropriately completed and signed by a Responsible Officer.</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29" w:lineRule="exact"/>
        <w:rPr>
          <w:sz w:val="20"/>
          <w:szCs w:val="20"/>
          <w:color w:val="auto"/>
        </w:rPr>
      </w:pPr>
    </w:p>
    <w:p>
      <w:pPr>
        <w:jc w:val="both"/>
        <w:ind w:left="130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shall mean, at any time, each Loan Party with total assets exceeding $10,000,000.00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65"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200"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means any Loan Party that is not an “eligible contract participant” under the Commodity Exchange Act (determined prior to giving effect to </w:t>
      </w:r>
      <w:r>
        <w:rPr>
          <w:rFonts w:ascii="Arial" w:cs="Arial" w:eastAsia="Arial" w:hAnsi="Arial"/>
          <w:sz w:val="20"/>
          <w:szCs w:val="20"/>
          <w:u w:val="single" w:color="auto"/>
          <w:color w:val="auto"/>
        </w:rPr>
        <w:t>Section 10.21</w:t>
      </w:r>
      <w:r>
        <w:rPr>
          <w:rFonts w:ascii="Arial" w:cs="Arial" w:eastAsia="Arial" w:hAnsi="Arial"/>
          <w:sz w:val="20"/>
          <w:szCs w:val="20"/>
          <w:color w:val="auto"/>
        </w:rPr>
        <w:t xml:space="preserve"> of this Agreement).</w:t>
      </w:r>
    </w:p>
    <w:p>
      <w:pPr>
        <w:spacing w:after="0" w:line="190" w:lineRule="exact"/>
        <w:rPr>
          <w:sz w:val="20"/>
          <w:szCs w:val="20"/>
          <w:color w:val="auto"/>
        </w:rPr>
      </w:pPr>
    </w:p>
    <w:p>
      <w:pPr>
        <w:jc w:val="both"/>
        <w:ind w:left="1300" w:right="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Obligations</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66" w:lineRule="exact"/>
        <w:rPr>
          <w:sz w:val="20"/>
          <w:szCs w:val="20"/>
          <w:color w:val="auto"/>
        </w:rPr>
      </w:pPr>
    </w:p>
    <w:p>
      <w:pPr>
        <w:ind w:firstLine="1305"/>
        <w:spacing w:after="0" w:line="260" w:lineRule="auto"/>
        <w:tabs>
          <w:tab w:leader="none" w:pos="194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of the Credit Agreement is hereby amended and modified by deleting the existing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in its entirety and inserting the following new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in its place and stead:</w:t>
      </w:r>
    </w:p>
    <w:p>
      <w:pPr>
        <w:spacing w:after="0" w:line="190" w:lineRule="exact"/>
        <w:rPr>
          <w:sz w:val="20"/>
          <w:szCs w:val="20"/>
          <w:color w:val="auto"/>
        </w:rPr>
      </w:pPr>
    </w:p>
    <w:p>
      <w:pPr>
        <w:jc w:val="both"/>
        <w:ind w:left="1300" w:firstLine="5"/>
        <w:spacing w:after="0" w:line="270" w:lineRule="auto"/>
        <w:tabs>
          <w:tab w:leader="none" w:pos="17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Committed Borrowing, each conversion of Committed Loans from one Type to the other, and each continuation of Eurocurrency Rate Loans shall be made upon Borrower’s irrevocable notice to Administrative Agent, which shall be given by a Committed Loan Notice. Each such Committed Loan Notice must be received by Administrative Agent not later than 11:00 a.m. (i) three Business Days prior to the requested date of any Borrowing of, conversion to or continuation of Eurocurrency Rate Loans denominated in U.S. Dollars or of any conversion of Eurocurrency Rate Loans denominated in U.S.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Borrowing of, conversion to or continuation of Eurocurrency Rate Loans shall be in a principal amount of $500,000.00 or a whole multiple of $100,000.00 in excess thereof. Except as provided in </w:t>
      </w:r>
      <w:r>
        <w:rPr>
          <w:rFonts w:ascii="Arial" w:cs="Arial" w:eastAsia="Arial" w:hAnsi="Arial"/>
          <w:sz w:val="18"/>
          <w:szCs w:val="18"/>
          <w:u w:val="single" w:color="auto"/>
          <w:color w:val="auto"/>
        </w:rPr>
        <w:t>Section 2.03(c)</w:t>
      </w:r>
      <w:r>
        <w:rPr>
          <w:rFonts w:ascii="Arial" w:cs="Arial" w:eastAsia="Arial" w:hAnsi="Arial"/>
          <w:sz w:val="18"/>
          <w:szCs w:val="18"/>
          <w:color w:val="auto"/>
        </w:rPr>
        <w:t>, each conversion to Base Rate Loans shall be in a principal amount of $500,000.00 or a whole multiple of $100,000.00 in excess thereof. Each Committed Loan Notice shall specify (A) whether the Borrower is requesting a Committed Borrowing, a conversion of Committed Loans from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38" w:name="page39"/>
    <w:bookmarkEnd w:id="38"/>
    <w:p>
      <w:pPr>
        <w:jc w:val="both"/>
        <w:ind w:left="1300"/>
        <w:spacing w:after="0" w:line="254" w:lineRule="auto"/>
        <w:rPr>
          <w:sz w:val="20"/>
          <w:szCs w:val="20"/>
          <w:color w:val="auto"/>
        </w:rPr>
      </w:pPr>
      <w:r>
        <w:rPr>
          <w:rFonts w:ascii="Arial" w:cs="Arial" w:eastAsia="Arial" w:hAnsi="Arial"/>
          <w:sz w:val="19"/>
          <w:szCs w:val="19"/>
          <w:color w:val="auto"/>
        </w:rPr>
        <w:t xml:space="preserve">one Type to the other, or a continuation of Eurocurrency Rate Loans, (B) the requested date of the Borrowing, conversion or continuation, as the case may be (which shall be a Business Day), (C) the principal amount of Committed Loans to be borrowed, converted or continued, (D) the Type of Committed Loans to be borrowed or to which existing Committed Loans are to be converted, (E) if applicable, the duration of the Interest Period with respect thereto, and (F) the currency of the Committed Loans to be borrowed. If the Borrower fails to specify a currency in a Committed Loan Notice requesting a Borrowing, then the Committed Loans so requested shall be made in Dollars. If the Borrower fails to specify a Type of Committed Loan in a Committed Loan Notice or if the Borrower fails to give a timely notice requesting a conversion or continuation, then the applicable Committed Loans shall be made as, or converted to,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 failure to timely request a continuation of Committed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Borrower requests a Borrowing of, conversion to, or continuation of Eurocurrency Rate Loans in any such Committed Loan Notice, but fails to specify an Interest Period, it will be deemed to have specified an Interest Period of one (1) month. No Committed Loan may be converted into or continued as a Committed Loan denominated in a different currency, but instead must be prepaid in the original currency of such Committed Loan and reborrowed in the other currency.</w:t>
      </w:r>
    </w:p>
    <w:p>
      <w:pPr>
        <w:spacing w:after="0" w:line="203" w:lineRule="exact"/>
        <w:rPr>
          <w:sz w:val="20"/>
          <w:szCs w:val="20"/>
          <w:color w:val="auto"/>
        </w:rPr>
      </w:pPr>
    </w:p>
    <w:p>
      <w:pPr>
        <w:ind w:firstLine="1305"/>
        <w:spacing w:after="0" w:line="260" w:lineRule="auto"/>
        <w:tabs>
          <w:tab w:leader="none" w:pos="1933"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of the Credit Agreement is hereby amended and modified by deleting the existing </w:t>
      </w:r>
      <w:r>
        <w:rPr>
          <w:rFonts w:ascii="Arial" w:cs="Arial" w:eastAsia="Arial" w:hAnsi="Arial"/>
          <w:sz w:val="20"/>
          <w:szCs w:val="20"/>
          <w:u w:val="single" w:color="auto"/>
          <w:color w:val="auto"/>
        </w:rPr>
        <w:t>Section 2.05(a)</w:t>
      </w:r>
      <w:r>
        <w:rPr>
          <w:rFonts w:ascii="Arial" w:cs="Arial" w:eastAsia="Arial" w:hAnsi="Arial"/>
          <w:sz w:val="20"/>
          <w:szCs w:val="20"/>
          <w:color w:val="auto"/>
        </w:rPr>
        <w:t xml:space="preserve"> in its entirety and inserting the following new </w:t>
      </w:r>
      <w:r>
        <w:rPr>
          <w:rFonts w:ascii="Arial" w:cs="Arial" w:eastAsia="Arial" w:hAnsi="Arial"/>
          <w:sz w:val="20"/>
          <w:szCs w:val="20"/>
          <w:u w:val="single" w:color="auto"/>
          <w:color w:val="auto"/>
        </w:rPr>
        <w:t>Section 2.05(a)</w:t>
      </w:r>
      <w:r>
        <w:rPr>
          <w:rFonts w:ascii="Arial" w:cs="Arial" w:eastAsia="Arial" w:hAnsi="Arial"/>
          <w:sz w:val="20"/>
          <w:szCs w:val="20"/>
          <w:color w:val="auto"/>
        </w:rPr>
        <w:t xml:space="preserve"> in its place and stead:</w:t>
      </w:r>
    </w:p>
    <w:p>
      <w:pPr>
        <w:spacing w:after="0" w:line="190" w:lineRule="exact"/>
        <w:rPr>
          <w:sz w:val="20"/>
          <w:szCs w:val="20"/>
          <w:color w:val="auto"/>
        </w:rPr>
      </w:pPr>
    </w:p>
    <w:p>
      <w:pPr>
        <w:jc w:val="both"/>
        <w:ind w:left="1300" w:firstLine="5"/>
        <w:spacing w:after="0" w:line="272" w:lineRule="auto"/>
        <w:tabs>
          <w:tab w:leader="none" w:pos="17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pursuant to delivery to the Administrative Agent of a Notice of Loan Prepayment, at any time or from time to time voluntarily prepay Committed Loans in whole or in part without premium or penalty;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notice must be received by the Administrative Agent not later than 11:00 a.m.</w:t>
      </w:r>
    </w:p>
    <w:p>
      <w:pPr>
        <w:spacing w:after="0" w:line="1"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9"/>
          <w:szCs w:val="19"/>
          <w:color w:val="auto"/>
        </w:rPr>
        <w:t xml:space="preserve">(A) three Business Days prior to any date of prepayment of Eurocurrency Rate Loans denominated in Dollars, (B) four Business Days (or five, in the case of prepayment of Loans denominated in Special Notice Currencies) prior to any date of prepayment of Eurocurrency Rate Loans denominated in Alternative Currencies, and (C) on the date of prepayment of Base Rate Loans; (ii) any prepayment of Eurocurrency Rate Loans denominated in Dollars shall be in a principal amount of $500,000.00 or a whole multiple of $100,000.00 in excess thereof; (iii) any prepayment of Eurocurrency Rate Loans denominated in Alternative Currencies shall be in a minimum principal amount of $500,000.00 or a whole multiple of $100,000.00 in excess thereof; and (iv) any prepayment of Base Rate Loans shall be in a principal amount of $500,000.00 or a whole multiple of $100,000.00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Each such prepayment shall be applied to the Committed Loans of the Lenders in accordance with their respective Applicable Percentages.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39" w:name="page40"/>
    <w:bookmarkEnd w:id="39"/>
    <w:p>
      <w:pPr>
        <w:ind w:firstLine="1305"/>
        <w:spacing w:after="0" w:line="260" w:lineRule="auto"/>
        <w:tabs>
          <w:tab w:leader="none" w:pos="1857"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of the Credit Agreement, the existing reference to “$25,000,000.00” is hereby deleted in its entirety, and a new reference to “$50,000,000.00” is hereby inserted in its place and stead.</w:t>
      </w:r>
    </w:p>
    <w:p>
      <w:pPr>
        <w:spacing w:after="0" w:line="190" w:lineRule="exact"/>
        <w:rPr>
          <w:rFonts w:ascii="Arial" w:cs="Arial" w:eastAsia="Arial" w:hAnsi="Arial"/>
          <w:sz w:val="20"/>
          <w:szCs w:val="20"/>
          <w:color w:val="auto"/>
        </w:rPr>
      </w:pPr>
    </w:p>
    <w:p>
      <w:pPr>
        <w:ind w:right="20" w:firstLine="1305"/>
        <w:spacing w:after="0" w:line="260" w:lineRule="auto"/>
        <w:tabs>
          <w:tab w:leader="none" w:pos="197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of the Credit Agreement is hereby amended and modified by deleting the existing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in its entirety and inserting the following new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in its place and stead:</w:t>
      </w:r>
    </w:p>
    <w:p>
      <w:pPr>
        <w:spacing w:after="0" w:line="18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22" w:lineRule="exact"/>
        <w:rPr>
          <w:sz w:val="20"/>
          <w:szCs w:val="20"/>
          <w:color w:val="auto"/>
        </w:rPr>
      </w:pPr>
    </w:p>
    <w:p>
      <w:pPr>
        <w:ind w:left="1720" w:hanging="415"/>
        <w:spacing w:after="0"/>
        <w:tabs>
          <w:tab w:leader="none" w:pos="172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43" w:lineRule="auto"/>
        <w:tabs>
          <w:tab w:leader="none" w:pos="2369"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w:t>
      </w:r>
    </w:p>
    <w:p>
      <w:pPr>
        <w:spacing w:after="0" w:line="196" w:lineRule="exact"/>
        <w:rPr>
          <w:rFonts w:ascii="Arial" w:cs="Arial" w:eastAsia="Arial" w:hAnsi="Arial"/>
          <w:sz w:val="20"/>
          <w:szCs w:val="20"/>
          <w:color w:val="auto"/>
        </w:rPr>
      </w:pPr>
    </w:p>
    <w:p>
      <w:pPr>
        <w:jc w:val="both"/>
        <w:ind w:left="1300" w:firstLine="653"/>
        <w:spacing w:after="0" w:line="269" w:lineRule="auto"/>
        <w:tabs>
          <w:tab w:leader="none" w:pos="24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Administrative Agent shall timely pay the full amount withheld or deducted to the relevant Governmental Authority in accordance with the Code, and</w:t>
      </w:r>
    </w:p>
    <w:p>
      <w:pPr>
        <w:spacing w:after="0" w:line="3" w:lineRule="exact"/>
        <w:rPr>
          <w:rFonts w:ascii="Arial" w:cs="Arial" w:eastAsia="Arial" w:hAnsi="Arial"/>
          <w:sz w:val="18"/>
          <w:szCs w:val="18"/>
          <w:color w:val="auto"/>
        </w:rPr>
      </w:pPr>
    </w:p>
    <w:p>
      <w:pPr>
        <w:jc w:val="both"/>
        <w:ind w:left="1300"/>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66" w:lineRule="exact"/>
        <w:rPr>
          <w:rFonts w:ascii="Arial" w:cs="Arial" w:eastAsia="Arial" w:hAnsi="Arial"/>
          <w:sz w:val="18"/>
          <w:szCs w:val="18"/>
          <w:color w:val="auto"/>
        </w:rPr>
      </w:pPr>
    </w:p>
    <w:p>
      <w:pPr>
        <w:jc w:val="both"/>
        <w:ind w:left="1300" w:firstLine="653"/>
        <w:spacing w:after="0" w:line="241" w:lineRule="auto"/>
        <w:tabs>
          <w:tab w:leader="none" w:pos="2478"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applicable Recipient receives an amount equal to the sum it would have received had no such withholding or deduction been made.</w:t>
      </w:r>
    </w:p>
    <w:p>
      <w:pPr>
        <w:spacing w:after="0" w:line="202" w:lineRule="exact"/>
        <w:rPr>
          <w:rFonts w:ascii="Arial" w:cs="Arial" w:eastAsia="Arial" w:hAnsi="Arial"/>
          <w:sz w:val="20"/>
          <w:szCs w:val="20"/>
          <w:color w:val="auto"/>
        </w:rPr>
      </w:pPr>
    </w:p>
    <w:p>
      <w:pPr>
        <w:jc w:val="both"/>
        <w:ind w:left="1300" w:firstLine="653"/>
        <w:spacing w:after="0" w:line="250" w:lineRule="auto"/>
        <w:tabs>
          <w:tab w:leader="none" w:pos="2449" w:val="left"/>
        </w:tabs>
        <w:numPr>
          <w:ilvl w:val="1"/>
          <w:numId w:val="36"/>
        </w:numPr>
        <w:rPr>
          <w:rFonts w:ascii="Arial" w:cs="Arial" w:eastAsia="Arial" w:hAnsi="Arial"/>
          <w:sz w:val="20"/>
          <w:szCs w:val="20"/>
          <w:color w:val="auto"/>
        </w:rPr>
      </w:pPr>
      <w:r>
        <w:rPr>
          <w:rFonts w:ascii="Arial" w:cs="Arial" w:eastAsia="Arial" w:hAnsi="Arial"/>
          <w:sz w:val="20"/>
          <w:szCs w:val="20"/>
          <w:color w:val="auto"/>
        </w:rPr>
        <w:t>For purposes of determining withholding Taxes imposed under FATCA from and after October _____, 2014, the Borrower and the Administrative Agent shall treat (and the Lenders hereby authorize the Administrative Agent to treat) the Facility as not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595" w:right="239" w:bottom="1440" w:gutter="0" w:footer="0" w:header="0"/>
        </w:sectPr>
      </w:pPr>
    </w:p>
    <w:bookmarkStart w:id="40" w:name="page41"/>
    <w:bookmarkEnd w:id="40"/>
    <w:p>
      <w:pPr>
        <w:ind w:left="100"/>
        <w:spacing w:after="0"/>
        <w:rPr>
          <w:sz w:val="20"/>
          <w:szCs w:val="20"/>
          <w:color w:val="auto"/>
        </w:rPr>
      </w:pPr>
      <w:r>
        <w:rPr>
          <w:rFonts w:ascii="Arial" w:cs="Arial" w:eastAsia="Arial" w:hAnsi="Arial"/>
          <w:sz w:val="20"/>
          <w:szCs w:val="20"/>
          <w:color w:val="auto"/>
        </w:rPr>
        <w:t>qualifying as a “grandfathered obligation” within the meaning of Treasury Regulation Section 1.1471-2(b)(2)(i).</w:t>
      </w:r>
    </w:p>
    <w:p>
      <w:pPr>
        <w:spacing w:after="0" w:line="216" w:lineRule="exact"/>
        <w:rPr>
          <w:sz w:val="20"/>
          <w:szCs w:val="20"/>
          <w:color w:val="auto"/>
        </w:rPr>
      </w:pPr>
    </w:p>
    <w:p>
      <w:pPr>
        <w:jc w:val="both"/>
        <w:ind w:left="100" w:firstLine="5"/>
        <w:spacing w:after="0" w:line="250" w:lineRule="auto"/>
        <w:tabs>
          <w:tab w:leader="none" w:pos="59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186" w:lineRule="exact"/>
        <w:rPr>
          <w:rFonts w:ascii="Arial" w:cs="Arial" w:eastAsia="Arial" w:hAnsi="Arial"/>
          <w:sz w:val="20"/>
          <w:szCs w:val="20"/>
          <w:color w:val="auto"/>
        </w:rPr>
      </w:pPr>
    </w:p>
    <w:p>
      <w:pPr>
        <w:ind w:left="520" w:hanging="415"/>
        <w:spacing w:after="0"/>
        <w:tabs>
          <w:tab w:leader="none" w:pos="52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71" w:lineRule="auto"/>
        <w:tabs>
          <w:tab w:leader="none" w:pos="11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Each of the Loan Parties shall, and does hereby, </w:t>
      </w:r>
      <w:r>
        <w:rPr>
          <w:rFonts w:ascii="Arial" w:cs="Arial" w:eastAsia="Arial" w:hAnsi="Arial"/>
          <w:sz w:val="18"/>
          <w:szCs w:val="18"/>
          <w:u w:val="single" w:color="auto"/>
          <w:color w:val="auto"/>
        </w:rPr>
        <w:t>jointly and severally</w:t>
      </w:r>
      <w:r>
        <w:rPr>
          <w:rFonts w:ascii="Arial" w:cs="Arial" w:eastAsia="Arial" w:hAnsi="Arial"/>
          <w:sz w:val="18"/>
          <w:szCs w:val="18"/>
          <w:color w:val="auto"/>
        </w:rPr>
        <w:t xml:space="preserve"> indemnify each Recipient, and shall make payment in respect thereof within 10 days after written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The Borrower shall, and do hereby, </w:t>
      </w:r>
      <w:r>
        <w:rPr>
          <w:rFonts w:ascii="Arial" w:cs="Arial" w:eastAsia="Arial" w:hAnsi="Arial"/>
          <w:sz w:val="18"/>
          <w:szCs w:val="18"/>
          <w:u w:val="single" w:color="auto"/>
          <w:color w:val="auto"/>
        </w:rPr>
        <w:t>jointly and severally</w:t>
      </w:r>
      <w:r>
        <w:rPr>
          <w:rFonts w:ascii="Arial" w:cs="Arial" w:eastAsia="Arial" w:hAnsi="Arial"/>
          <w:sz w:val="18"/>
          <w:szCs w:val="18"/>
          <w:color w:val="auto"/>
        </w:rPr>
        <w:t xml:space="preserve"> indemnify the Administrative Agent, and shall make payment in respect thereof within 15 days after written demand therefor, for any amount which a Lender or the L/C Issuer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jc w:val="both"/>
        <w:ind w:left="100" w:firstLine="653"/>
        <w:spacing w:after="0" w:line="270" w:lineRule="auto"/>
        <w:tabs>
          <w:tab w:leader="none" w:pos="12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Lender and the L/C Issuer shall, and does hereby, severally (and not jointly) indemnify, and shall make payment in respect thereof within 10 days after written demand therefor, (</w:t>
      </w:r>
      <w:r>
        <w:rPr>
          <w:rFonts w:ascii="Arial" w:cs="Arial" w:eastAsia="Arial" w:hAnsi="Arial"/>
          <w:sz w:val="18"/>
          <w:szCs w:val="18"/>
          <w:i w:val="1"/>
          <w:iCs w:val="1"/>
          <w:color w:val="auto"/>
        </w:rPr>
        <w:t>x</w:t>
      </w:r>
      <w:r>
        <w:rPr>
          <w:rFonts w:ascii="Arial" w:cs="Arial" w:eastAsia="Arial" w:hAnsi="Arial"/>
          <w:sz w:val="18"/>
          <w:szCs w:val="18"/>
          <w:color w:val="auto"/>
        </w:rPr>
        <w:t>) the Administrative Agent against any Indemnified Taxes attributable to such Lender or the L/C Issuer (but only to the extent that any Loan Party has not already indemnified the Administrative Agent for such Indemnified Taxes and without limiting the obligation of such Loan Party to do so), (</w:t>
      </w:r>
      <w:r>
        <w:rPr>
          <w:rFonts w:ascii="Arial" w:cs="Arial" w:eastAsia="Arial" w:hAnsi="Arial"/>
          <w:sz w:val="18"/>
          <w:szCs w:val="18"/>
          <w:i w:val="1"/>
          <w:iCs w:val="1"/>
          <w:color w:val="auto"/>
        </w:rPr>
        <w:t>y</w:t>
      </w:r>
      <w:r>
        <w:rPr>
          <w:rFonts w:ascii="Arial" w:cs="Arial" w:eastAsia="Arial" w:hAnsi="Arial"/>
          <w:sz w:val="18"/>
          <w:szCs w:val="18"/>
          <w:color w:val="auto"/>
        </w:rPr>
        <w:t>) the Administrative Agent and the Loan Parties, as applicable, against any Taxes attributable to such Lender’s failure to maintain a participant register and (</w:t>
      </w:r>
      <w:r>
        <w:rPr>
          <w:rFonts w:ascii="Arial" w:cs="Arial" w:eastAsia="Arial" w:hAnsi="Arial"/>
          <w:sz w:val="18"/>
          <w:szCs w:val="18"/>
          <w:i w:val="1"/>
          <w:iCs w:val="1"/>
          <w:color w:val="auto"/>
        </w:rPr>
        <w:t>z</w:t>
      </w:r>
      <w:r>
        <w:rPr>
          <w:rFonts w:ascii="Arial" w:cs="Arial" w:eastAsia="Arial" w:hAnsi="Arial"/>
          <w:sz w:val="18"/>
          <w:szCs w:val="18"/>
          <w:color w:val="auto"/>
        </w:rPr>
        <w:t xml:space="preserve">) the Administrative Agent and the Loan Parties, as applicable, against any Excluded Taxes attributable to such Lender or the L/C Issuer, in each case, that are payable or paid by the Administrative Agent or the Loan Parties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100" w:firstLine="5"/>
        <w:spacing w:after="0" w:line="244" w:lineRule="auto"/>
        <w:tabs>
          <w:tab w:leader="none" w:pos="52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w:t>
      </w:r>
    </w:p>
    <w:p>
      <w:pPr>
        <w:spacing w:after="0" w:line="200" w:lineRule="exact"/>
        <w:rPr>
          <w:sz w:val="20"/>
          <w:szCs w:val="20"/>
          <w:color w:val="auto"/>
        </w:rPr>
      </w:pPr>
    </w:p>
    <w:p>
      <w:pPr>
        <w:spacing w:after="0" w:line="23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-10-</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366" w:right="239" w:bottom="1440" w:gutter="0" w:footer="0" w:header="0"/>
        </w:sectPr>
      </w:pPr>
    </w:p>
    <w:bookmarkStart w:id="41" w:name="page42"/>
    <w:bookmarkEnd w:id="41"/>
    <w:p>
      <w:pPr>
        <w:ind w:left="100"/>
        <w:spacing w:after="0" w:line="260" w:lineRule="auto"/>
        <w:rPr>
          <w:sz w:val="20"/>
          <w:szCs w:val="20"/>
          <w:color w:val="auto"/>
        </w:rPr>
      </w:pPr>
      <w:r>
        <w:rPr>
          <w:rFonts w:ascii="Arial" w:cs="Arial" w:eastAsia="Arial" w:hAnsi="Arial"/>
          <w:sz w:val="20"/>
          <w:szCs w:val="20"/>
          <w:color w:val="auto"/>
        </w:rPr>
        <w:t>payment or other evidence of such payment reasonably satisfactory to the Borrower or the Administrative Agent, as the case may be.</w:t>
      </w:r>
    </w:p>
    <w:p>
      <w:pPr>
        <w:spacing w:after="0" w:line="177" w:lineRule="exact"/>
        <w:rPr>
          <w:sz w:val="20"/>
          <w:szCs w:val="20"/>
          <w:color w:val="auto"/>
        </w:rPr>
      </w:pPr>
    </w:p>
    <w:p>
      <w:pPr>
        <w:ind w:left="520" w:hanging="415"/>
        <w:spacing w:after="0"/>
        <w:tabs>
          <w:tab w:leader="none" w:pos="5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653"/>
        <w:spacing w:after="0" w:line="270" w:lineRule="auto"/>
        <w:tabs>
          <w:tab w:leader="none" w:pos="114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rFonts w:ascii="Arial" w:cs="Arial" w:eastAsia="Arial" w:hAnsi="Arial"/>
          <w:sz w:val="18"/>
          <w:szCs w:val="18"/>
          <w:color w:val="auto"/>
        </w:rPr>
      </w:pPr>
    </w:p>
    <w:p>
      <w:pPr>
        <w:ind w:left="1180" w:hanging="427"/>
        <w:spacing w:after="0"/>
        <w:tabs>
          <w:tab w:leader="none" w:pos="11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43" w:lineRule="exact"/>
        <w:rPr>
          <w:sz w:val="20"/>
          <w:szCs w:val="20"/>
          <w:color w:val="auto"/>
        </w:rPr>
      </w:pPr>
    </w:p>
    <w:p>
      <w:pPr>
        <w:jc w:val="both"/>
        <w:ind w:left="100" w:firstLine="653"/>
        <w:spacing w:after="0" w:line="266" w:lineRule="auto"/>
        <w:tabs>
          <w:tab w:leader="none" w:pos="1282" w:val="left"/>
        </w:tabs>
        <w:numPr>
          <w:ilvl w:val="0"/>
          <w:numId w:val="39"/>
        </w:numPr>
        <w:rPr>
          <w:rFonts w:ascii="Arial" w:cs="Arial" w:eastAsia="Arial" w:hAnsi="Arial"/>
          <w:sz w:val="22"/>
          <w:szCs w:val="22"/>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10" w:lineRule="exact"/>
        <w:rPr>
          <w:rFonts w:ascii="Arial" w:cs="Arial" w:eastAsia="Arial" w:hAnsi="Arial"/>
          <w:sz w:val="22"/>
          <w:szCs w:val="22"/>
          <w:color w:val="auto"/>
        </w:rPr>
      </w:pPr>
    </w:p>
    <w:p>
      <w:pPr>
        <w:jc w:val="both"/>
        <w:ind w:left="100" w:firstLine="653"/>
        <w:spacing w:after="0" w:line="266" w:lineRule="auto"/>
        <w:tabs>
          <w:tab w:leader="none" w:pos="1405" w:val="left"/>
        </w:tabs>
        <w:numPr>
          <w:ilvl w:val="0"/>
          <w:numId w:val="39"/>
        </w:numPr>
        <w:rPr>
          <w:rFonts w:ascii="Arial" w:cs="Arial" w:eastAsia="Arial" w:hAnsi="Arial"/>
          <w:sz w:val="22"/>
          <w:szCs w:val="22"/>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10" w:lineRule="exact"/>
        <w:rPr>
          <w:rFonts w:ascii="Arial" w:cs="Arial" w:eastAsia="Arial" w:hAnsi="Arial"/>
          <w:sz w:val="22"/>
          <w:szCs w:val="22"/>
          <w:color w:val="auto"/>
        </w:rPr>
      </w:pPr>
    </w:p>
    <w:p>
      <w:pPr>
        <w:jc w:val="both"/>
        <w:ind w:left="100" w:firstLine="1301"/>
        <w:spacing w:after="0" w:line="266" w:lineRule="auto"/>
        <w:tabs>
          <w:tab w:leader="none" w:pos="1792" w:val="left"/>
        </w:tabs>
        <w:numPr>
          <w:ilvl w:val="1"/>
          <w:numId w:val="39"/>
        </w:numPr>
        <w:rPr>
          <w:rFonts w:ascii="Arial" w:cs="Arial" w:eastAsia="Arial" w:hAnsi="Arial"/>
          <w:sz w:val="22"/>
          <w:szCs w:val="22"/>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of IRS Form W-8BEN-E establishing an exemption from, or reduction of, U.S. federal withholding Tax pursuant to the “interest” article of such tax treaty and (y) with respect to any other applicable payments under any Loan Document, IRS Form W-8BEN-E establishing an exemption from, or reduction of, U.S. federal withholding Tax pursuant to the “business profits” or “other income” article of such tax treaty;</w:t>
      </w:r>
    </w:p>
    <w:p>
      <w:pPr>
        <w:spacing w:after="0" w:line="212" w:lineRule="exact"/>
        <w:rPr>
          <w:sz w:val="20"/>
          <w:szCs w:val="20"/>
          <w:color w:val="auto"/>
        </w:rPr>
      </w:pPr>
    </w:p>
    <w:p>
      <w:pPr>
        <w:ind w:left="1860" w:hanging="459"/>
        <w:spacing w:after="0"/>
        <w:tabs>
          <w:tab w:leader="none" w:pos="1860" w:val="left"/>
        </w:tabs>
        <w:numPr>
          <w:ilvl w:val="0"/>
          <w:numId w:val="40"/>
        </w:numPr>
        <w:rPr>
          <w:rFonts w:ascii="Arial" w:cs="Arial" w:eastAsia="Arial" w:hAnsi="Arial"/>
          <w:sz w:val="22"/>
          <w:szCs w:val="22"/>
          <w:color w:val="auto"/>
        </w:rPr>
      </w:pPr>
      <w:r>
        <w:rPr>
          <w:rFonts w:ascii="Arial" w:cs="Arial" w:eastAsia="Arial" w:hAnsi="Arial"/>
          <w:sz w:val="20"/>
          <w:szCs w:val="20"/>
          <w:color w:val="auto"/>
        </w:rPr>
        <w:t>executed originals of IRS Form W-8ECI;</w:t>
      </w:r>
    </w:p>
    <w:p>
      <w:pPr>
        <w:spacing w:after="0" w:line="236" w:lineRule="exact"/>
        <w:rPr>
          <w:sz w:val="20"/>
          <w:szCs w:val="20"/>
          <w:color w:val="auto"/>
        </w:rPr>
      </w:pPr>
    </w:p>
    <w:p>
      <w:pPr>
        <w:jc w:val="both"/>
        <w:ind w:left="100" w:firstLine="1301"/>
        <w:spacing w:after="0" w:line="265" w:lineRule="auto"/>
        <w:tabs>
          <w:tab w:leader="none" w:pos="2044" w:val="left"/>
        </w:tabs>
        <w:numPr>
          <w:ilvl w:val="0"/>
          <w:numId w:val="41"/>
        </w:numPr>
        <w:rPr>
          <w:rFonts w:ascii="Arial" w:cs="Arial" w:eastAsia="Arial" w:hAnsi="Arial"/>
          <w:sz w:val="22"/>
          <w:szCs w:val="22"/>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to the effect that such Foreign Lender is not a “bank” within the meaning of Section 881(c)(3)(A) of the Code, a “10 percent shareholder”</w:t>
      </w:r>
    </w:p>
    <w:p>
      <w:pPr>
        <w:spacing w:after="0" w:line="200" w:lineRule="exact"/>
        <w:rPr>
          <w:sz w:val="20"/>
          <w:szCs w:val="20"/>
          <w:color w:val="auto"/>
        </w:rPr>
      </w:pPr>
    </w:p>
    <w:p>
      <w:pPr>
        <w:spacing w:after="0" w:line="22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-11-</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366" w:right="239" w:bottom="1440" w:gutter="0" w:footer="0" w:header="0"/>
        </w:sectPr>
      </w:pPr>
    </w:p>
    <w:bookmarkStart w:id="42" w:name="page43"/>
    <w:bookmarkEnd w:id="42"/>
    <w:p>
      <w:pPr>
        <w:jc w:val="both"/>
        <w:ind w:left="100"/>
        <w:spacing w:after="0" w:line="316" w:lineRule="auto"/>
        <w:rPr>
          <w:sz w:val="20"/>
          <w:szCs w:val="20"/>
          <w:color w:val="auto"/>
        </w:rPr>
      </w:pPr>
      <w:r>
        <w:rPr>
          <w:rFonts w:ascii="Arial" w:cs="Arial" w:eastAsia="Arial" w:hAnsi="Arial"/>
          <w:sz w:val="18"/>
          <w:szCs w:val="18"/>
          <w:color w:val="auto"/>
        </w:rPr>
        <w:t>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W-8BEN-E; or</w:t>
      </w:r>
    </w:p>
    <w:p>
      <w:pPr>
        <w:spacing w:after="0" w:line="139" w:lineRule="exact"/>
        <w:rPr>
          <w:sz w:val="20"/>
          <w:szCs w:val="20"/>
          <w:color w:val="auto"/>
        </w:rPr>
      </w:pPr>
    </w:p>
    <w:p>
      <w:pPr>
        <w:jc w:val="both"/>
        <w:ind w:left="100" w:firstLine="1296"/>
        <w:spacing w:after="0" w:line="275" w:lineRule="auto"/>
        <w:rPr>
          <w:sz w:val="20"/>
          <w:szCs w:val="20"/>
          <w:color w:val="auto"/>
        </w:rPr>
      </w:pPr>
      <w:r>
        <w:rPr>
          <w:rFonts w:ascii="Arial" w:cs="Arial" w:eastAsia="Arial" w:hAnsi="Arial"/>
          <w:sz w:val="22"/>
          <w:szCs w:val="22"/>
          <w:color w:val="auto"/>
        </w:rPr>
        <w:t xml:space="preserve">(IV) </w:t>
      </w:r>
      <w:r>
        <w:rPr>
          <w:rFonts w:ascii="Arial" w:cs="Arial" w:eastAsia="Arial" w:hAnsi="Arial"/>
          <w:sz w:val="19"/>
          <w:szCs w:val="19"/>
          <w:color w:val="auto"/>
        </w:rPr>
        <w:t>to the extent a Foreign Lender is not the beneficial owner, executed originals of IRS Form W-8IMY,</w:t>
      </w:r>
      <w:r>
        <w:rPr>
          <w:rFonts w:ascii="Arial" w:cs="Arial" w:eastAsia="Arial" w:hAnsi="Arial"/>
          <w:sz w:val="22"/>
          <w:szCs w:val="22"/>
          <w:color w:val="auto"/>
        </w:rPr>
        <w:t xml:space="preserve"> </w:t>
      </w:r>
      <w:r>
        <w:rPr>
          <w:rFonts w:ascii="Arial" w:cs="Arial" w:eastAsia="Arial" w:hAnsi="Arial"/>
          <w:sz w:val="19"/>
          <w:szCs w:val="19"/>
          <w:color w:val="auto"/>
        </w:rPr>
        <w:t xml:space="preserve">accompanied by IRS Form W-8ECI, IRS Form W-8BEN-E, a U.S. Tax Compliance Certificate substantially in the form of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“E-4”</w:t>
      </w:r>
      <w:r>
        <w:rPr>
          <w:rFonts w:ascii="Arial" w:cs="Arial" w:eastAsia="Arial" w:hAnsi="Arial"/>
          <w:sz w:val="19"/>
          <w:szCs w:val="19"/>
          <w:color w:val="auto"/>
        </w:rPr>
        <w:t xml:space="preserve"> on behalf of each such direct and indirect partner;</w:t>
      </w:r>
    </w:p>
    <w:p>
      <w:pPr>
        <w:spacing w:after="0" w:line="179" w:lineRule="exact"/>
        <w:rPr>
          <w:sz w:val="20"/>
          <w:szCs w:val="20"/>
          <w:color w:val="auto"/>
        </w:rPr>
      </w:pPr>
    </w:p>
    <w:p>
      <w:pPr>
        <w:jc w:val="both"/>
        <w:ind w:left="100" w:firstLine="653"/>
        <w:spacing w:after="0" w:line="243" w:lineRule="auto"/>
        <w:tabs>
          <w:tab w:leader="none" w:pos="1403"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3" w:lineRule="exact"/>
        <w:rPr>
          <w:rFonts w:ascii="Arial" w:cs="Arial" w:eastAsia="Arial" w:hAnsi="Arial"/>
          <w:sz w:val="20"/>
          <w:szCs w:val="20"/>
          <w:color w:val="auto"/>
        </w:rPr>
      </w:pPr>
    </w:p>
    <w:p>
      <w:pPr>
        <w:jc w:val="both"/>
        <w:ind w:left="100" w:firstLine="653"/>
        <w:spacing w:after="0" w:line="269" w:lineRule="auto"/>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Arial" w:cs="Arial" w:eastAsia="Arial" w:hAnsi="Arial"/>
          <w:sz w:val="18"/>
          <w:szCs w:val="18"/>
          <w:color w:val="auto"/>
        </w:rPr>
      </w:pPr>
    </w:p>
    <w:p>
      <w:pPr>
        <w:jc w:val="both"/>
        <w:ind w:left="100" w:firstLine="5"/>
        <w:spacing w:after="0"/>
        <w:tabs>
          <w:tab w:leader="none" w:pos="343"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0"/>
          <w:szCs w:val="20"/>
          <w:u w:val="single" w:color="auto"/>
          <w:color w:val="auto"/>
        </w:rPr>
        <w:t>clause (D)</w:t>
      </w:r>
      <w:r>
        <w:rPr>
          <w:rFonts w:ascii="Arial" w:cs="Arial" w:eastAsia="Arial" w:hAnsi="Arial"/>
          <w:sz w:val="20"/>
          <w:szCs w:val="20"/>
          <w:color w:val="auto"/>
        </w:rPr>
        <w:t>, “FATCA” shall include any amendments made to FATCA after the date of this Agreement.</w:t>
      </w:r>
    </w:p>
    <w:p>
      <w:pPr>
        <w:spacing w:after="0" w:line="198" w:lineRule="exact"/>
        <w:rPr>
          <w:sz w:val="20"/>
          <w:szCs w:val="20"/>
          <w:color w:val="auto"/>
        </w:rPr>
      </w:pPr>
    </w:p>
    <w:p>
      <w:pPr>
        <w:jc w:val="both"/>
        <w:ind w:left="100" w:right="20" w:firstLine="653"/>
        <w:spacing w:after="0" w:line="250" w:lineRule="auto"/>
        <w:tabs>
          <w:tab w:leader="none" w:pos="1269"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6" w:lineRule="exact"/>
        <w:rPr>
          <w:rFonts w:ascii="Arial" w:cs="Arial" w:eastAsia="Arial" w:hAnsi="Arial"/>
          <w:sz w:val="20"/>
          <w:szCs w:val="20"/>
          <w:color w:val="auto"/>
        </w:rPr>
      </w:pPr>
    </w:p>
    <w:p>
      <w:pPr>
        <w:jc w:val="both"/>
        <w:ind w:left="100" w:firstLine="5"/>
        <w:spacing w:after="0" w:line="257" w:lineRule="auto"/>
        <w:tabs>
          <w:tab w:leader="none" w:pos="55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the Loan Parties an amount equal to such refund (but only to the extent of indemnity payments made, or additional amounts paid, by the Loan Parties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giving rise to such refund), net of</w:t>
      </w: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-12-</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366" w:right="239" w:bottom="1440" w:gutter="0" w:footer="0" w:header="0"/>
        </w:sectPr>
      </w:pPr>
    </w:p>
    <w:bookmarkStart w:id="43" w:name="page44"/>
    <w:bookmarkEnd w:id="43"/>
    <w:p>
      <w:pPr>
        <w:jc w:val="both"/>
        <w:ind w:left="1300"/>
        <w:spacing w:after="0" w:line="255" w:lineRule="auto"/>
        <w:rPr>
          <w:sz w:val="20"/>
          <w:szCs w:val="20"/>
          <w:color w:val="auto"/>
        </w:rPr>
      </w:pPr>
      <w:r>
        <w:rPr>
          <w:rFonts w:ascii="Arial" w:cs="Arial" w:eastAsia="Arial" w:hAnsi="Arial"/>
          <w:sz w:val="19"/>
          <w:szCs w:val="19"/>
          <w:color w:val="auto"/>
        </w:rPr>
        <w:t xml:space="preserve">all out-of-pocket expenses (including Taxes) incurred by such Recipient,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8" w:lineRule="exact"/>
        <w:rPr>
          <w:sz w:val="20"/>
          <w:szCs w:val="20"/>
          <w:color w:val="auto"/>
        </w:rPr>
      </w:pPr>
    </w:p>
    <w:p>
      <w:pPr>
        <w:jc w:val="both"/>
        <w:ind w:left="1300" w:firstLine="5"/>
        <w:spacing w:after="0" w:line="250" w:lineRule="auto"/>
        <w:tabs>
          <w:tab w:leader="none" w:pos="195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(xvii)</w:t>
      </w:r>
      <w:r>
        <w:rPr>
          <w:sz w:val="20"/>
          <w:szCs w:val="20"/>
          <w:color w:val="auto"/>
        </w:rPr>
        <w:tab/>
      </w:r>
      <w:r>
        <w:rPr>
          <w:rFonts w:ascii="Arial" w:cs="Arial" w:eastAsia="Arial" w:hAnsi="Arial"/>
          <w:sz w:val="18"/>
          <w:szCs w:val="18"/>
          <w:color w:val="auto"/>
        </w:rPr>
        <w:t xml:space="preserve">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the following new </w:t>
      </w:r>
      <w:r>
        <w:rPr>
          <w:rFonts w:ascii="Arial" w:cs="Arial" w:eastAsia="Arial" w:hAnsi="Arial"/>
          <w:sz w:val="18"/>
          <w:szCs w:val="18"/>
          <w:u w:val="single" w:color="auto"/>
          <w:color w:val="auto"/>
        </w:rPr>
        <w:t>Section 5.20</w:t>
      </w:r>
      <w:r>
        <w:rPr>
          <w:rFonts w:ascii="Arial" w:cs="Arial" w:eastAsia="Arial" w:hAnsi="Arial"/>
          <w:sz w:val="18"/>
          <w:szCs w:val="18"/>
          <w:color w:val="auto"/>
        </w:rPr>
        <w:t xml:space="preserve"> shall be added:</w:t>
      </w:r>
    </w:p>
    <w:p>
      <w:pPr>
        <w:spacing w:after="0" w:line="223" w:lineRule="exact"/>
        <w:rPr>
          <w:sz w:val="20"/>
          <w:szCs w:val="20"/>
          <w:color w:val="auto"/>
        </w:rPr>
      </w:pPr>
    </w:p>
    <w:p>
      <w:pPr>
        <w:jc w:val="both"/>
        <w:ind w:left="1300"/>
        <w:spacing w:after="0" w:line="271" w:lineRule="auto"/>
        <w:rPr>
          <w:sz w:val="20"/>
          <w:szCs w:val="20"/>
          <w:color w:val="auto"/>
        </w:rPr>
      </w:pPr>
      <w:r>
        <w:rPr>
          <w:rFonts w:ascii="Arial" w:cs="Arial" w:eastAsia="Arial" w:hAnsi="Arial"/>
          <w:sz w:val="18"/>
          <w:szCs w:val="18"/>
          <w:b w:val="1"/>
          <w:bCs w:val="1"/>
          <w:color w:val="auto"/>
        </w:rPr>
        <w:t xml:space="preserve">5.20 OFAC; Anti-Corruption Laws; Sanctions. </w:t>
      </w:r>
      <w:r>
        <w:rPr>
          <w:rFonts w:ascii="Arial" w:cs="Arial" w:eastAsia="Arial" w:hAnsi="Arial"/>
          <w:sz w:val="18"/>
          <w:szCs w:val="18"/>
          <w:color w:val="auto"/>
        </w:rPr>
        <w:t>None of the Borrower, any of its Subsidiaries, or,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and its Subsidiaries, any director, officer, employee, agent, affiliate or representative thereof, is an individual or entity that is, or is owned or controlled by any individual or entity (other than another Subsidiary) that is, (i) currently the subject or target of any Sanctions or (ii) located, organized or resident in a Designated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after October ____, 2014, new or additional Sanctions are imposed which would render the foregoing representation and warranty</w:t>
      </w:r>
    </w:p>
    <w:p>
      <w:pPr>
        <w:spacing w:after="0" w:line="1" w:lineRule="exact"/>
        <w:rPr>
          <w:sz w:val="20"/>
          <w:szCs w:val="20"/>
          <w:color w:val="auto"/>
        </w:rPr>
      </w:pPr>
    </w:p>
    <w:p>
      <w:pPr>
        <w:jc w:val="both"/>
        <w:ind w:left="1300"/>
        <w:spacing w:after="0" w:line="254" w:lineRule="auto"/>
        <w:rPr>
          <w:sz w:val="20"/>
          <w:szCs w:val="20"/>
          <w:color w:val="auto"/>
        </w:rPr>
      </w:pPr>
      <w:r>
        <w:rPr>
          <w:rFonts w:ascii="Arial" w:cs="Arial" w:eastAsia="Arial" w:hAnsi="Arial"/>
          <w:sz w:val="19"/>
          <w:szCs w:val="19"/>
          <w:color w:val="auto"/>
        </w:rPr>
        <w:t xml:space="preserve">false, such event shall not constitute a breach of such representation and warranty or an Event of Default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5.20 provided that</w:t>
      </w:r>
      <w:r>
        <w:rPr>
          <w:rFonts w:ascii="Arial" w:cs="Arial" w:eastAsia="Arial" w:hAnsi="Arial"/>
          <w:sz w:val="19"/>
          <w:szCs w:val="19"/>
          <w:color w:val="auto"/>
        </w:rPr>
        <w:t xml:space="preserve"> the Borrower and its Subsidiaries are diligently taking all appropriate steps necessary to make such representation and warranty true and correct and such representation and warranty is true and correct within ninety (90) days following the imposition of such Sanctions.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w:t>
      </w:r>
    </w:p>
    <w:p>
      <w:pPr>
        <w:spacing w:after="0" w:line="200" w:lineRule="exact"/>
        <w:rPr>
          <w:sz w:val="20"/>
          <w:szCs w:val="20"/>
          <w:color w:val="auto"/>
        </w:rPr>
      </w:pPr>
    </w:p>
    <w:p>
      <w:pPr>
        <w:ind w:firstLine="1305"/>
        <w:spacing w:after="0" w:line="260" w:lineRule="auto"/>
        <w:tabs>
          <w:tab w:leader="none" w:pos="201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of the Credit Agreement are each hereby amended and modified by adding the following new sentence at the end of each said section:</w:t>
      </w:r>
    </w:p>
    <w:p>
      <w:pPr>
        <w:spacing w:after="0" w:line="190"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the SEC’s electronic data gathering and retrieval system (“EDGAR”).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44" w:name="page45"/>
    <w:bookmarkEnd w:id="44"/>
    <w:p>
      <w:pPr>
        <w:jc w:val="both"/>
        <w:ind w:firstLine="1305"/>
        <w:spacing w:after="0" w:line="250" w:lineRule="auto"/>
        <w:tabs>
          <w:tab w:leader="none" w:pos="1933"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of the Credit Agreement, the existing reference to the maximum permitted Funded Debt Leverage Ratio of “3.00 -to- 1.0” is hereby deleted and a new maximum permitted Funded Debt Leverage Ratio of “3.25 -to- 1.0” is hereby inserted in its place and stead.</w:t>
      </w:r>
    </w:p>
    <w:p>
      <w:pPr>
        <w:spacing w:after="0" w:line="199" w:lineRule="exact"/>
        <w:rPr>
          <w:rFonts w:ascii="Arial" w:cs="Arial" w:eastAsia="Arial" w:hAnsi="Arial"/>
          <w:sz w:val="20"/>
          <w:szCs w:val="20"/>
          <w:color w:val="auto"/>
        </w:rPr>
      </w:pPr>
    </w:p>
    <w:p>
      <w:pPr>
        <w:ind w:left="1840" w:hanging="535"/>
        <w:spacing w:after="0"/>
        <w:tabs>
          <w:tab w:leader="none" w:pos="18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of the Credit Agreement, the following new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shall be added:</w:t>
      </w:r>
    </w:p>
    <w:p>
      <w:pPr>
        <w:spacing w:after="0" w:line="223" w:lineRule="exact"/>
        <w:rPr>
          <w:sz w:val="20"/>
          <w:szCs w:val="20"/>
          <w:color w:val="auto"/>
        </w:rPr>
      </w:pPr>
    </w:p>
    <w:p>
      <w:pPr>
        <w:jc w:val="both"/>
        <w:ind w:left="1300"/>
        <w:spacing w:after="0" w:line="269" w:lineRule="auto"/>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color w:val="auto"/>
        </w:rPr>
        <w:t>.12 Anti-Corruption Laws; Sanctions.</w:t>
      </w:r>
      <w:r>
        <w:rPr>
          <w:rFonts w:ascii="Arial" w:cs="Arial" w:eastAsia="Arial" w:hAnsi="Arial"/>
          <w:sz w:val="18"/>
          <w:szCs w:val="18"/>
          <w:color w:val="auto"/>
        </w:rPr>
        <w:t xml:space="preserve"> Directly or indirectly, use the proceeds of any Credit Extension, or lend, contribute or otherwise make available such proceeds to any Subsidiary, joint venture partner or other individual or entity, (a) to fund (i) any activities of or business with any individual or entity or (ii) any activities or business in any Designated Jurisdiction, which individual, entity or Designated Jurisdiction, at the time of such funding, is the subject of Sanctions, or (b) in any other manner that will result in a violation by any individual or entity (including any individual or entity participating in the transaction, whether as Lender, Lead Arranger, Administrative Agent, L/C Issuer, or otherwise) of Sanctions, and/or directly or indirectly permit or allow any Credit Extension, use of proceeds hereunder or other transaction contemplated by this Agreement to violate any Anti-Corruption Law or applicable Sanctions;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after October ____, 2014, new or additional</w:t>
      </w:r>
    </w:p>
    <w:p>
      <w:pPr>
        <w:spacing w:after="0" w:line="3" w:lineRule="exact"/>
        <w:rPr>
          <w:sz w:val="20"/>
          <w:szCs w:val="20"/>
          <w:color w:val="auto"/>
        </w:rPr>
      </w:pPr>
    </w:p>
    <w:p>
      <w:pPr>
        <w:jc w:val="both"/>
        <w:ind w:left="1300"/>
        <w:spacing w:after="0"/>
        <w:rPr>
          <w:sz w:val="20"/>
          <w:szCs w:val="20"/>
          <w:color w:val="auto"/>
        </w:rPr>
      </w:pPr>
      <w:r>
        <w:rPr>
          <w:rFonts w:ascii="Arial" w:cs="Arial" w:eastAsia="Arial" w:hAnsi="Arial"/>
          <w:sz w:val="20"/>
          <w:szCs w:val="20"/>
          <w:color w:val="auto"/>
        </w:rPr>
        <w:t xml:space="preserve">Sanctions are imposed which would cause the Borrower or its Subsidiaries to violate the foregoing covenant, the imposition of such Sanctions shall not constitute a violation of such covenant or an Event of Default under this </w:t>
      </w:r>
      <w:r>
        <w:rPr>
          <w:rFonts w:ascii="Arial" w:cs="Arial" w:eastAsia="Arial" w:hAnsi="Arial"/>
          <w:sz w:val="20"/>
          <w:szCs w:val="20"/>
          <w:u w:val="single" w:color="auto"/>
          <w:color w:val="auto"/>
        </w:rPr>
        <w:t>Section 7.12 provided that</w:t>
      </w:r>
      <w:r>
        <w:rPr>
          <w:rFonts w:ascii="Arial" w:cs="Arial" w:eastAsia="Arial" w:hAnsi="Arial"/>
          <w:sz w:val="20"/>
          <w:szCs w:val="20"/>
          <w:color w:val="auto"/>
        </w:rPr>
        <w:t xml:space="preserve"> the Borrower and its Subsidiaries (1) provide prompt written notice thereof to the Administrative Agent (copies of which notice the Administrative Agent shall provide promptly to the Lenders), which notice shall include a brief description of the cause for the violation and the Borrower’s proposed plan to correct such violation and (2) are diligently taking all appropriate steps necessary to correct such violation and such violation is corrected within ninety (90) days following the imposition of such Sanctions.</w:t>
      </w:r>
    </w:p>
    <w:p>
      <w:pPr>
        <w:spacing w:after="0" w:line="21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(xxi)</w:t>
      </w:r>
      <w:r>
        <w:rPr>
          <w:sz w:val="20"/>
          <w:szCs w:val="20"/>
          <w:color w:val="auto"/>
        </w:rPr>
        <w:tab/>
      </w: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of the Credit Agreement, the following new sentence shall be added to the end of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229" w:lineRule="exact"/>
        <w:rPr>
          <w:sz w:val="20"/>
          <w:szCs w:val="20"/>
          <w:color w:val="auto"/>
        </w:rPr>
      </w:pPr>
    </w:p>
    <w:p>
      <w:pPr>
        <w:jc w:val="both"/>
        <w:ind w:left="1300" w:right="20"/>
        <w:spacing w:after="0" w:line="250" w:lineRule="auto"/>
        <w:rPr>
          <w:sz w:val="20"/>
          <w:szCs w:val="20"/>
          <w:color w:val="auto"/>
        </w:rPr>
      </w:pPr>
      <w:r>
        <w:rPr>
          <w:rFonts w:ascii="Arial" w:cs="Arial" w:eastAsia="Arial" w:hAnsi="Arial"/>
          <w:sz w:val="20"/>
          <w:szCs w:val="20"/>
          <w:color w:val="auto"/>
        </w:rPr>
        <w:t xml:space="preserve">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w:t>
      </w:r>
      <w:r>
        <w:rPr>
          <w:rFonts w:ascii="Arial" w:cs="Arial" w:eastAsia="Arial" w:hAnsi="Arial"/>
          <w:sz w:val="20"/>
          <w:szCs w:val="20"/>
          <w:u w:val="single" w:color="auto"/>
          <w:color w:val="auto"/>
        </w:rPr>
        <w:t>Section 8.03</w:t>
      </w:r>
      <w:r>
        <w:rPr>
          <w:rFonts w:ascii="Arial" w:cs="Arial" w:eastAsia="Arial" w:hAnsi="Arial"/>
          <w:sz w:val="20"/>
          <w:szCs w:val="20"/>
          <w:color w:val="auto"/>
        </w:rPr>
        <w:t>.</w:t>
      </w:r>
    </w:p>
    <w:p>
      <w:pPr>
        <w:spacing w:after="0" w:line="200" w:lineRule="exact"/>
        <w:rPr>
          <w:sz w:val="20"/>
          <w:szCs w:val="20"/>
          <w:color w:val="auto"/>
        </w:rPr>
      </w:pPr>
    </w:p>
    <w:p>
      <w:pPr>
        <w:ind w:firstLine="1305"/>
        <w:spacing w:after="0" w:line="260" w:lineRule="auto"/>
        <w:tabs>
          <w:tab w:leader="none" w:pos="198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of the Credit Agreement is hereby amended and modified by deleting the existing </w:t>
      </w: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in its entirety and inserting the following new </w:t>
      </w: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in its place and stead:</w:t>
      </w:r>
    </w:p>
    <w:p>
      <w:pPr>
        <w:spacing w:after="0" w:line="184" w:lineRule="exact"/>
        <w:rPr>
          <w:sz w:val="20"/>
          <w:szCs w:val="20"/>
          <w:color w:val="auto"/>
        </w:rPr>
      </w:pPr>
    </w:p>
    <w:p>
      <w:pPr>
        <w:jc w:val="both"/>
        <w:ind w:left="1300"/>
        <w:spacing w:after="0" w:line="272" w:lineRule="auto"/>
        <w:rPr>
          <w:sz w:val="20"/>
          <w:szCs w:val="20"/>
          <w:color w:val="auto"/>
        </w:rPr>
      </w:pPr>
      <w:r>
        <w:rPr>
          <w:rFonts w:ascii="Arial" w:cs="Arial" w:eastAsia="Arial" w:hAnsi="Arial"/>
          <w:sz w:val="18"/>
          <w:szCs w:val="18"/>
          <w:b w:val="1"/>
          <w:bCs w:val="1"/>
          <w:color w:val="auto"/>
        </w:rPr>
        <w:t xml:space="preserve">10.17 Electronic Execution of Assignments and Certain Other Documents. </w:t>
      </w:r>
      <w:r>
        <w:rPr>
          <w:rFonts w:ascii="Arial" w:cs="Arial" w:eastAsia="Arial" w:hAnsi="Arial"/>
          <w:sz w:val="18"/>
          <w:szCs w:val="18"/>
          <w:color w:val="auto"/>
        </w:rPr>
        <w:t>The words “execute,” “execution,”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45" w:name="page46"/>
    <w:bookmarkEnd w:id="45"/>
    <w:p>
      <w:pPr>
        <w:jc w:val="both"/>
        <w:ind w:left="1300"/>
        <w:spacing w:after="0" w:line="246" w:lineRule="auto"/>
        <w:rPr>
          <w:sz w:val="20"/>
          <w:szCs w:val="20"/>
          <w:color w:val="auto"/>
        </w:rPr>
      </w:pPr>
      <w:r>
        <w:rPr>
          <w:rFonts w:ascii="Arial" w:cs="Arial" w:eastAsia="Arial" w:hAnsi="Arial"/>
          <w:sz w:val="20"/>
          <w:szCs w:val="20"/>
          <w:color w:val="auto"/>
        </w:rPr>
        <w:t>the Administrative Agent is under no obligation to agree to accept electronic signatures in any form or in any format unless expressly agreed to by the Administrative Agent pursuant to procedures approved by it and provided further, without limiting the foregoing, upon the request of any party, any electronic signature shall be promptly followed by a manually executed signature.</w:t>
      </w:r>
    </w:p>
    <w:p>
      <w:pPr>
        <w:spacing w:after="0" w:line="20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(xxiii)</w:t>
      </w:r>
      <w:r>
        <w:rPr>
          <w:sz w:val="20"/>
          <w:szCs w:val="20"/>
          <w:color w:val="auto"/>
        </w:rPr>
        <w:tab/>
      </w:r>
      <w:r>
        <w:rPr>
          <w:rFonts w:ascii="Arial" w:cs="Arial" w:eastAsia="Arial" w:hAnsi="Arial"/>
          <w:sz w:val="18"/>
          <w:szCs w:val="18"/>
          <w:color w:val="auto"/>
        </w:rPr>
        <w:t xml:space="preserve">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Credit Agreement, the following new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shall be added:</w:t>
      </w:r>
    </w:p>
    <w:p>
      <w:pPr>
        <w:spacing w:after="0" w:line="223" w:lineRule="exact"/>
        <w:rPr>
          <w:sz w:val="20"/>
          <w:szCs w:val="20"/>
          <w:color w:val="auto"/>
        </w:rPr>
      </w:pPr>
    </w:p>
    <w:p>
      <w:pPr>
        <w:jc w:val="both"/>
        <w:ind w:left="1300"/>
        <w:spacing w:after="0" w:line="271" w:lineRule="auto"/>
        <w:rPr>
          <w:sz w:val="20"/>
          <w:szCs w:val="20"/>
          <w:color w:val="auto"/>
        </w:rPr>
      </w:pPr>
      <w:r>
        <w:rPr>
          <w:rFonts w:ascii="Arial" w:cs="Arial" w:eastAsia="Arial" w:hAnsi="Arial"/>
          <w:sz w:val="18"/>
          <w:szCs w:val="18"/>
          <w:b w:val="1"/>
          <w:bCs w:val="1"/>
          <w:color w:val="auto"/>
        </w:rPr>
        <w:t xml:space="preserve">10.21 Keepwell. </w:t>
      </w:r>
      <w:r>
        <w:rPr>
          <w:rFonts w:ascii="Arial" w:cs="Arial" w:eastAsia="Arial" w:hAnsi="Arial"/>
          <w:sz w:val="18"/>
          <w:szCs w:val="18"/>
          <w:color w:val="auto"/>
        </w:rPr>
        <w:t>Each Loan Party that is a Qualified ECP Guarantor at the time the Guaranty by any Specified Loan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its Guaranty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shall remain in full force and effect until the Obligations have been indefeasibly paid and performed in full. Each Qualified ECP Guarantor intends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to constitute, and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shall be deemed to constitute, a guarantee of the obligations of, and a “keepwell, support, or other agreement” for the benefit of, each Specified Loan Party for all purposes of the Commodity Exchange Act.</w:t>
      </w:r>
    </w:p>
    <w:p>
      <w:pPr>
        <w:spacing w:after="0" w:line="190" w:lineRule="exact"/>
        <w:rPr>
          <w:sz w:val="20"/>
          <w:szCs w:val="20"/>
          <w:color w:val="auto"/>
        </w:rPr>
      </w:pPr>
    </w:p>
    <w:p>
      <w:pPr>
        <w:ind w:firstLine="1305"/>
        <w:spacing w:after="0" w:line="260" w:lineRule="auto"/>
        <w:tabs>
          <w:tab w:leader="none" w:pos="1992"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Exhibits “E-1”, “E-2”, “E-3” and “E-4”</w:t>
      </w:r>
      <w:r>
        <w:rPr>
          <w:rFonts w:ascii="Arial" w:cs="Arial" w:eastAsia="Arial" w:hAnsi="Arial"/>
          <w:sz w:val="20"/>
          <w:szCs w:val="20"/>
          <w:color w:val="auto"/>
        </w:rPr>
        <w:t xml:space="preserve"> attached hereto are hereby added in place of the existing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to the Credit Agreement.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attached hereto is hereby added as a new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to the Credit Agreement.</w:t>
      </w:r>
    </w:p>
    <w:p>
      <w:pPr>
        <w:spacing w:after="0" w:line="184" w:lineRule="exact"/>
        <w:rPr>
          <w:rFonts w:ascii="Arial" w:cs="Arial" w:eastAsia="Arial" w:hAnsi="Arial"/>
          <w:sz w:val="20"/>
          <w:szCs w:val="20"/>
          <w:color w:val="auto"/>
        </w:rPr>
      </w:pPr>
    </w:p>
    <w:p>
      <w:pPr>
        <w:jc w:val="both"/>
        <w:ind w:firstLine="656"/>
        <w:spacing w:after="0" w:line="260" w:lineRule="auto"/>
        <w:tabs>
          <w:tab w:leader="none" w:pos="1143"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Amounts Outstanding</w:t>
      </w:r>
      <w:r>
        <w:rPr>
          <w:rFonts w:ascii="Arial" w:cs="Arial" w:eastAsia="Arial" w:hAnsi="Arial"/>
          <w:sz w:val="19"/>
          <w:szCs w:val="19"/>
          <w:color w:val="auto"/>
        </w:rPr>
        <w:t>. There is, as of October ___, 2014, due and owing on the Credit Facility the principal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$___________________, consisting of (i) Committed Loans in the aggregate principal amount of $__________________, and (ii) issued and outstanding Letters of Credit in the aggregate stated amount of $__________________, in the case of each of the foregoing together with unpaid accrued interest, fees, costs and expenses due and owing to the Lenders under the Credit Agreement, all without offset, defense or counterclaim, all of which are hereby expressly waived by the Borrower and the Guarantors as of the date hereof. As of such date, there were no amounts due and owing to the Lenders in connection with any unreimbursed draws on any Letter of Credit.</w:t>
      </w:r>
    </w:p>
    <w:p>
      <w:pPr>
        <w:spacing w:after="0" w:line="186" w:lineRule="exact"/>
        <w:rPr>
          <w:rFonts w:ascii="Arial" w:cs="Arial" w:eastAsia="Arial" w:hAnsi="Arial"/>
          <w:sz w:val="19"/>
          <w:szCs w:val="19"/>
          <w:color w:val="auto"/>
        </w:rPr>
      </w:pPr>
    </w:p>
    <w:p>
      <w:pPr>
        <w:ind w:left="1020" w:hanging="364"/>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Amendments to all Loan Documents</w:t>
      </w:r>
      <w:r>
        <w:rPr>
          <w:rFonts w:ascii="Arial" w:cs="Arial" w:eastAsia="Arial" w:hAnsi="Arial"/>
          <w:sz w:val="16"/>
          <w:szCs w:val="16"/>
          <w:color w:val="auto"/>
        </w:rPr>
        <w:t>. The Guaranties and each of the other Loan Documents are hereby amended and modified</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as follows:</w:t>
      </w:r>
    </w:p>
    <w:p>
      <w:pPr>
        <w:spacing w:after="0" w:line="213" w:lineRule="exact"/>
        <w:rPr>
          <w:rFonts w:ascii="Arial" w:cs="Arial" w:eastAsia="Arial" w:hAnsi="Arial"/>
          <w:sz w:val="16"/>
          <w:szCs w:val="16"/>
          <w:color w:val="auto"/>
        </w:rPr>
      </w:pPr>
    </w:p>
    <w:p>
      <w:pPr>
        <w:ind w:firstLine="1305"/>
        <w:spacing w:after="0" w:line="260" w:lineRule="auto"/>
        <w:tabs>
          <w:tab w:leader="none" w:pos="1682"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and all references contained therein to the aggregate maximum amount of the Credit Facility shall be deemed to refer to such aggregate maximum principal amount in the increased amount of US$175,000,000.00.</w:t>
      </w:r>
    </w:p>
    <w:p>
      <w:pPr>
        <w:spacing w:after="0" w:line="190" w:lineRule="exact"/>
        <w:rPr>
          <w:rFonts w:ascii="Arial" w:cs="Arial" w:eastAsia="Arial" w:hAnsi="Arial"/>
          <w:sz w:val="20"/>
          <w:szCs w:val="20"/>
          <w:color w:val="auto"/>
        </w:rPr>
      </w:pPr>
    </w:p>
    <w:p>
      <w:pPr>
        <w:jc w:val="both"/>
        <w:ind w:firstLine="1305"/>
        <w:spacing w:after="0" w:line="250" w:lineRule="auto"/>
        <w:tabs>
          <w:tab w:leader="none" w:pos="1833"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and all references contained therein to the Credit Agreement and/or any of the other Loan Documents shall be deemed to refer to the Credit Agreement or such other Loan Document, as amended and modified up through and including this Third Amendment.</w:t>
      </w:r>
    </w:p>
    <w:p>
      <w:pPr>
        <w:spacing w:after="0" w:line="193" w:lineRule="exact"/>
        <w:rPr>
          <w:rFonts w:ascii="Arial" w:cs="Arial" w:eastAsia="Arial" w:hAnsi="Arial"/>
          <w:sz w:val="20"/>
          <w:szCs w:val="20"/>
          <w:color w:val="auto"/>
        </w:rPr>
      </w:pPr>
    </w:p>
    <w:p>
      <w:pPr>
        <w:ind w:firstLine="656"/>
        <w:spacing w:after="0" w:line="267" w:lineRule="auto"/>
        <w:tabs>
          <w:tab w:leader="none" w:pos="1076"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Further Agreements and Representations</w:t>
      </w:r>
      <w:r>
        <w:rPr>
          <w:rFonts w:ascii="Arial" w:cs="Arial" w:eastAsia="Arial" w:hAnsi="Arial"/>
          <w:sz w:val="20"/>
          <w:szCs w:val="20"/>
          <w:color w:val="auto"/>
        </w:rPr>
        <w:t>. The Borrower and the Guarantors do hereby: (i) ratify, confirm and acknowledge</w:t>
      </w:r>
      <w:r>
        <w:rPr>
          <w:rFonts w:ascii="Arial" w:cs="Arial" w:eastAsia="Arial" w:hAnsi="Arial"/>
          <w:sz w:val="20"/>
          <w:szCs w:val="20"/>
          <w:b w:val="1"/>
          <w:bCs w:val="1"/>
          <w:color w:val="auto"/>
        </w:rPr>
        <w:t xml:space="preserve"> </w:t>
      </w:r>
      <w:r>
        <w:rPr>
          <w:rFonts w:ascii="Arial" w:cs="Arial" w:eastAsia="Arial" w:hAnsi="Arial"/>
          <w:sz w:val="20"/>
          <w:szCs w:val="20"/>
          <w:color w:val="auto"/>
        </w:rPr>
        <w:t>that, as amended and modified up through and including this Third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color w:val="auto"/>
        </w:rPr>
        <w:t>Amendment, the Credit Agreement, the Guaranties, and all of the other Loan Documents continue to be valid, binding and in full force and effect; (ii) acknowledge and agree that, as of the date hereof, none of the Borrower or any of the Guarantors has any defense, set-off, counterclaim or challenge against the payment of any sums due and owing to the Administrative Agent or any Lender or the enforcement of any of the terms of the Credit Agreement, the Guaranties and/or any of the other Loan Documents; (iii) acknowledge and agree that all representations and warranties of the Borrower and the Guarantors contained in the Credit Agreement, the Guaranties, and the other Loan Documents are true, accurate and correct as of the date hereof as if made on and as of the date hereof, except to the extent any such representation or warranty is by its terms limited to a certain date or dates in which case it remains true, accurate and correct as of such date or dates, and that, none of the corporate governing documents of the Borrower or the Guarantors have been amended, modified or supplemented since the date of the execution and delivery of the Original Credit Agreement; and (iv) represent and warrant that the Borrower and the Guarantors have taken all necessary action required by law and by their respective corporate governing documents to execute and deliver this Third Amendment and that such execution and delivery constitutes the legal and validly binding action of such entities.</w:t>
      </w:r>
    </w:p>
    <w:p>
      <w:pPr>
        <w:spacing w:after="0" w:line="178" w:lineRule="exact"/>
        <w:rPr>
          <w:sz w:val="20"/>
          <w:szCs w:val="20"/>
          <w:color w:val="auto"/>
        </w:rPr>
      </w:pPr>
    </w:p>
    <w:p>
      <w:pPr>
        <w:ind w:left="1000" w:hanging="344"/>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b w:val="1"/>
          <w:bCs w:val="1"/>
          <w:u w:val="single" w:color="auto"/>
          <w:color w:val="auto"/>
        </w:rPr>
        <w:t>No Novation</w:t>
      </w:r>
      <w:r>
        <w:rPr>
          <w:rFonts w:ascii="Arial" w:cs="Arial" w:eastAsia="Arial" w:hAnsi="Arial"/>
          <w:sz w:val="20"/>
          <w:szCs w:val="20"/>
          <w:color w:val="auto"/>
        </w:rPr>
        <w:t>. It is the intention of the parties hereto that this Third Amendment shall not constitute a novation.</w:t>
      </w:r>
    </w:p>
    <w:p>
      <w:pPr>
        <w:spacing w:after="0" w:line="229" w:lineRule="exact"/>
        <w:rPr>
          <w:rFonts w:ascii="Arial" w:cs="Arial" w:eastAsia="Arial" w:hAnsi="Arial"/>
          <w:sz w:val="20"/>
          <w:szCs w:val="20"/>
          <w:color w:val="auto"/>
        </w:rPr>
      </w:pPr>
    </w:p>
    <w:p>
      <w:pPr>
        <w:jc w:val="both"/>
        <w:ind w:firstLine="656"/>
        <w:spacing w:after="0" w:line="272" w:lineRule="auto"/>
        <w:tabs>
          <w:tab w:leader="none" w:pos="995"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Documents; Further Assurances</w:t>
      </w:r>
      <w:r>
        <w:rPr>
          <w:rFonts w:ascii="Arial" w:cs="Arial" w:eastAsia="Arial" w:hAnsi="Arial"/>
          <w:sz w:val="18"/>
          <w:szCs w:val="18"/>
          <w:color w:val="auto"/>
        </w:rPr>
        <w:t>. The Borrower and the Guarantors hereby covenant and agree to execute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Administrative Agent, on behalf of the Lenders, or to cause to be executed and delivered to the Administrative Agent, on behalf of the Lenders, contemporaneously herewith, at their sole cost and expense, any other documents, agreements, statements, resolutions, certificates, opinions, consents, searches and information as the Administrative Agent or any Lender may reasonably request in connection with the matters or actions described herein. The Borrower and the Guarantors hereby further covenant and agree to execute and deliver to the Administrative Agent, on behalf of the Lenders, or to use reasonable efforts to cause to be executed and delivered to the Administrative Agent, on behalf of the Lenders, at the sole cost and expense of the Borrower and the Guarantors, from time to time, any and all other documents, agreements, statements, certificates and information as the Administrative Agent or any Lender shall reasonably request to evidence or effect the terms of the Credit Agreement, the Guaranties, and/or any of the other Loan Documents. All such documents, agreements, statements, etc., shall be in form and content reasonably acceptable to the Administrative Agent and the Lenders.</w:t>
      </w:r>
    </w:p>
    <w:p>
      <w:pPr>
        <w:spacing w:after="0" w:line="179" w:lineRule="exact"/>
        <w:rPr>
          <w:rFonts w:ascii="Arial" w:cs="Arial" w:eastAsia="Arial" w:hAnsi="Arial"/>
          <w:sz w:val="18"/>
          <w:szCs w:val="18"/>
          <w:color w:val="auto"/>
        </w:rPr>
      </w:pPr>
    </w:p>
    <w:p>
      <w:pPr>
        <w:jc w:val="both"/>
        <w:ind w:firstLine="656"/>
        <w:spacing w:after="0" w:line="270" w:lineRule="auto"/>
        <w:tabs>
          <w:tab w:leader="none" w:pos="1103"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Release and Indemnification by the Borrower and the Guarantors</w:t>
      </w:r>
      <w:r>
        <w:rPr>
          <w:rFonts w:ascii="Arial" w:cs="Arial" w:eastAsia="Arial" w:hAnsi="Arial"/>
          <w:sz w:val="18"/>
          <w:szCs w:val="18"/>
          <w:color w:val="auto"/>
        </w:rPr>
        <w:t>. To induce the Administrative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enter into this Third Amendment, the Borrower and the Guarantors, and any person or entity claiming by or through any or all of them, each waives and releases and forever discharges the Administrative Agent and the Lenders and their respective officers, directors, shareholders, agents, parent corporation, subsidiaries, affiliates, trustees, administrators, attorneys, predecessors, successors and assigns and the heirs, executors, administrators, successors and assigns of any such person or entity, as releasees (hereinafter collectively referred to as the “</w:t>
      </w:r>
      <w:r>
        <w:rPr>
          <w:rFonts w:ascii="Arial" w:cs="Arial" w:eastAsia="Arial" w:hAnsi="Arial"/>
          <w:sz w:val="18"/>
          <w:szCs w:val="18"/>
          <w:u w:val="single" w:color="auto"/>
          <w:color w:val="auto"/>
        </w:rPr>
        <w:t>Releasees</w:t>
      </w:r>
      <w:r>
        <w:rPr>
          <w:rFonts w:ascii="Arial" w:cs="Arial" w:eastAsia="Arial" w:hAnsi="Arial"/>
          <w:sz w:val="18"/>
          <w:szCs w:val="18"/>
          <w:color w:val="auto"/>
        </w:rPr>
        <w:t>”) from any liability, damage (whether direct or indirect, consequential, special, exemplary, or punitive), claim (including, without limitation, any claim for contribution or indemnity), loss or expense of any kind, in each case whether now known or unknown, past or present, asserted or unasserted, contingent or liquidated, at law or in equity, that it may have against any Releasee arising from the beginning of time to the date hereof arising out of or relating to the Credit Facility, other than those arising from the Releasees own gross negligence or willful misconduct. The Borrower and the Guarantors each further agrees to indemnify and hold the Releasees harmless from any loss, damage, judgment, liability or expense (including attorneys’ fees) suffered by or rendered against the Administrative Agent or any Lender on account of any claims of third parties arising out of or relating to the Credit Facility. The Borrower and the Guarantors each further states that it has carefully read the foregoing release and indemnity, knows the contents thereof and grants the same as its own free act and deed.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47" w:name="page48"/>
    <w:bookmarkEnd w:id="47"/>
    <w:p>
      <w:pPr>
        <w:jc w:val="both"/>
        <w:ind w:firstLine="656"/>
        <w:spacing w:after="0" w:line="257" w:lineRule="auto"/>
        <w:tabs>
          <w:tab w:leader="none" w:pos="1008"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Status of Parties</w:t>
      </w:r>
      <w:r>
        <w:rPr>
          <w:rFonts w:ascii="Arial" w:cs="Arial" w:eastAsia="Arial" w:hAnsi="Arial"/>
          <w:sz w:val="19"/>
          <w:szCs w:val="19"/>
          <w:color w:val="auto"/>
        </w:rPr>
        <w:t>. The relationship between the Administrative Agent and the Lenders, on the one hand, and the Borrower, on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hand, is solely that of administrative agent and lenders, on the one hand, and borrower, on the other hand. Neither the Administrative Agent nor the Lenders have any fiduciary or other special relationship with or duty to the Borrower and none is created by the Loan Documents. Nothing contained in the Loan Documents, and no action taken or omitted pursuant to the Loan Documents, is intended or shall be construed to create any partnership, joint venture, association, or special relationship between the Borrower, on the one hand, and the Administrative Agent and the Lenders, on the other hand, or in any way make the Administrative Agent or any Lender a co-principal with the Borrower. In no event shall the Administrative Agent’s or any Lender’s rights and interests under the Loan Documents be construed to give the Administrative Agent or any Lender the right to control, or be deemed to indicate that the Administrative Agent or any Lender is in control of, the business, properties, management or operations of the Borrower.</w:t>
      </w:r>
    </w:p>
    <w:p>
      <w:pPr>
        <w:spacing w:after="0" w:line="190" w:lineRule="exact"/>
        <w:rPr>
          <w:rFonts w:ascii="Arial" w:cs="Arial" w:eastAsia="Arial" w:hAnsi="Arial"/>
          <w:sz w:val="19"/>
          <w:szCs w:val="19"/>
          <w:color w:val="auto"/>
        </w:rPr>
      </w:pPr>
    </w:p>
    <w:p>
      <w:pPr>
        <w:jc w:val="both"/>
        <w:ind w:firstLine="656"/>
        <w:spacing w:after="0" w:line="253" w:lineRule="auto"/>
        <w:tabs>
          <w:tab w:leader="none" w:pos="1022" w:val="left"/>
        </w:tabs>
        <w:numPr>
          <w:ilvl w:val="1"/>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Fees, Costs, Expenses and Expenditures</w:t>
      </w:r>
      <w:r>
        <w:rPr>
          <w:rFonts w:ascii="Arial" w:cs="Arial" w:eastAsia="Arial" w:hAnsi="Arial"/>
          <w:sz w:val="20"/>
          <w:szCs w:val="20"/>
          <w:color w:val="auto"/>
        </w:rPr>
        <w:t>. The Borrower shall pay all of the Administrative Agent’s and the Lenders’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costs and expenses in connection with this Third Amendment, including, without limitation, the reasonable fees and disbursements of the Administrative Agent’s and the Lenders’ legal counsel.</w:t>
      </w:r>
    </w:p>
    <w:p>
      <w:pPr>
        <w:spacing w:after="0" w:line="191" w:lineRule="exact"/>
        <w:rPr>
          <w:rFonts w:ascii="Arial" w:cs="Arial" w:eastAsia="Arial" w:hAnsi="Arial"/>
          <w:sz w:val="20"/>
          <w:szCs w:val="20"/>
          <w:color w:val="auto"/>
        </w:rPr>
      </w:pPr>
    </w:p>
    <w:p>
      <w:pPr>
        <w:jc w:val="both"/>
        <w:ind w:firstLine="656"/>
        <w:spacing w:after="0" w:line="266" w:lineRule="auto"/>
        <w:tabs>
          <w:tab w:leader="none" w:pos="1121"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Nothing contained in this Third Amendment constitutes an agreement or obligation by the Administrative Agent or</w:t>
      </w:r>
      <w:r>
        <w:rPr>
          <w:rFonts w:ascii="Arial" w:cs="Arial" w:eastAsia="Arial" w:hAnsi="Arial"/>
          <w:sz w:val="19"/>
          <w:szCs w:val="19"/>
          <w:b w:val="1"/>
          <w:bCs w:val="1"/>
          <w:color w:val="auto"/>
        </w:rPr>
        <w:t xml:space="preserve"> </w:t>
      </w:r>
      <w:r>
        <w:rPr>
          <w:rFonts w:ascii="Arial" w:cs="Arial" w:eastAsia="Arial" w:hAnsi="Arial"/>
          <w:sz w:val="19"/>
          <w:szCs w:val="19"/>
          <w:color w:val="auto"/>
        </w:rPr>
        <w:t>the Lenders to grant any further amendments to any of the Loan Documents, as amended and modified hereby, and nothing contained herein constitutes a waiver or release by the Administrative Agent or any Lender of any rights or remedies available to the Administrative Agent or any Lender under the Loan Documents, as amended and modified hereby, at law or in equity.</w:t>
      </w:r>
    </w:p>
    <w:p>
      <w:pPr>
        <w:spacing w:after="0" w:line="179" w:lineRule="exact"/>
        <w:rPr>
          <w:rFonts w:ascii="Arial" w:cs="Arial" w:eastAsia="Arial" w:hAnsi="Arial"/>
          <w:sz w:val="19"/>
          <w:szCs w:val="19"/>
          <w:color w:val="auto"/>
        </w:rPr>
      </w:pPr>
    </w:p>
    <w:p>
      <w:pPr>
        <w:jc w:val="both"/>
        <w:ind w:firstLine="656"/>
        <w:spacing w:after="0" w:line="246" w:lineRule="auto"/>
        <w:tabs>
          <w:tab w:leader="none" w:pos="1113" w:val="left"/>
        </w:tabs>
        <w:numPr>
          <w:ilvl w:val="1"/>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Inconsistencies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of any inconsistency between the terms, conditions, and provisions of this Third Amendment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conditions, and provisions of the Credit Agreement, the Guaranties, and all other Loan Documents, the terms, conditions, and provisions of this Third Amendment shall govern and control. All terms, conditions, and provisions of the Credit Agreement, the Guaranties, and all other Loan Documents not inconsistent herewith shall remain in full force and effect and are hereby ratified and confirmed by each party hereto.</w:t>
      </w:r>
    </w:p>
    <w:p>
      <w:pPr>
        <w:spacing w:after="0" w:line="198" w:lineRule="exact"/>
        <w:rPr>
          <w:rFonts w:ascii="Arial" w:cs="Arial" w:eastAsia="Arial" w:hAnsi="Arial"/>
          <w:sz w:val="20"/>
          <w:szCs w:val="20"/>
          <w:color w:val="auto"/>
        </w:rPr>
      </w:pPr>
    </w:p>
    <w:p>
      <w:pPr>
        <w:jc w:val="both"/>
        <w:ind w:firstLine="656"/>
        <w:spacing w:after="0" w:line="253" w:lineRule="auto"/>
        <w:tabs>
          <w:tab w:leader="none" w:pos="1094" w:val="left"/>
        </w:tabs>
        <w:numPr>
          <w:ilvl w:val="1"/>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 Governing Law</w:t>
      </w:r>
      <w:r>
        <w:rPr>
          <w:rFonts w:ascii="Arial" w:cs="Arial" w:eastAsia="Arial" w:hAnsi="Arial"/>
          <w:sz w:val="20"/>
          <w:szCs w:val="20"/>
          <w:color w:val="auto"/>
        </w:rPr>
        <w:t>. This Third Amendment shall be binding upon and inure to the benefit of the parties hereto and</w:t>
      </w:r>
      <w:r>
        <w:rPr>
          <w:rFonts w:ascii="Arial" w:cs="Arial" w:eastAsia="Arial" w:hAnsi="Arial"/>
          <w:sz w:val="20"/>
          <w:szCs w:val="20"/>
          <w:b w:val="1"/>
          <w:bCs w:val="1"/>
          <w:color w:val="auto"/>
        </w:rPr>
        <w:t xml:space="preserve"> </w:t>
      </w:r>
      <w:r>
        <w:rPr>
          <w:rFonts w:ascii="Arial" w:cs="Arial" w:eastAsia="Arial" w:hAnsi="Arial"/>
          <w:sz w:val="20"/>
          <w:szCs w:val="20"/>
          <w:color w:val="auto"/>
        </w:rPr>
        <w:t>their respective successors and/or assigns. This Third Amendment shall be governed by and construed in accordance with the laws of the State of New York.</w:t>
      </w:r>
    </w:p>
    <w:p>
      <w:pPr>
        <w:spacing w:after="0" w:line="191" w:lineRule="exact"/>
        <w:rPr>
          <w:rFonts w:ascii="Arial" w:cs="Arial" w:eastAsia="Arial" w:hAnsi="Arial"/>
          <w:sz w:val="20"/>
          <w:szCs w:val="20"/>
          <w:color w:val="auto"/>
        </w:rPr>
      </w:pPr>
    </w:p>
    <w:p>
      <w:pPr>
        <w:jc w:val="both"/>
        <w:ind w:firstLine="656"/>
        <w:spacing w:after="0" w:line="258" w:lineRule="auto"/>
        <w:tabs>
          <w:tab w:leader="none" w:pos="1134"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EACH PARTY HERETO HEREBY IRREVOCABLY WAIVES,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ANY RIGHT IT MAY HAVE TO A TRIAL BY JURY IN ANY LEGAL PROCEEDING DIRECTLY OR INDIRECTLY ARISING OUT OF OR RELATING TO THIS THIRD AMENDMENT OR THE TRANSACTIONS CONTEMPLATED HEREBY OR THEREBY (WHETHER BASED ON CONTRACT, TORT OR ANY OTHER THEORY). EACH PARTY HERETO</w:t>
      </w:r>
    </w:p>
    <w:p>
      <w:pPr>
        <w:jc w:val="both"/>
        <w:ind w:firstLine="8"/>
        <w:spacing w:after="0"/>
        <w:tabs>
          <w:tab w:leader="none" w:pos="409"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THIRD AMENDMENT AND THE OTHER LOAN DOCUMENTS BY, AMONG OTHER THINGS, THE MUTUAL WAIVERS AND CERTIFICATIONS IN THIS </w:t>
      </w:r>
      <w:r>
        <w:rPr>
          <w:rFonts w:ascii="Arial" w:cs="Arial" w:eastAsia="Arial" w:hAnsi="Arial"/>
          <w:sz w:val="20"/>
          <w:szCs w:val="20"/>
          <w:u w:val="single" w:color="auto"/>
          <w:color w:val="auto"/>
        </w:rPr>
        <w:t>PARAGRAPH 13</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firstLine="656"/>
        <w:spacing w:after="0" w:line="267" w:lineRule="auto"/>
        <w:tabs>
          <w:tab w:leader="none" w:pos="1107" w:val="left"/>
        </w:tabs>
        <w:numPr>
          <w:ilvl w:val="1"/>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headings of the Articles, Sections, paragraphs and clauses of this Third Amendment are inserted for convenience</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shall not be deemed to constitute a part of this Third Amendment.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48" w:name="page49"/>
    <w:bookmarkEnd w:id="48"/>
    <w:p>
      <w:pPr>
        <w:jc w:val="both"/>
        <w:ind w:firstLine="656"/>
        <w:spacing w:after="0" w:line="248" w:lineRule="auto"/>
        <w:tabs>
          <w:tab w:leader="none" w:pos="1121"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Third Amendment may be executed in any number of counterparts, all of which, when taken together,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one and the same instrument. This Third Amendment may be delivered by the exchange of signed signature pages by facsimile transmission or by e-mail, and any printed or copied version of any signature page so delivered will have the same force and effect as an original signed signature page.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49" w:name="page50"/>
    <w:bookmarkEnd w:id="49"/>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Borrower, the Guarantors, the Lenders, and the administrative Agent have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this Third Amendment, all as of the day and year first written above.</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229" w:lineRule="exact"/>
        <w:rPr>
          <w:sz w:val="20"/>
          <w:szCs w:val="20"/>
          <w:color w:val="auto"/>
        </w:rPr>
      </w:pPr>
    </w:p>
    <w:p>
      <w:pPr>
        <w:ind w:left="7140"/>
        <w:spacing w:after="0"/>
        <w:rPr>
          <w:sz w:val="20"/>
          <w:szCs w:val="20"/>
          <w:color w:val="auto"/>
        </w:rPr>
      </w:pPr>
      <w:r>
        <w:rPr>
          <w:rFonts w:ascii="Arial" w:cs="Arial" w:eastAsia="Arial" w:hAnsi="Arial"/>
          <w:sz w:val="19"/>
          <w:szCs w:val="19"/>
          <w:b w:val="1"/>
          <w:bCs w:val="1"/>
          <w:color w:val="auto"/>
        </w:rPr>
        <w:t>MISTRAS GROUP, INC.</w:t>
      </w:r>
      <w:r>
        <w:rPr>
          <w:rFonts w:ascii="Arial" w:cs="Arial" w:eastAsia="Arial" w:hAnsi="Arial"/>
          <w:sz w:val="19"/>
          <w:szCs w:val="19"/>
          <w:color w:val="auto"/>
        </w:rPr>
        <w:t>, a Delaware corporation</w:t>
      </w:r>
    </w:p>
    <w:p>
      <w:pPr>
        <w:spacing w:after="0" w:line="200" w:lineRule="exact"/>
        <w:rPr>
          <w:sz w:val="20"/>
          <w:szCs w:val="20"/>
          <w:color w:val="auto"/>
        </w:rPr>
      </w:pPr>
    </w:p>
    <w:p>
      <w:pPr>
        <w:spacing w:after="0" w:line="276"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By:_______________________________</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Jonathan Wolk</w:t>
      </w:r>
    </w:p>
    <w:p>
      <w:pPr>
        <w:ind w:left="7780"/>
        <w:spacing w:after="0"/>
        <w:rPr>
          <w:sz w:val="20"/>
          <w:szCs w:val="20"/>
          <w:color w:val="auto"/>
        </w:rPr>
      </w:pPr>
      <w:r>
        <w:rPr>
          <w:rFonts w:ascii="Arial" w:cs="Arial" w:eastAsia="Arial" w:hAnsi="Arial"/>
          <w:sz w:val="20"/>
          <w:szCs w:val="20"/>
          <w:color w:val="auto"/>
        </w:rPr>
        <w:t>Executive Vice President,</w:t>
      </w:r>
    </w:p>
    <w:p>
      <w:pPr>
        <w:ind w:left="7780"/>
        <w:spacing w:after="0"/>
        <w:rPr>
          <w:sz w:val="20"/>
          <w:szCs w:val="20"/>
          <w:color w:val="auto"/>
        </w:rPr>
      </w:pPr>
      <w:r>
        <w:rPr>
          <w:rFonts w:ascii="Arial" w:cs="Arial" w:eastAsia="Arial" w:hAnsi="Arial"/>
          <w:sz w:val="20"/>
          <w:szCs w:val="20"/>
          <w:color w:val="auto"/>
        </w:rPr>
        <w:t>Chief Financial Officer and Treasurer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color w:val="auto"/>
        </w:rPr>
        <w:t>:</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VIRTUAL MEDIA INTEGRATION, LTD.</w:t>
      </w:r>
      <w:r>
        <w:rPr>
          <w:rFonts w:ascii="Arial" w:cs="Arial" w:eastAsia="Arial" w:hAnsi="Arial"/>
          <w:sz w:val="20"/>
          <w:szCs w:val="20"/>
          <w:color w:val="auto"/>
        </w:rPr>
        <w:t>, a Delaware corporation</w:t>
      </w:r>
    </w:p>
    <w:p>
      <w:pPr>
        <w:spacing w:after="0" w:line="200" w:lineRule="exact"/>
        <w:rPr>
          <w:sz w:val="20"/>
          <w:szCs w:val="20"/>
          <w:color w:val="auto"/>
        </w:rPr>
      </w:pPr>
    </w:p>
    <w:p>
      <w:pPr>
        <w:spacing w:after="0" w:line="26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Jonathan Wolk</w:t>
      </w:r>
    </w:p>
    <w:p>
      <w:pPr>
        <w:ind w:left="4880"/>
        <w:spacing w:after="0"/>
        <w:rPr>
          <w:sz w:val="20"/>
          <w:szCs w:val="20"/>
          <w:color w:val="auto"/>
        </w:rPr>
      </w:pPr>
      <w:r>
        <w:rPr>
          <w:rFonts w:ascii="Arial" w:cs="Arial" w:eastAsia="Arial" w:hAnsi="Arial"/>
          <w:sz w:val="20"/>
          <w:szCs w:val="20"/>
          <w:color w:val="auto"/>
        </w:rPr>
        <w:t>Vice President and Treasurer</w:t>
      </w:r>
    </w:p>
    <w:p>
      <w:pPr>
        <w:spacing w:after="0" w:line="200" w:lineRule="exact"/>
        <w:rPr>
          <w:sz w:val="20"/>
          <w:szCs w:val="20"/>
          <w:color w:val="auto"/>
        </w:rPr>
      </w:pPr>
    </w:p>
    <w:p>
      <w:pPr>
        <w:spacing w:after="0" w:line="237"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QUALITY SERVICES LABORATORIES, INC.</w:t>
      </w:r>
      <w:r>
        <w:rPr>
          <w:rFonts w:ascii="Arial" w:cs="Arial" w:eastAsia="Arial" w:hAnsi="Arial"/>
          <w:sz w:val="20"/>
          <w:szCs w:val="20"/>
          <w:color w:val="auto"/>
        </w:rPr>
        <w:t>, a Delaware corporation</w:t>
      </w:r>
    </w:p>
    <w:p>
      <w:pPr>
        <w:spacing w:after="0" w:line="200" w:lineRule="exact"/>
        <w:rPr>
          <w:sz w:val="20"/>
          <w:szCs w:val="20"/>
          <w:color w:val="auto"/>
        </w:rPr>
      </w:pPr>
    </w:p>
    <w:p>
      <w:pPr>
        <w:spacing w:after="0" w:line="26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Jonathan Wolk</w:t>
      </w:r>
    </w:p>
    <w:p>
      <w:pPr>
        <w:ind w:left="4880"/>
        <w:spacing w:after="0"/>
        <w:rPr>
          <w:sz w:val="20"/>
          <w:szCs w:val="20"/>
          <w:color w:val="auto"/>
        </w:rPr>
      </w:pPr>
      <w:r>
        <w:rPr>
          <w:rFonts w:ascii="Arial" w:cs="Arial" w:eastAsia="Arial" w:hAnsi="Arial"/>
          <w:sz w:val="20"/>
          <w:szCs w:val="20"/>
          <w:color w:val="auto"/>
        </w:rPr>
        <w:t>Vice President and Treasurer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CONTINUED ON NEXT PAGE]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50" w:name="page51"/>
    <w:bookmarkEnd w:id="50"/>
    <w:p>
      <w:pPr>
        <w:ind w:left="4000"/>
        <w:spacing w:after="0"/>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p>
    <w:p>
      <w:pPr>
        <w:spacing w:after="0" w:line="337"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Lender and L/C Issuer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0"/>
          <w:szCs w:val="20"/>
          <w:color w:val="auto"/>
        </w:rPr>
        <w:t>David J. Bardwil</w:t>
      </w:r>
    </w:p>
    <w:p>
      <w:pPr>
        <w:ind w:left="698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[SIGNATURES CONTINUED ON NEXT PAGE]</w:t>
      </w: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-20-</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589" w:right="239" w:bottom="1440" w:gutter="0" w:footer="0" w:header="0"/>
        </w:sectPr>
      </w:pPr>
    </w:p>
    <w:bookmarkStart w:id="51" w:name="page52"/>
    <w:bookmarkEnd w:id="51"/>
    <w:p>
      <w:pPr>
        <w:ind w:left="2700"/>
        <w:spacing w:after="0"/>
        <w:rPr>
          <w:sz w:val="20"/>
          <w:szCs w:val="20"/>
          <w:color w:val="auto"/>
        </w:rPr>
      </w:pPr>
      <w:r>
        <w:rPr>
          <w:rFonts w:ascii="Arial" w:cs="Arial" w:eastAsia="Arial" w:hAnsi="Arial"/>
          <w:sz w:val="20"/>
          <w:szCs w:val="20"/>
          <w:b w:val="1"/>
          <w:bCs w:val="1"/>
          <w:color w:val="auto"/>
        </w:rPr>
        <w:t xml:space="preserve">JPMORGAN CHASE BANK, N.A., </w:t>
      </w:r>
      <w:r>
        <w:rPr>
          <w:rFonts w:ascii="Arial" w:cs="Arial" w:eastAsia="Arial" w:hAnsi="Arial"/>
          <w:sz w:val="20"/>
          <w:szCs w:val="20"/>
          <w:color w:val="auto"/>
        </w:rPr>
        <w:t>as a Lender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2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125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[SIGNATURES CONTINUED ON NEXT PAGE]</w:t>
      </w: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-21-</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468" w:right="239" w:bottom="1440" w:gutter="0" w:footer="0" w:header="0"/>
        </w:sectPr>
      </w:pPr>
    </w:p>
    <w:bookmarkStart w:id="52" w:name="page53"/>
    <w:bookmarkEnd w:id="52"/>
    <w:p>
      <w:pPr>
        <w:jc w:val="center"/>
        <w:ind w:right="240"/>
        <w:spacing w:after="0"/>
        <w:rPr>
          <w:sz w:val="20"/>
          <w:szCs w:val="20"/>
          <w:color w:val="auto"/>
        </w:rPr>
      </w:pPr>
      <w:r>
        <w:rPr>
          <w:rFonts w:ascii="Arial" w:cs="Arial" w:eastAsia="Arial" w:hAnsi="Arial"/>
          <w:sz w:val="20"/>
          <w:szCs w:val="20"/>
          <w:b w:val="1"/>
          <w:bCs w:val="1"/>
          <w:color w:val="auto"/>
        </w:rPr>
        <w:t xml:space="preserve">KEYBANK, NATIONAL ASSOCIATION, </w:t>
      </w:r>
      <w:r>
        <w:rPr>
          <w:rFonts w:ascii="Arial" w:cs="Arial" w:eastAsia="Arial" w:hAnsi="Arial"/>
          <w:sz w:val="20"/>
          <w:szCs w:val="20"/>
          <w:color w:val="auto"/>
        </w:rPr>
        <w:t>as a Lender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[SIGNATURES CONTINUED ON NEXT PAGE]</w:t>
      </w: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-22-</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468" w:right="239" w:bottom="1440" w:gutter="0" w:footer="0" w:header="0"/>
        </w:sectPr>
      </w:pPr>
    </w:p>
    <w:bookmarkStart w:id="53" w:name="page54"/>
    <w:bookmarkEnd w:id="53"/>
    <w:p>
      <w:pPr>
        <w:ind w:left="2700"/>
        <w:spacing w:after="0"/>
        <w:rPr>
          <w:sz w:val="20"/>
          <w:szCs w:val="20"/>
          <w:color w:val="auto"/>
        </w:rPr>
      </w:pPr>
      <w:r>
        <w:rPr>
          <w:rFonts w:ascii="Arial" w:cs="Arial" w:eastAsia="Arial" w:hAnsi="Arial"/>
          <w:sz w:val="20"/>
          <w:szCs w:val="20"/>
          <w:b w:val="1"/>
          <w:bCs w:val="1"/>
          <w:color w:val="auto"/>
        </w:rPr>
        <w:t xml:space="preserve">TD BANK, N.A., </w:t>
      </w:r>
      <w:r>
        <w:rPr>
          <w:rFonts w:ascii="Arial" w:cs="Arial" w:eastAsia="Arial" w:hAnsi="Arial"/>
          <w:sz w:val="20"/>
          <w:szCs w:val="20"/>
          <w:color w:val="auto"/>
        </w:rPr>
        <w:t>as a Lender</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5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25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125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[SIGNATURES CONTINUED ON NEXT PAGE]</w:t>
      </w: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-23-</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468" w:right="239" w:bottom="1440" w:gutter="0" w:footer="0" w:header="0"/>
        </w:sectPr>
      </w:pPr>
    </w:p>
    <w:bookmarkStart w:id="54" w:name="page55"/>
    <w:bookmarkEnd w:id="54"/>
    <w:p>
      <w:pPr>
        <w:ind w:left="270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By:___________________________</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w:t>
      </w:r>
    </w:p>
    <w:p>
      <w:pPr>
        <w:ind w:left="3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[END OF SIGNATURES]</w:t>
      </w: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-24-</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83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0220"/>
          </w:cols>
          <w:pgMar w:left="1440" w:top="46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u w:val="single" w:color="auto"/>
          <w:color w:val="auto"/>
        </w:rPr>
        <w:t>SCHEDULE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COMMITMENTS AND APPLICABLE PERCENTAGES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40" w:type="dxa"/>
            <w:vAlign w:val="bottom"/>
          </w:tcPr>
          <w:p>
            <w:pPr>
              <w:ind w:left="1000"/>
              <w:spacing w:after="0"/>
              <w:rPr>
                <w:sz w:val="20"/>
                <w:szCs w:val="20"/>
                <w:color w:val="auto"/>
              </w:rPr>
            </w:pPr>
            <w:r>
              <w:rPr>
                <w:rFonts w:ascii="Arial" w:cs="Arial" w:eastAsia="Arial" w:hAnsi="Arial"/>
                <w:sz w:val="22"/>
                <w:szCs w:val="22"/>
                <w:b w:val="1"/>
                <w:bCs w:val="1"/>
                <w:color w:val="auto"/>
              </w:rPr>
              <w:t>Lender</w:t>
            </w:r>
          </w:p>
        </w:tc>
        <w:tc>
          <w:tcPr>
            <w:tcW w:w="3540" w:type="dxa"/>
            <w:vAlign w:val="bottom"/>
            <w:gridSpan w:val="2"/>
          </w:tcPr>
          <w:p>
            <w:pPr>
              <w:ind w:left="1140"/>
              <w:spacing w:after="0"/>
              <w:rPr>
                <w:sz w:val="20"/>
                <w:szCs w:val="20"/>
                <w:color w:val="auto"/>
              </w:rPr>
            </w:pPr>
            <w:r>
              <w:rPr>
                <w:rFonts w:ascii="Arial" w:cs="Arial" w:eastAsia="Arial" w:hAnsi="Arial"/>
                <w:sz w:val="22"/>
                <w:szCs w:val="22"/>
                <w:b w:val="1"/>
                <w:bCs w:val="1"/>
                <w:color w:val="auto"/>
              </w:rPr>
              <w:t>Commitment</w:t>
            </w:r>
          </w:p>
        </w:tc>
        <w:tc>
          <w:tcPr>
            <w:tcW w:w="2700" w:type="dxa"/>
            <w:vAlign w:val="bottom"/>
            <w:gridSpan w:val="2"/>
          </w:tcPr>
          <w:p>
            <w:pPr>
              <w:ind w:left="300"/>
              <w:spacing w:after="0"/>
              <w:rPr>
                <w:sz w:val="20"/>
                <w:szCs w:val="20"/>
                <w:color w:val="auto"/>
              </w:rPr>
            </w:pPr>
            <w:r>
              <w:rPr>
                <w:rFonts w:ascii="Arial" w:cs="Arial" w:eastAsia="Arial" w:hAnsi="Arial"/>
                <w:sz w:val="22"/>
                <w:szCs w:val="22"/>
                <w:b w:val="1"/>
                <w:bCs w:val="1"/>
                <w:color w:val="auto"/>
              </w:rPr>
              <w:t>Applicable Percentage</w:t>
            </w:r>
          </w:p>
        </w:tc>
      </w:tr>
      <w:tr>
        <w:trPr>
          <w:trHeight w:val="98"/>
        </w:trPr>
        <w:tc>
          <w:tcPr>
            <w:tcW w:w="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254"/>
        </w:trPr>
        <w:tc>
          <w:tcPr>
            <w:tcW w:w="40" w:type="dxa"/>
            <w:vAlign w:val="bottom"/>
          </w:tcPr>
          <w:p>
            <w:pPr>
              <w:spacing w:after="0"/>
              <w:rPr>
                <w:sz w:val="22"/>
                <w:szCs w:val="22"/>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Bank of America, N.A.</w:t>
            </w:r>
          </w:p>
        </w:tc>
        <w:tc>
          <w:tcPr>
            <w:tcW w:w="3540" w:type="dxa"/>
            <w:vAlign w:val="bottom"/>
            <w:gridSpan w:val="2"/>
          </w:tcPr>
          <w:p>
            <w:pPr>
              <w:spacing w:after="0"/>
              <w:rPr>
                <w:sz w:val="20"/>
                <w:szCs w:val="20"/>
                <w:color w:val="auto"/>
              </w:rPr>
            </w:pPr>
            <w:r>
              <w:rPr>
                <w:rFonts w:ascii="Arial" w:cs="Arial" w:eastAsia="Arial" w:hAnsi="Arial"/>
                <w:sz w:val="20"/>
                <w:szCs w:val="20"/>
                <w:color w:val="auto"/>
              </w:rPr>
              <w:t>$60,000,000.00</w:t>
            </w:r>
          </w:p>
        </w:tc>
        <w:tc>
          <w:tcPr>
            <w:tcW w:w="2700" w:type="dxa"/>
            <w:vAlign w:val="bottom"/>
            <w:gridSpan w:val="2"/>
          </w:tcPr>
          <w:p>
            <w:pPr>
              <w:spacing w:after="0"/>
              <w:rPr>
                <w:sz w:val="20"/>
                <w:szCs w:val="20"/>
                <w:color w:val="auto"/>
              </w:rPr>
            </w:pPr>
            <w:r>
              <w:rPr>
                <w:rFonts w:ascii="Arial" w:cs="Arial" w:eastAsia="Arial" w:hAnsi="Arial"/>
                <w:sz w:val="20"/>
                <w:szCs w:val="20"/>
                <w:color w:val="auto"/>
              </w:rPr>
              <w:t>34.285714290%</w:t>
            </w:r>
          </w:p>
        </w:tc>
      </w:tr>
      <w:tr>
        <w:trPr>
          <w:trHeight w:val="284"/>
        </w:trPr>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JPMorgan Chase Bank, N.A.</w:t>
            </w:r>
          </w:p>
        </w:tc>
        <w:tc>
          <w:tcPr>
            <w:tcW w:w="3540" w:type="dxa"/>
            <w:vAlign w:val="bottom"/>
            <w:gridSpan w:val="2"/>
          </w:tcPr>
          <w:p>
            <w:pPr>
              <w:spacing w:after="0"/>
              <w:rPr>
                <w:sz w:val="20"/>
                <w:szCs w:val="20"/>
                <w:color w:val="auto"/>
              </w:rPr>
            </w:pPr>
            <w:r>
              <w:rPr>
                <w:rFonts w:ascii="Arial" w:cs="Arial" w:eastAsia="Arial" w:hAnsi="Arial"/>
                <w:sz w:val="20"/>
                <w:szCs w:val="20"/>
                <w:color w:val="auto"/>
              </w:rPr>
              <w:t>$60,000,000.00</w:t>
            </w:r>
          </w:p>
        </w:tc>
        <w:tc>
          <w:tcPr>
            <w:tcW w:w="2700" w:type="dxa"/>
            <w:vAlign w:val="bottom"/>
            <w:gridSpan w:val="2"/>
          </w:tcPr>
          <w:p>
            <w:pPr>
              <w:spacing w:after="0"/>
              <w:rPr>
                <w:sz w:val="20"/>
                <w:szCs w:val="20"/>
                <w:color w:val="auto"/>
              </w:rPr>
            </w:pPr>
            <w:r>
              <w:rPr>
                <w:rFonts w:ascii="Arial" w:cs="Arial" w:eastAsia="Arial" w:hAnsi="Arial"/>
                <w:sz w:val="20"/>
                <w:szCs w:val="20"/>
                <w:color w:val="auto"/>
              </w:rPr>
              <w:t>34.285714290%</w:t>
            </w:r>
          </w:p>
        </w:tc>
      </w:tr>
      <w:tr>
        <w:trPr>
          <w:trHeight w:val="284"/>
        </w:trPr>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KeyBank, National Association</w:t>
            </w:r>
          </w:p>
        </w:tc>
        <w:tc>
          <w:tcPr>
            <w:tcW w:w="3540" w:type="dxa"/>
            <w:vAlign w:val="bottom"/>
            <w:gridSpan w:val="2"/>
          </w:tcPr>
          <w:p>
            <w:pPr>
              <w:spacing w:after="0"/>
              <w:rPr>
                <w:sz w:val="20"/>
                <w:szCs w:val="20"/>
                <w:color w:val="auto"/>
              </w:rPr>
            </w:pPr>
            <w:r>
              <w:rPr>
                <w:rFonts w:ascii="Arial" w:cs="Arial" w:eastAsia="Arial" w:hAnsi="Arial"/>
                <w:sz w:val="20"/>
                <w:szCs w:val="20"/>
                <w:color w:val="auto"/>
              </w:rPr>
              <w:t>$35,000,000.00</w:t>
            </w:r>
          </w:p>
        </w:tc>
        <w:tc>
          <w:tcPr>
            <w:tcW w:w="2700" w:type="dxa"/>
            <w:vAlign w:val="bottom"/>
            <w:gridSpan w:val="2"/>
          </w:tcPr>
          <w:p>
            <w:pPr>
              <w:spacing w:after="0"/>
              <w:rPr>
                <w:sz w:val="20"/>
                <w:szCs w:val="20"/>
                <w:color w:val="auto"/>
              </w:rPr>
            </w:pPr>
            <w:r>
              <w:rPr>
                <w:rFonts w:ascii="Arial" w:cs="Arial" w:eastAsia="Arial" w:hAnsi="Arial"/>
                <w:sz w:val="20"/>
                <w:szCs w:val="20"/>
                <w:color w:val="auto"/>
              </w:rPr>
              <w:t>20.000000000%</w:t>
            </w:r>
          </w:p>
        </w:tc>
      </w:tr>
      <w:tr>
        <w:trPr>
          <w:trHeight w:val="239"/>
        </w:trPr>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TD Bank, N.A.</w:t>
            </w:r>
          </w:p>
        </w:tc>
        <w:tc>
          <w:tcPr>
            <w:tcW w:w="3540" w:type="dxa"/>
            <w:vAlign w:val="bottom"/>
            <w:gridSpan w:val="2"/>
          </w:tcPr>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20,000,000.00</w:t>
            </w:r>
          </w:p>
        </w:tc>
        <w:tc>
          <w:tcPr>
            <w:tcW w:w="2700" w:type="dxa"/>
            <w:vAlign w:val="bottom"/>
            <w:gridSpan w:val="2"/>
          </w:tcPr>
          <w:p>
            <w:pPr>
              <w:spacing w:after="0"/>
              <w:rPr>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428571430%</w:t>
            </w: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0"/>
                <w:szCs w:val="20"/>
                <w:color w:val="auto"/>
              </w:rPr>
              <w:t>Total</w:t>
            </w:r>
          </w:p>
        </w:tc>
        <w:tc>
          <w:tcPr>
            <w:tcW w:w="39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20"/>
                <w:szCs w:val="20"/>
                <w:color w:val="auto"/>
              </w:rPr>
              <w:t>$175,000,000.00</w:t>
            </w:r>
          </w:p>
        </w:tc>
        <w:tc>
          <w:tcPr>
            <w:tcW w:w="2700" w:type="dxa"/>
            <w:vAlign w:val="bottom"/>
            <w:gridSpan w:val="2"/>
          </w:tcPr>
          <w:p>
            <w:pPr>
              <w:spacing w:after="0"/>
              <w:rPr>
                <w:sz w:val="20"/>
                <w:szCs w:val="20"/>
                <w:color w:val="auto"/>
              </w:rPr>
            </w:pPr>
            <w:r>
              <w:rPr>
                <w:rFonts w:ascii="Arial" w:cs="Arial" w:eastAsia="Arial" w:hAnsi="Arial"/>
                <w:sz w:val="20"/>
                <w:szCs w:val="20"/>
                <w:color w:val="auto"/>
              </w:rPr>
              <w:t>100.000000000%</w:t>
            </w:r>
          </w:p>
        </w:tc>
      </w:tr>
      <w:tr>
        <w:trPr>
          <w:trHeight w:val="705"/>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40" w:type="dxa"/>
            <w:vAlign w:val="bottom"/>
          </w:tcPr>
          <w:p>
            <w:pPr>
              <w:ind w:left="360"/>
              <w:spacing w:after="0"/>
              <w:rPr>
                <w:sz w:val="20"/>
                <w:szCs w:val="20"/>
                <w:color w:val="auto"/>
              </w:rPr>
            </w:pPr>
            <w:r>
              <w:rPr>
                <w:rFonts w:ascii="Arial" w:cs="Arial" w:eastAsia="Arial" w:hAnsi="Arial"/>
                <w:sz w:val="20"/>
                <w:szCs w:val="20"/>
                <w:color w:val="auto"/>
              </w:rPr>
              <w:t>-25-</w:t>
            </w: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56" w:name="page57"/>
    <w:bookmarkEnd w:id="56"/>
    <w:p>
      <w:pPr>
        <w:ind w:left="10060"/>
        <w:spacing w:after="0"/>
        <w:rPr>
          <w:sz w:val="20"/>
          <w:szCs w:val="20"/>
          <w:color w:val="auto"/>
        </w:rPr>
      </w:pPr>
      <w:r>
        <w:rPr>
          <w:rFonts w:ascii="Arial" w:cs="Arial" w:eastAsia="Arial" w:hAnsi="Arial"/>
          <w:sz w:val="20"/>
          <w:szCs w:val="20"/>
          <w:b w:val="1"/>
          <w:bCs w:val="1"/>
          <w:i w:val="1"/>
          <w:iCs w:val="1"/>
          <w:u w:val="single" w:color="auto"/>
          <w:color w:val="auto"/>
        </w:rPr>
        <w:t>EXHIBIT “E-1”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Third Amended and Restated Credit Agreement dated as of December 21,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Mistras Group, Inc., a Delaware corporation, as Borrower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 and each lender from time to time party thereto.</w:t>
      </w:r>
    </w:p>
    <w:p>
      <w:pPr>
        <w:spacing w:after="0" w:line="18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ind w:firstLine="8"/>
        <w:spacing w:after="0" w:line="241" w:lineRule="auto"/>
        <w:tabs>
          <w:tab w:leader="none" w:pos="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9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57" w:name="page58"/>
    <w:bookmarkEnd w:id="57"/>
    <w:p>
      <w:pPr>
        <w:ind w:left="10060"/>
        <w:spacing w:after="0"/>
        <w:rPr>
          <w:sz w:val="20"/>
          <w:szCs w:val="20"/>
          <w:color w:val="auto"/>
        </w:rPr>
      </w:pPr>
      <w:r>
        <w:rPr>
          <w:rFonts w:ascii="Arial" w:cs="Arial" w:eastAsia="Arial" w:hAnsi="Arial"/>
          <w:sz w:val="20"/>
          <w:szCs w:val="20"/>
          <w:b w:val="1"/>
          <w:bCs w:val="1"/>
          <w:i w:val="1"/>
          <w:iCs w:val="1"/>
          <w:u w:val="single" w:color="auto"/>
          <w:color w:val="auto"/>
        </w:rPr>
        <w:t>EXHIBIT “E-2”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Third Amended and Restated Credit Agreement dated as of December 21,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Mistras Group, Inc., a Delaware corporation, as Borrower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 and each lender from time to time party thereto.</w:t>
      </w:r>
    </w:p>
    <w:p>
      <w:pPr>
        <w:spacing w:after="0" w:line="18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6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58" w:name="page59"/>
    <w:bookmarkEnd w:id="58"/>
    <w:p>
      <w:pPr>
        <w:ind w:left="10060"/>
        <w:spacing w:after="0"/>
        <w:rPr>
          <w:sz w:val="20"/>
          <w:szCs w:val="20"/>
          <w:color w:val="auto"/>
        </w:rPr>
      </w:pPr>
      <w:r>
        <w:rPr>
          <w:rFonts w:ascii="Arial" w:cs="Arial" w:eastAsia="Arial" w:hAnsi="Arial"/>
          <w:sz w:val="20"/>
          <w:szCs w:val="20"/>
          <w:b w:val="1"/>
          <w:bCs w:val="1"/>
          <w:i w:val="1"/>
          <w:iCs w:val="1"/>
          <w:u w:val="single" w:color="auto"/>
          <w:color w:val="auto"/>
        </w:rPr>
        <w:t>EXHIBIT “E-3”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Third Amended and Restated Credit Agreement dated as of December 21,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Mistras Group, Inc., a Delaware corporation, as Borrower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 and each lender from time to time party thereto.</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PARTICIPANT]</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60"/>
        <w:spacing w:after="0"/>
        <w:rPr>
          <w:sz w:val="20"/>
          <w:szCs w:val="20"/>
          <w:color w:val="auto"/>
        </w:rPr>
      </w:pPr>
      <w:r>
        <w:rPr>
          <w:rFonts w:ascii="Arial" w:cs="Arial" w:eastAsia="Arial" w:hAnsi="Arial"/>
          <w:sz w:val="20"/>
          <w:szCs w:val="20"/>
          <w:b w:val="1"/>
          <w:bCs w:val="1"/>
          <w:i w:val="1"/>
          <w:iCs w:val="1"/>
          <w:u w:val="single" w:color="auto"/>
          <w:color w:val="auto"/>
        </w:rPr>
        <w:t>EXHIBIT “E-4”</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Third Amended and Restated Credit Agreement dated as of December 21,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Mistras Group, Inc., a Delaware corporation, as Borrower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 and each lender from time to time party thereto.</w:t>
      </w:r>
    </w:p>
    <w:p>
      <w:pPr>
        <w:spacing w:after="0" w:line="18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OF LENDER]</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 _______________________</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________________________</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________________________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u w:val="single" w:color="auto"/>
          <w:color w:val="auto"/>
        </w:rPr>
        <w:t>EXHIBIT “F”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6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10780" w:type="dxa"/>
            <w:vAlign w:val="bottom"/>
            <w:gridSpan w:val="5"/>
          </w:tcPr>
          <w:p>
            <w:pPr>
              <w:ind w:left="4600"/>
              <w:spacing w:after="0"/>
              <w:rPr>
                <w:sz w:val="20"/>
                <w:szCs w:val="20"/>
                <w:color w:val="auto"/>
              </w:rPr>
            </w:pPr>
            <w:r>
              <w:rPr>
                <w:rFonts w:ascii="Arial" w:cs="Arial" w:eastAsia="Arial" w:hAnsi="Arial"/>
                <w:sz w:val="20"/>
                <w:szCs w:val="20"/>
                <w:b w:val="1"/>
                <w:bCs w:val="1"/>
                <w:color w:val="auto"/>
              </w:rPr>
              <w:t>FORM OF</w:t>
            </w:r>
          </w:p>
        </w:tc>
      </w:tr>
      <w:tr>
        <w:trPr>
          <w:trHeight w:val="256"/>
        </w:trPr>
        <w:tc>
          <w:tcPr>
            <w:tcW w:w="640" w:type="dxa"/>
            <w:vAlign w:val="bottom"/>
          </w:tcPr>
          <w:p>
            <w:pPr>
              <w:spacing w:after="0"/>
              <w:rPr>
                <w:sz w:val="22"/>
                <w:szCs w:val="22"/>
                <w:color w:val="auto"/>
              </w:rPr>
            </w:pPr>
          </w:p>
        </w:tc>
        <w:tc>
          <w:tcPr>
            <w:tcW w:w="10780" w:type="dxa"/>
            <w:vAlign w:val="bottom"/>
            <w:gridSpan w:val="5"/>
          </w:tcPr>
          <w:p>
            <w:pPr>
              <w:ind w:left="3500"/>
              <w:spacing w:after="0"/>
              <w:rPr>
                <w:sz w:val="20"/>
                <w:szCs w:val="20"/>
                <w:color w:val="auto"/>
              </w:rPr>
            </w:pPr>
            <w:r>
              <w:rPr>
                <w:rFonts w:ascii="Arial" w:cs="Arial" w:eastAsia="Arial" w:hAnsi="Arial"/>
                <w:sz w:val="20"/>
                <w:szCs w:val="20"/>
                <w:b w:val="1"/>
                <w:bCs w:val="1"/>
                <w:color w:val="auto"/>
              </w:rPr>
              <w:t>NOTICE OF LOAN PREPAYMENT</w:t>
            </w:r>
          </w:p>
        </w:tc>
      </w:tr>
      <w:tr>
        <w:trPr>
          <w:trHeight w:val="459"/>
        </w:trPr>
        <w:tc>
          <w:tcPr>
            <w:tcW w:w="640" w:type="dxa"/>
            <w:vAlign w:val="bottom"/>
          </w:tcPr>
          <w:p>
            <w:pPr>
              <w:spacing w:after="0"/>
              <w:rPr>
                <w:sz w:val="20"/>
                <w:szCs w:val="20"/>
                <w:color w:val="auto"/>
              </w:rPr>
            </w:pPr>
            <w:r>
              <w:rPr>
                <w:rFonts w:ascii="Arial" w:cs="Arial" w:eastAsia="Arial" w:hAnsi="Arial"/>
                <w:sz w:val="20"/>
                <w:szCs w:val="20"/>
                <w:color w:val="auto"/>
              </w:rPr>
              <w:t>TO:</w:t>
            </w:r>
          </w:p>
        </w:tc>
        <w:tc>
          <w:tcPr>
            <w:tcW w:w="10780" w:type="dxa"/>
            <w:vAlign w:val="bottom"/>
            <w:gridSpan w:val="5"/>
          </w:tcPr>
          <w:p>
            <w:pPr>
              <w:ind w:left="80"/>
              <w:spacing w:after="0"/>
              <w:rPr>
                <w:sz w:val="20"/>
                <w:szCs w:val="20"/>
                <w:color w:val="auto"/>
              </w:rPr>
            </w:pPr>
            <w:r>
              <w:rPr>
                <w:rFonts w:ascii="Arial" w:cs="Arial" w:eastAsia="Arial" w:hAnsi="Arial"/>
                <w:sz w:val="20"/>
                <w:szCs w:val="20"/>
                <w:color w:val="auto"/>
              </w:rPr>
              <w:t>Bank of America, N.A., as Administrative Agent</w:t>
            </w:r>
          </w:p>
        </w:tc>
      </w:tr>
      <w:tr>
        <w:trPr>
          <w:trHeight w:val="438"/>
        </w:trPr>
        <w:tc>
          <w:tcPr>
            <w:tcW w:w="640" w:type="dxa"/>
            <w:vAlign w:val="bottom"/>
          </w:tcPr>
          <w:p>
            <w:pPr>
              <w:spacing w:after="0"/>
              <w:rPr>
                <w:sz w:val="20"/>
                <w:szCs w:val="20"/>
                <w:color w:val="auto"/>
              </w:rPr>
            </w:pPr>
            <w:r>
              <w:rPr>
                <w:rFonts w:ascii="Arial" w:cs="Arial" w:eastAsia="Arial" w:hAnsi="Arial"/>
                <w:sz w:val="20"/>
                <w:szCs w:val="20"/>
                <w:color w:val="auto"/>
              </w:rPr>
              <w:t>RE:</w:t>
            </w:r>
          </w:p>
        </w:tc>
        <w:tc>
          <w:tcPr>
            <w:tcW w:w="10780" w:type="dxa"/>
            <w:vAlign w:val="bottom"/>
            <w:gridSpan w:val="5"/>
          </w:tcPr>
          <w:p>
            <w:pPr>
              <w:ind w:left="660"/>
              <w:spacing w:after="0"/>
              <w:rPr>
                <w:sz w:val="20"/>
                <w:szCs w:val="20"/>
                <w:color w:val="auto"/>
              </w:rPr>
            </w:pPr>
            <w:r>
              <w:rPr>
                <w:rFonts w:ascii="Arial" w:cs="Arial" w:eastAsia="Arial" w:hAnsi="Arial"/>
                <w:sz w:val="20"/>
                <w:szCs w:val="20"/>
                <w:color w:val="auto"/>
                <w:w w:val="90"/>
              </w:rPr>
              <w:t>Third Amended and Restated Credit Agreement dated as of December 21, 2011, among Mistras Group, Inc., as Borrower, the</w:t>
            </w:r>
          </w:p>
        </w:tc>
      </w:tr>
      <w:tr>
        <w:trPr>
          <w:trHeight w:val="230"/>
        </w:trPr>
        <w:tc>
          <w:tcPr>
            <w:tcW w:w="640" w:type="dxa"/>
            <w:vAlign w:val="bottom"/>
          </w:tcPr>
          <w:p>
            <w:pPr>
              <w:spacing w:after="0"/>
              <w:rPr>
                <w:sz w:val="19"/>
                <w:szCs w:val="19"/>
                <w:color w:val="auto"/>
              </w:rPr>
            </w:pPr>
          </w:p>
        </w:tc>
        <w:tc>
          <w:tcPr>
            <w:tcW w:w="10780" w:type="dxa"/>
            <w:vAlign w:val="bottom"/>
            <w:gridSpan w:val="5"/>
          </w:tcPr>
          <w:p>
            <w:pPr>
              <w:ind w:left="660"/>
              <w:spacing w:after="0"/>
              <w:rPr>
                <w:sz w:val="20"/>
                <w:szCs w:val="20"/>
                <w:color w:val="auto"/>
              </w:rPr>
            </w:pPr>
            <w:r>
              <w:rPr>
                <w:rFonts w:ascii="Arial" w:cs="Arial" w:eastAsia="Arial" w:hAnsi="Arial"/>
                <w:sz w:val="20"/>
                <w:szCs w:val="20"/>
                <w:color w:val="auto"/>
                <w:w w:val="95"/>
              </w:rPr>
              <w:t>Lenders and Bank of America, N.A., as Administrative Agent and L/C Issuer (as amended, modified, extended, restated,</w:t>
            </w:r>
          </w:p>
        </w:tc>
      </w:tr>
      <w:tr>
        <w:trPr>
          <w:trHeight w:val="206"/>
        </w:trPr>
        <w:tc>
          <w:tcPr>
            <w:tcW w:w="640" w:type="dxa"/>
            <w:vAlign w:val="bottom"/>
          </w:tcPr>
          <w:p>
            <w:pPr>
              <w:spacing w:after="0"/>
              <w:rPr>
                <w:sz w:val="17"/>
                <w:szCs w:val="17"/>
                <w:color w:val="auto"/>
              </w:rPr>
            </w:pPr>
          </w:p>
        </w:tc>
        <w:tc>
          <w:tcPr>
            <w:tcW w:w="10780" w:type="dxa"/>
            <w:vAlign w:val="bottom"/>
            <w:gridSpan w:val="5"/>
          </w:tcPr>
          <w:p>
            <w:pPr>
              <w:ind w:left="660"/>
              <w:spacing w:after="0" w:line="206" w:lineRule="exact"/>
              <w:rPr>
                <w:sz w:val="20"/>
                <w:szCs w:val="20"/>
                <w:color w:val="auto"/>
              </w:rPr>
            </w:pPr>
            <w:r>
              <w:rPr>
                <w:rFonts w:ascii="Arial" w:cs="Arial" w:eastAsia="Arial" w:hAnsi="Arial"/>
                <w:sz w:val="20"/>
                <w:szCs w:val="20"/>
                <w:color w:val="auto"/>
                <w:w w:val="90"/>
              </w:rPr>
              <w:t>replaced, or supplemented from time to time, the “Credit Agreement”; capitalized terms used herein and not otherwise defined</w:t>
            </w:r>
          </w:p>
        </w:tc>
      </w:tr>
      <w:tr>
        <w:trPr>
          <w:trHeight w:val="20"/>
        </w:trPr>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4"/>
        </w:trPr>
        <w:tc>
          <w:tcPr>
            <w:tcW w:w="640" w:type="dxa"/>
            <w:vAlign w:val="bottom"/>
          </w:tcPr>
          <w:p>
            <w:pPr>
              <w:spacing w:after="0"/>
              <w:rPr>
                <w:sz w:val="22"/>
                <w:szCs w:val="22"/>
                <w:color w:val="auto"/>
              </w:rPr>
            </w:pPr>
          </w:p>
        </w:tc>
        <w:tc>
          <w:tcPr>
            <w:tcW w:w="10780" w:type="dxa"/>
            <w:vAlign w:val="bottom"/>
            <w:gridSpan w:val="5"/>
          </w:tcPr>
          <w:p>
            <w:pPr>
              <w:ind w:left="660"/>
              <w:spacing w:after="0"/>
              <w:rPr>
                <w:sz w:val="20"/>
                <w:szCs w:val="20"/>
                <w:color w:val="auto"/>
              </w:rPr>
            </w:pPr>
            <w:r>
              <w:rPr>
                <w:rFonts w:ascii="Arial" w:cs="Arial" w:eastAsia="Arial" w:hAnsi="Arial"/>
                <w:sz w:val="20"/>
                <w:szCs w:val="20"/>
                <w:color w:val="auto"/>
              </w:rPr>
              <w:t>shall have the meanings set forth in the Credit Agreement)</w:t>
            </w:r>
          </w:p>
        </w:tc>
      </w:tr>
      <w:tr>
        <w:trPr>
          <w:trHeight w:val="459"/>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4700" w:type="dxa"/>
            <w:vAlign w:val="bottom"/>
          </w:tcPr>
          <w:p>
            <w:pPr>
              <w:ind w:left="320"/>
              <w:spacing w:after="0"/>
              <w:rPr>
                <w:sz w:val="20"/>
                <w:szCs w:val="20"/>
                <w:color w:val="auto"/>
              </w:rPr>
            </w:pPr>
            <w:r>
              <w:rPr>
                <w:rFonts w:ascii="Arial" w:cs="Arial" w:eastAsia="Arial" w:hAnsi="Arial"/>
                <w:sz w:val="20"/>
                <w:szCs w:val="20"/>
                <w:color w:val="auto"/>
              </w:rPr>
              <w:t>__________________, 20___</w:t>
            </w: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5"/>
        </w:trPr>
        <w:tc>
          <w:tcPr>
            <w:tcW w:w="6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r>
    </w:tbl>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Borrower hereby notifies the Administrative Agent that on </w:t>
      </w:r>
      <w:r>
        <w:rPr>
          <w:rFonts w:ascii="Arial" w:cs="Arial" w:eastAsia="Arial" w:hAnsi="Arial"/>
          <w:sz w:val="18"/>
          <w:szCs w:val="18"/>
          <w:b w:val="1"/>
          <w:bCs w:val="1"/>
          <w:color w:val="auto"/>
        </w:rPr>
        <w:t>_____________</w:t>
      </w:r>
      <w:r>
        <w:rPr>
          <w:rFonts w:ascii="Arial" w:cs="Arial" w:eastAsia="Arial" w:hAnsi="Arial"/>
          <w:sz w:val="18"/>
          <w:szCs w:val="18"/>
          <w:color w:val="auto"/>
        </w:rPr>
        <w:t xml:space="preserve"> pursuant to the terms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(Prepayments) of</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the Credit Agreement, the Borrower intend to prepay/repay the following Loans as more specifically set forth below:</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Optional prepayment of Committed Loans in the following amount(s):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Eurocurrency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377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-24765</wp:posOffset>
            </wp:positionV>
            <wp:extent cx="377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-14605</wp:posOffset>
            </wp:positionV>
            <wp:extent cx="377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pacing w:after="0" w:line="207" w:lineRule="exact"/>
        <w:rPr>
          <w:sz w:val="20"/>
          <w:szCs w:val="20"/>
          <w:color w:val="auto"/>
        </w:rPr>
      </w:pPr>
    </w:p>
    <w:p>
      <w:pPr>
        <w:ind w:left="454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229"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auto"/>
        </w:rPr>
        <w:t>MISTRAS GROUP, INC.</w:t>
      </w:r>
    </w:p>
    <w:p>
      <w:pPr>
        <w:spacing w:after="0" w:line="200" w:lineRule="exact"/>
        <w:rPr>
          <w:sz w:val="20"/>
          <w:szCs w:val="20"/>
          <w:color w:val="auto"/>
        </w:rPr>
      </w:pPr>
    </w:p>
    <w:p>
      <w:pPr>
        <w:spacing w:after="0" w:line="265"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By: __________________________</w:t>
      </w:r>
    </w:p>
    <w:p>
      <w:pPr>
        <w:spacing w:after="0" w:line="15" w:lineRule="exact"/>
        <w:rPr>
          <w:sz w:val="20"/>
          <w:szCs w:val="20"/>
          <w:color w:val="auto"/>
        </w:rPr>
      </w:pPr>
    </w:p>
    <w:p>
      <w:pPr>
        <w:ind w:left="8440"/>
        <w:spacing w:after="0"/>
        <w:rPr>
          <w:sz w:val="20"/>
          <w:szCs w:val="20"/>
          <w:color w:val="auto"/>
        </w:rPr>
      </w:pPr>
      <w:r>
        <w:rPr>
          <w:rFonts w:ascii="Arial" w:cs="Arial" w:eastAsia="Arial" w:hAnsi="Arial"/>
          <w:sz w:val="20"/>
          <w:szCs w:val="20"/>
          <w:color w:val="auto"/>
        </w:rPr>
        <w:t>Name:</w:t>
      </w:r>
    </w:p>
    <w:p>
      <w:pPr>
        <w:ind w:left="8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jc w:val="right"/>
        <w:spacing w:after="0" w:line="201" w:lineRule="auto"/>
        <w:rPr>
          <w:sz w:val="20"/>
          <w:szCs w:val="20"/>
          <w:color w:val="auto"/>
        </w:rPr>
      </w:pPr>
      <w:r>
        <w:rPr>
          <w:rFonts w:ascii="Arial" w:cs="Arial" w:eastAsia="Arial" w:hAnsi="Arial"/>
          <w:sz w:val="14"/>
          <w:szCs w:val="14"/>
          <w:color w:val="auto"/>
        </w:rPr>
        <w:t>[THIRD AMENDMENT AGREEMENT</w:t>
      </w:r>
    </w:p>
    <w:p>
      <w:pPr>
        <w:jc w:val="right"/>
        <w:spacing w:after="0"/>
        <w:rPr>
          <w:sz w:val="20"/>
          <w:szCs w:val="20"/>
          <w:color w:val="auto"/>
        </w:rPr>
      </w:pPr>
      <w:r>
        <w:rPr>
          <w:rFonts w:ascii="Arial" w:cs="Arial" w:eastAsia="Arial" w:hAnsi="Arial"/>
          <w:sz w:val="14"/>
          <w:szCs w:val="14"/>
          <w:color w:val="auto"/>
        </w:rPr>
        <w:t>(MISTRAS GROUP, INC.)]</w:t>
      </w:r>
    </w:p>
    <w:p>
      <w:pPr>
        <w:spacing w:after="0" w:line="59" w:lineRule="exact"/>
        <w:rPr>
          <w:sz w:val="20"/>
          <w:szCs w:val="20"/>
          <w:color w:val="auto"/>
        </w:rPr>
      </w:pPr>
    </w:p>
    <w:p>
      <w:pPr>
        <w:ind w:left="9520"/>
        <w:spacing w:after="0"/>
        <w:rPr>
          <w:sz w:val="20"/>
          <w:szCs w:val="20"/>
          <w:color w:val="auto"/>
        </w:rPr>
      </w:pPr>
      <w:r>
        <w:rPr>
          <w:rFonts w:ascii="Arial" w:cs="Arial" w:eastAsia="Arial" w:hAnsi="Arial"/>
          <w:sz w:val="10"/>
          <w:szCs w:val="10"/>
          <w:color w:val="auto"/>
        </w:rPr>
        <w:t>US_ACTIVE-119613345.4-CJMAURER</w:t>
      </w:r>
    </w:p>
    <w:p>
      <w:pPr>
        <w:sectPr>
          <w:pgSz w:w="11900" w:h="16838" w:orient="portrait"/>
          <w:cols w:equalWidth="0" w:num="1">
            <w:col w:w="11420"/>
          </w:cols>
          <w:pgMar w:left="240" w:top="35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2015</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2015</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2014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January 9, 2015</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3"/>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decimal"/>
      <w:start w:val="4"/>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decimal"/>
      <w:start w:val="6"/>
    </w:lvl>
  </w:abstractNum>
  <w:abstractNum w:abstractNumId="8">
    <w:nsid w:val="3006C83E"/>
    <w:multiLevelType w:val="hybridMultilevel"/>
    <w:lvl w:ilvl="0">
      <w:lvlJc w:val="left"/>
      <w:lvlText w:val="%1."/>
      <w:numFmt w:val="decimal"/>
      <w:start w:val="7"/>
    </w:lvl>
  </w:abstractNum>
  <w:abstractNum w:abstractNumId="9">
    <w:nsid w:val="614FD4A1"/>
    <w:multiLevelType w:val="hybridMultilevel"/>
    <w:lvl w:ilvl="0">
      <w:lvlJc w:val="left"/>
      <w:lvlText w:val="%1."/>
      <w:numFmt w:val="decimal"/>
      <w:start w:val="8"/>
    </w:lvl>
  </w:abstractNum>
  <w:abstractNum w:abstractNumId="10">
    <w:nsid w:val="419AC241"/>
    <w:multiLevelType w:val="hybridMultilevel"/>
    <w:lvl w:ilvl="0">
      <w:lvlJc w:val="left"/>
      <w:lvlText w:val="%1."/>
      <w:numFmt w:val="decimal"/>
      <w:start w:val="9"/>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1"/>
    </w:lvl>
  </w:abstractNum>
  <w:abstractNum w:abstractNumId="13">
    <w:nsid w:val="5072367"/>
    <w:multiLevelType w:val="hybridMultilevel"/>
    <w:lvl w:ilvl="0">
      <w:lvlJc w:val="left"/>
      <w:lvlText w:val="%1."/>
      <w:numFmt w:val="decimal"/>
      <w:start w:val="12"/>
    </w:lvl>
  </w:abstractNum>
  <w:abstractNum w:abstractNumId="14">
    <w:nsid w:val="3804823E"/>
    <w:multiLevelType w:val="hybridMultilevel"/>
    <w:lvl w:ilvl="0">
      <w:lvlJc w:val="left"/>
      <w:lvlText w:val="%1."/>
      <w:numFmt w:val="decimal"/>
      <w:start w:val="13"/>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decimal"/>
      <w:start w:val="1"/>
    </w:lvl>
    <w:lvl w:ilvl="1">
      <w:lvlJc w:val="left"/>
      <w:lvlText w:val="(%2)"/>
      <w:numFmt w:val="lowerRoman"/>
      <w:start w:val="1"/>
    </w:lvl>
  </w:abstractNum>
  <w:abstractNum w:abstractNumId="20">
    <w:nsid w:val="51EAD36B"/>
    <w:multiLevelType w:val="hybridMultilevel"/>
    <w:lvl w:ilvl="0">
      <w:lvlJc w:val="left"/>
      <w:lvlText w:val="(%1)"/>
      <w:numFmt w:val="lowerRoman"/>
      <w:start w:val="2"/>
    </w:lvl>
  </w:abstractNum>
  <w:abstractNum w:abstractNumId="21">
    <w:nsid w:val="2D517796"/>
    <w:multiLevelType w:val="hybridMultilevel"/>
    <w:lvl w:ilvl="0">
      <w:lvlJc w:val="left"/>
      <w:lvlText w:val="(%1)"/>
      <w:numFmt w:val="lowerRoman"/>
      <w:start w:val="3"/>
    </w:lvl>
  </w:abstractNum>
  <w:abstractNum w:abstractNumId="22">
    <w:nsid w:val="580BD78F"/>
    <w:multiLevelType w:val="hybridMultilevel"/>
    <w:lvl w:ilvl="0">
      <w:lvlJc w:val="left"/>
      <w:lvlText w:val="(%1)"/>
      <w:numFmt w:val="lowerRoman"/>
      <w:start w:val="4"/>
    </w:lvl>
  </w:abstractNum>
  <w:abstractNum w:abstractNumId="23">
    <w:nsid w:val="153EA438"/>
    <w:multiLevelType w:val="hybridMultilevel"/>
    <w:lvl w:ilvl="0">
      <w:lvlJc w:val="left"/>
      <w:lvlText w:val="(%1)"/>
      <w:numFmt w:val="lowerRoman"/>
      <w:start w:val="5"/>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Roman"/>
      <w:start w:val="6"/>
    </w:lvl>
  </w:abstractNum>
  <w:abstractNum w:abstractNumId="26">
    <w:nsid w:val="6A2342EC"/>
    <w:multiLevelType w:val="hybridMultilevel"/>
    <w:lvl w:ilvl="0">
      <w:lvlJc w:val="left"/>
      <w:lvlText w:val="(%1)"/>
      <w:numFmt w:val="lowerRoman"/>
      <w:start w:val="7"/>
    </w:lvl>
  </w:abstractNum>
  <w:abstractNum w:abstractNumId="27">
    <w:nsid w:val="2A487CB0"/>
    <w:multiLevelType w:val="hybridMultilevel"/>
    <w:lvl w:ilvl="0">
      <w:lvlJc w:val="left"/>
      <w:lvlText w:val="(%1)"/>
      <w:numFmt w:val="lowerRoman"/>
      <w:start w:val="8"/>
    </w:lvl>
  </w:abstractNum>
  <w:abstractNum w:abstractNumId="28">
    <w:nsid w:val="1D4ED43B"/>
    <w:multiLevelType w:val="hybridMultilevel"/>
    <w:lvl w:ilvl="0">
      <w:lvlJc w:val="left"/>
      <w:lvlText w:val="(%1)"/>
      <w:numFmt w:val="lowerRoman"/>
      <w:start w:val="9"/>
    </w:lvl>
  </w:abstractNum>
  <w:abstractNum w:abstractNumId="29">
    <w:nsid w:val="725A06FB"/>
    <w:multiLevelType w:val="hybridMultilevel"/>
    <w:lvl w:ilvl="0">
      <w:lvlJc w:val="left"/>
      <w:lvlText w:val="(%1)"/>
      <w:numFmt w:val="lowerRoman"/>
      <w:start w:val="11"/>
    </w:lvl>
  </w:abstractNum>
  <w:abstractNum w:abstractNumId="30">
    <w:nsid w:val="2CD89A32"/>
    <w:multiLevelType w:val="hybridMultilevel"/>
    <w:lvl w:ilvl="0">
      <w:lvlJc w:val="left"/>
      <w:lvlText w:val="(%1)"/>
      <w:numFmt w:val="lowerRoman"/>
      <w:start w:val="13"/>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Roman"/>
      <w:start w:val="14"/>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Roman"/>
      <w:start w:val="15"/>
    </w:lvl>
  </w:abstractNum>
  <w:abstractNum w:abstractNumId="35">
    <w:nsid w:val="6DE91B18"/>
    <w:multiLevelType w:val="hybridMultilevel"/>
    <w:lvl w:ilvl="0">
      <w:lvlJc w:val="left"/>
      <w:lvlText w:val="(%1)"/>
      <w:numFmt w:val="lowerLetter"/>
      <w:start w:val="1"/>
    </w:lvl>
    <w:lvl w:ilvl="1">
      <w:lvlJc w:val="left"/>
      <w:lvlText w:val="(%2)"/>
      <w:numFmt w:val="lowerRoman"/>
      <w:start w:val="1"/>
    </w:lvl>
  </w:abstractNum>
  <w:abstractNum w:abstractNumId="36">
    <w:nsid w:val="38437FDB"/>
    <w:multiLevelType w:val="hybridMultilevel"/>
    <w:lvl w:ilvl="0">
      <w:lvlJc w:val="left"/>
      <w:lvlText w:val="(%1)"/>
      <w:numFmt w:val="lowerLetter"/>
      <w:start w:val="2"/>
    </w:lvl>
    <w:lvl w:ilvl="1">
      <w:lvlJc w:val="left"/>
      <w:lvlText w:val="(%2)"/>
      <w:numFmt w:val="lowerRoman"/>
      <w:start w:val="1"/>
    </w:lvl>
  </w:abstractNum>
  <w:abstractNum w:abstractNumId="37">
    <w:nsid w:val="7644A45C"/>
    <w:multiLevelType w:val="hybridMultilevel"/>
    <w:lvl w:ilvl="0">
      <w:lvlJc w:val="left"/>
      <w:lvlText w:val="(%1)"/>
      <w:numFmt w:val="lowerLetter"/>
      <w:start w:val="5"/>
    </w:lvl>
    <w:lvl w:ilvl="1">
      <w:lvlJc w:val="left"/>
      <w:lvlText w:val="(%2)"/>
      <w:numFmt w:val="lowerRoman"/>
      <w:start w:val="1"/>
    </w:lvl>
  </w:abstractNum>
  <w:abstractNum w:abstractNumId="38">
    <w:nsid w:val="32FFF902"/>
    <w:multiLevelType w:val="hybridMultilevel"/>
    <w:lvl w:ilvl="0">
      <w:lvlJc w:val="left"/>
      <w:lvlText w:val="(%1)"/>
      <w:numFmt w:val="upperLetter"/>
      <w:start w:val="1"/>
    </w:lvl>
    <w:lvl w:ilvl="1">
      <w:lvlJc w:val="left"/>
      <w:lvlText w:val="(%2)"/>
      <w:numFmt w:val="upperLetter"/>
      <w:start w:val="9"/>
    </w:lvl>
  </w:abstractNum>
  <w:abstractNum w:abstractNumId="39">
    <w:nsid w:val="684A481A"/>
    <w:multiLevelType w:val="hybridMultilevel"/>
    <w:lvl w:ilvl="0">
      <w:lvlJc w:val="left"/>
      <w:lvlText w:val="(%1)"/>
      <w:numFmt w:val="upperLetter"/>
      <w:start w:val="35"/>
    </w:lvl>
  </w:abstractNum>
  <w:abstractNum w:abstractNumId="40">
    <w:nsid w:val="579478FE"/>
    <w:multiLevelType w:val="hybridMultilevel"/>
    <w:lvl w:ilvl="0">
      <w:lvlJc w:val="left"/>
      <w:lvlText w:val="(%1)"/>
      <w:numFmt w:val="upperLetter"/>
      <w:start w:val="61"/>
    </w:lvl>
  </w:abstractNum>
  <w:abstractNum w:abstractNumId="41">
    <w:nsid w:val="749ABB43"/>
    <w:multiLevelType w:val="hybridMultilevel"/>
    <w:lvl w:ilvl="0">
      <w:lvlJc w:val="left"/>
      <w:lvlText w:val="%1"/>
      <w:numFmt w:val="lowerRoman"/>
      <w:start w:val="1"/>
    </w:lvl>
    <w:lvl w:ilvl="1">
      <w:lvlJc w:val="left"/>
      <w:lvlText w:val="(%2)"/>
      <w:numFmt w:val="upperLetter"/>
      <w:start w:val="3"/>
    </w:lvl>
  </w:abstractNum>
  <w:abstractNum w:abstractNumId="42">
    <w:nsid w:val="3DC240FB"/>
    <w:multiLevelType w:val="hybridMultilevel"/>
    <w:lvl w:ilvl="0">
      <w:lvlJc w:val="left"/>
      <w:lvlText w:val="(%1)"/>
      <w:numFmt w:val="lowerRoman"/>
      <w:start w:val="1"/>
    </w:lvl>
    <w:lvl w:ilvl="1">
      <w:lvlJc w:val="left"/>
      <w:lvlText w:val="%2"/>
      <w:numFmt w:val="upperLetter"/>
      <w:start w:val="1"/>
    </w:lvl>
  </w:abstractNum>
  <w:abstractNum w:abstractNumId="43">
    <w:nsid w:val="1BA026FA"/>
    <w:multiLevelType w:val="hybridMultilevel"/>
    <w:lvl w:ilvl="0">
      <w:lvlJc w:val="left"/>
      <w:lvlText w:val="%1"/>
      <w:numFmt w:val="lowerLetter"/>
      <w:start w:val="1"/>
    </w:lvl>
    <w:lvl w:ilvl="1">
      <w:lvlJc w:val="left"/>
      <w:lvlText w:val="(%2)"/>
      <w:numFmt w:val="lowerLetter"/>
      <w:start w:val="61"/>
    </w:lvl>
  </w:abstractNum>
  <w:abstractNum w:abstractNumId="44">
    <w:nsid w:val="79A1DEAA"/>
    <w:multiLevelType w:val="hybridMultilevel"/>
    <w:lvl w:ilvl="0">
      <w:lvlJc w:val="left"/>
      <w:lvlText w:val="(%1)"/>
      <w:numFmt w:val="lowerLetter"/>
      <w:start w:val="6"/>
    </w:lvl>
    <w:lvl w:ilvl="1">
      <w:lvlJc w:val="left"/>
      <w:lvlText w:val="%2"/>
      <w:numFmt w:val="lowerLetter"/>
      <w:start w:val="1"/>
    </w:lvl>
  </w:abstractNum>
  <w:abstractNum w:abstractNumId="45">
    <w:nsid w:val="75C6C33A"/>
    <w:multiLevelType w:val="hybridMultilevel"/>
    <w:lvl w:ilvl="0">
      <w:lvlJc w:val="left"/>
      <w:lvlText w:val="(%1)"/>
      <w:numFmt w:val="lowerLetter"/>
      <w:start w:val="7"/>
    </w:lvl>
  </w:abstractNum>
  <w:abstractNum w:abstractNumId="46">
    <w:nsid w:val="12E685FB"/>
    <w:multiLevelType w:val="hybridMultilevel"/>
    <w:lvl w:ilvl="0">
      <w:lvlJc w:val="left"/>
      <w:lvlText w:val="(%1)"/>
      <w:numFmt w:val="lowerRoman"/>
      <w:start w:val="18"/>
    </w:lvl>
  </w:abstractNum>
  <w:abstractNum w:abstractNumId="47">
    <w:nsid w:val="70C6A529"/>
    <w:multiLevelType w:val="hybridMultilevel"/>
    <w:lvl w:ilvl="0">
      <w:lvlJc w:val="left"/>
      <w:lvlText w:val="(%1)"/>
      <w:numFmt w:val="lowerRoman"/>
      <w:start w:val="19"/>
    </w:lvl>
  </w:abstractNum>
  <w:abstractNum w:abstractNumId="48">
    <w:nsid w:val="520EEDD1"/>
    <w:multiLevelType w:val="hybridMultilevel"/>
    <w:lvl w:ilvl="0">
      <w:lvlJc w:val="left"/>
      <w:lvlText w:val="(%1)"/>
      <w:numFmt w:val="lowerRoman"/>
      <w:start w:val="22"/>
    </w:lvl>
  </w:abstractNum>
  <w:abstractNum w:abstractNumId="49">
    <w:nsid w:val="374A3FE6"/>
    <w:multiLevelType w:val="hybridMultilevel"/>
    <w:lvl w:ilvl="0">
      <w:lvlJc w:val="left"/>
      <w:lvlText w:val="%1"/>
      <w:numFmt w:val="decimal"/>
      <w:start w:val="1"/>
    </w:lvl>
    <w:lvl w:ilvl="1">
      <w:lvlJc w:val="left"/>
      <w:lvlText w:val="(%2)"/>
      <w:numFmt w:val="lowerRoman"/>
      <w:start w:val="24"/>
    </w:lvl>
  </w:abstractNum>
  <w:abstractNum w:abstractNumId="50">
    <w:nsid w:val="4F4EF005"/>
    <w:multiLevelType w:val="hybridMultilevel"/>
    <w:lvl w:ilvl="0">
      <w:lvlJc w:val="left"/>
      <w:lvlText w:val="%1."/>
      <w:numFmt w:val="decimal"/>
      <w:start w:val="2"/>
    </w:lvl>
    <w:lvl w:ilvl="1">
      <w:lvlJc w:val="left"/>
      <w:lvlText w:val="(%2)"/>
      <w:numFmt w:val="lowerRoman"/>
      <w:start w:val="1"/>
    </w:lvl>
  </w:abstractNum>
  <w:abstractNum w:abstractNumId="51">
    <w:nsid w:val="23F9C13C"/>
    <w:multiLevelType w:val="hybridMultilevel"/>
    <w:lvl w:ilvl="0">
      <w:lvlJc w:val="left"/>
      <w:lvlText w:val="%1."/>
      <w:numFmt w:val="decimal"/>
      <w:start w:val="5"/>
    </w:lvl>
  </w:abstractNum>
  <w:abstractNum w:abstractNumId="52">
    <w:nsid w:val="649BB77C"/>
    <w:multiLevelType w:val="hybridMultilevel"/>
    <w:lvl w:ilvl="0">
      <w:lvlJc w:val="left"/>
      <w:lvlText w:val="%1"/>
      <w:numFmt w:val="upperLetter"/>
      <w:start w:val="1"/>
    </w:lvl>
    <w:lvl w:ilvl="1">
      <w:lvlJc w:val="left"/>
      <w:lvlText w:val="%2."/>
      <w:numFmt w:val="decimal"/>
      <w:start w:val="8"/>
    </w:lvl>
  </w:abstractNum>
  <w:abstractNum w:abstractNumId="53">
    <w:nsid w:val="275AC794"/>
    <w:multiLevelType w:val="hybridMultilevel"/>
    <w:lvl w:ilvl="0">
      <w:lvlJc w:val="left"/>
      <w:lvlText w:val="(%1)"/>
      <w:numFmt w:val="upperLetter"/>
      <w:start w:val="1"/>
    </w:lvl>
    <w:lvl w:ilvl="1">
      <w:lvlJc w:val="left"/>
      <w:lvlText w:val="%2."/>
      <w:numFmt w:val="decimal"/>
      <w:start w:val="14"/>
    </w:lvl>
  </w:abstractNum>
  <w:abstractNum w:abstractNumId="54">
    <w:nsid w:val="39386575"/>
    <w:multiLevelType w:val="hybridMultilevel"/>
    <w:lvl w:ilvl="0">
      <w:lvlJc w:val="left"/>
      <w:lvlText w:val="%1."/>
      <w:numFmt w:val="decimal"/>
      <w:start w:val="15"/>
    </w:lvl>
  </w:abstractNum>
  <w:abstractNum w:abstractNumId="55">
    <w:nsid w:val="1CF10FD8"/>
    <w:multiLevelType w:val="hybridMultilevel"/>
    <w:lvl w:ilvl="0">
      <w:lvlJc w:val="left"/>
      <w:lvlText w:val="(%1)"/>
      <w:numFmt w:val="lowerRoman"/>
      <w:start w:val="2"/>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2019-12-29T18:39:38Z</dcterms:created>
  <dcterms:modified xsi:type="dcterms:W3CDTF">2019-12-29T18:39:38Z</dcterms:modified>
</cp:coreProperties>
</file>