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 w:lineRule="exact"/>
        <w:rPr>
          <w:sz w:val="24"/>
          <w:szCs w:val="24"/>
          <w:color w:val="auto"/>
        </w:rPr>
      </w:pPr>
    </w:p>
    <w:p>
      <w:pPr>
        <w:ind w:left="580" w:right="20" w:hanging="572"/>
        <w:spacing w:after="0" w:line="237" w:lineRule="auto"/>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August 31, 2010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80" w:hanging="572"/>
        <w:spacing w:after="0" w:line="256"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transition period to</w:t>
      </w:r>
    </w:p>
    <w:p>
      <w:pPr>
        <w:spacing w:after="0" w:line="252"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6740" w:type="dxa"/>
            <w:vAlign w:val="bottom"/>
            <w:gridSpan w:val="3"/>
          </w:tcPr>
          <w:p>
            <w:pPr>
              <w:jc w:val="center"/>
              <w:ind w:left="2239"/>
              <w:spacing w:after="0"/>
              <w:rPr>
                <w:sz w:val="20"/>
                <w:szCs w:val="20"/>
                <w:color w:val="auto"/>
              </w:rPr>
            </w:pPr>
            <w:r>
              <w:rPr>
                <w:rFonts w:ascii="Arial" w:cs="Arial" w:eastAsia="Arial" w:hAnsi="Arial"/>
                <w:sz w:val="18"/>
                <w:szCs w:val="18"/>
                <w:b w:val="1"/>
                <w:bCs w:val="1"/>
                <w:color w:val="auto"/>
                <w:w w:val="90"/>
              </w:rPr>
              <w:t>Commission file number 001- 34481</w:t>
            </w:r>
          </w:p>
        </w:tc>
        <w:tc>
          <w:tcPr>
            <w:tcW w:w="1620" w:type="dxa"/>
            <w:vAlign w:val="bottom"/>
          </w:tcPr>
          <w:p>
            <w:pPr>
              <w:spacing w:after="0"/>
              <w:rPr>
                <w:sz w:val="20"/>
                <w:szCs w:val="20"/>
                <w:color w:val="auto"/>
              </w:rPr>
            </w:pPr>
          </w:p>
        </w:tc>
      </w:tr>
      <w:tr>
        <w:trPr>
          <w:trHeight w:val="361"/>
        </w:trPr>
        <w:tc>
          <w:tcPr>
            <w:tcW w:w="3400" w:type="dxa"/>
            <w:vAlign w:val="bottom"/>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833"/>
        </w:trPr>
        <w:tc>
          <w:tcPr>
            <w:tcW w:w="6740" w:type="dxa"/>
            <w:vAlign w:val="bottom"/>
            <w:gridSpan w:val="3"/>
          </w:tcPr>
          <w:p>
            <w:pPr>
              <w:jc w:val="center"/>
              <w:ind w:left="2259"/>
              <w:spacing w:after="0"/>
              <w:rPr>
                <w:sz w:val="20"/>
                <w:szCs w:val="20"/>
                <w:color w:val="auto"/>
              </w:rPr>
            </w:pPr>
            <w:r>
              <w:rPr>
                <w:rFonts w:ascii="Arial" w:cs="Arial" w:eastAsia="Arial" w:hAnsi="Arial"/>
                <w:sz w:val="43"/>
                <w:szCs w:val="43"/>
                <w:b w:val="1"/>
                <w:bCs w:val="1"/>
                <w:color w:val="auto"/>
                <w:w w:val="93"/>
              </w:rPr>
              <w:t>Mistras Group, Inc.</w:t>
            </w:r>
          </w:p>
        </w:tc>
        <w:tc>
          <w:tcPr>
            <w:tcW w:w="1620" w:type="dxa"/>
            <w:vAlign w:val="bottom"/>
          </w:tcPr>
          <w:p>
            <w:pPr>
              <w:spacing w:after="0"/>
              <w:rPr>
                <w:sz w:val="24"/>
                <w:szCs w:val="24"/>
                <w:color w:val="auto"/>
              </w:rPr>
            </w:pPr>
          </w:p>
        </w:tc>
      </w:tr>
      <w:tr>
        <w:trPr>
          <w:trHeight w:val="230"/>
        </w:trPr>
        <w:tc>
          <w:tcPr>
            <w:tcW w:w="6740" w:type="dxa"/>
            <w:vAlign w:val="bottom"/>
            <w:gridSpan w:val="3"/>
          </w:tcPr>
          <w:p>
            <w:pPr>
              <w:jc w:val="center"/>
              <w:ind w:left="2279"/>
              <w:spacing w:after="0"/>
              <w:rPr>
                <w:sz w:val="20"/>
                <w:szCs w:val="20"/>
                <w:color w:val="auto"/>
              </w:rPr>
            </w:pPr>
            <w:r>
              <w:rPr>
                <w:rFonts w:ascii="Arial" w:cs="Arial" w:eastAsia="Arial" w:hAnsi="Arial"/>
                <w:sz w:val="18"/>
                <w:szCs w:val="18"/>
                <w:color w:val="auto"/>
                <w:w w:val="90"/>
              </w:rPr>
              <w:t>(Exact name of registrant as specified in its charter)</w:t>
            </w:r>
          </w:p>
        </w:tc>
        <w:tc>
          <w:tcPr>
            <w:tcW w:w="1620" w:type="dxa"/>
            <w:vAlign w:val="bottom"/>
          </w:tcPr>
          <w:p>
            <w:pPr>
              <w:spacing w:after="0"/>
              <w:rPr>
                <w:sz w:val="20"/>
                <w:szCs w:val="20"/>
                <w:color w:val="auto"/>
              </w:rPr>
            </w:pPr>
          </w:p>
        </w:tc>
      </w:tr>
      <w:tr>
        <w:trPr>
          <w:trHeight w:val="334"/>
        </w:trPr>
        <w:tc>
          <w:tcPr>
            <w:tcW w:w="3400" w:type="dxa"/>
            <w:vAlign w:val="bottom"/>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50"/>
        </w:trPr>
        <w:tc>
          <w:tcPr>
            <w:tcW w:w="6740" w:type="dxa"/>
            <w:vAlign w:val="bottom"/>
            <w:gridSpan w:val="3"/>
          </w:tcPr>
          <w:p>
            <w:pPr>
              <w:jc w:val="center"/>
              <w:ind w:right="3900"/>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16"/>
        </w:trPr>
        <w:tc>
          <w:tcPr>
            <w:tcW w:w="6740" w:type="dxa"/>
            <w:vAlign w:val="bottom"/>
            <w:gridSpan w:val="3"/>
          </w:tcPr>
          <w:p>
            <w:pPr>
              <w:jc w:val="center"/>
              <w:ind w:right="3900"/>
              <w:spacing w:after="0"/>
              <w:rPr>
                <w:sz w:val="20"/>
                <w:szCs w:val="20"/>
                <w:color w:val="auto"/>
              </w:rPr>
            </w:pPr>
            <w:r>
              <w:rPr>
                <w:rFonts w:ascii="Arial" w:cs="Arial" w:eastAsia="Arial" w:hAnsi="Arial"/>
                <w:sz w:val="18"/>
                <w:szCs w:val="18"/>
                <w:color w:val="auto"/>
                <w:w w:val="92"/>
              </w:rPr>
              <w:t>(State or other jurisdiction of</w:t>
            </w:r>
          </w:p>
        </w:tc>
        <w:tc>
          <w:tcPr>
            <w:tcW w:w="1620" w:type="dxa"/>
            <w:vAlign w:val="bottom"/>
          </w:tcPr>
          <w:p>
            <w:pPr>
              <w:jc w:val="center"/>
              <w:ind w:left="190"/>
              <w:spacing w:after="0"/>
              <w:rPr>
                <w:sz w:val="20"/>
                <w:szCs w:val="20"/>
                <w:color w:val="auto"/>
              </w:rPr>
            </w:pPr>
            <w:r>
              <w:rPr>
                <w:rFonts w:ascii="Arial" w:cs="Arial" w:eastAsia="Arial" w:hAnsi="Arial"/>
                <w:sz w:val="18"/>
                <w:szCs w:val="18"/>
                <w:color w:val="auto"/>
                <w:w w:val="92"/>
              </w:rPr>
              <w:t>(I.R.S. Employer</w:t>
            </w:r>
          </w:p>
        </w:tc>
      </w:tr>
      <w:tr>
        <w:trPr>
          <w:trHeight w:val="230"/>
        </w:trPr>
        <w:tc>
          <w:tcPr>
            <w:tcW w:w="6740" w:type="dxa"/>
            <w:vAlign w:val="bottom"/>
            <w:gridSpan w:val="3"/>
          </w:tcPr>
          <w:p>
            <w:pPr>
              <w:jc w:val="center"/>
              <w:ind w:right="3900"/>
              <w:spacing w:after="0"/>
              <w:rPr>
                <w:sz w:val="20"/>
                <w:szCs w:val="20"/>
                <w:color w:val="auto"/>
              </w:rPr>
            </w:pPr>
            <w:r>
              <w:rPr>
                <w:rFonts w:ascii="Arial" w:cs="Arial" w:eastAsia="Arial" w:hAnsi="Arial"/>
                <w:sz w:val="18"/>
                <w:szCs w:val="18"/>
                <w:color w:val="auto"/>
                <w:w w:val="92"/>
              </w:rPr>
              <w:t>incorporation or organization)</w:t>
            </w:r>
          </w:p>
        </w:tc>
        <w:tc>
          <w:tcPr>
            <w:tcW w:w="1620" w:type="dxa"/>
            <w:vAlign w:val="bottom"/>
          </w:tcPr>
          <w:p>
            <w:pPr>
              <w:jc w:val="center"/>
              <w:ind w:left="1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740" w:type="dxa"/>
            <w:vAlign w:val="bottom"/>
            <w:gridSpan w:val="3"/>
          </w:tcPr>
          <w:p>
            <w:pPr>
              <w:jc w:val="center"/>
              <w:ind w:right="3900"/>
              <w:spacing w:after="0"/>
              <w:rPr>
                <w:sz w:val="20"/>
                <w:szCs w:val="20"/>
                <w:color w:val="auto"/>
              </w:rPr>
            </w:pPr>
            <w:r>
              <w:rPr>
                <w:rFonts w:ascii="Arial" w:cs="Arial" w:eastAsia="Arial" w:hAnsi="Arial"/>
                <w:sz w:val="18"/>
                <w:szCs w:val="18"/>
                <w:b w:val="1"/>
                <w:bCs w:val="1"/>
                <w:color w:val="auto"/>
                <w:w w:val="91"/>
              </w:rPr>
              <w:t>195 Clarksville Road</w:t>
            </w:r>
          </w:p>
        </w:tc>
        <w:tc>
          <w:tcPr>
            <w:tcW w:w="1620" w:type="dxa"/>
            <w:vAlign w:val="bottom"/>
          </w:tcPr>
          <w:p>
            <w:pPr>
              <w:spacing w:after="0"/>
              <w:rPr>
                <w:sz w:val="24"/>
                <w:szCs w:val="24"/>
                <w:color w:val="auto"/>
              </w:rPr>
            </w:pPr>
          </w:p>
        </w:tc>
      </w:tr>
      <w:tr>
        <w:trPr>
          <w:trHeight w:val="220"/>
        </w:trPr>
        <w:tc>
          <w:tcPr>
            <w:tcW w:w="6740" w:type="dxa"/>
            <w:vAlign w:val="bottom"/>
            <w:gridSpan w:val="3"/>
          </w:tcPr>
          <w:p>
            <w:pPr>
              <w:jc w:val="center"/>
              <w:ind w:right="3900"/>
              <w:spacing w:after="0"/>
              <w:rPr>
                <w:sz w:val="20"/>
                <w:szCs w:val="20"/>
                <w:color w:val="auto"/>
              </w:rPr>
            </w:pPr>
            <w:r>
              <w:rPr>
                <w:rFonts w:ascii="Arial" w:cs="Arial" w:eastAsia="Arial" w:hAnsi="Arial"/>
                <w:sz w:val="18"/>
                <w:szCs w:val="18"/>
                <w:b w:val="1"/>
                <w:bCs w:val="1"/>
                <w:color w:val="auto"/>
                <w:w w:val="89"/>
              </w:rPr>
              <w:t>Princeton Junction, New Jersey</w:t>
            </w:r>
          </w:p>
        </w:tc>
        <w:tc>
          <w:tcPr>
            <w:tcW w:w="162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30"/>
        </w:trPr>
        <w:tc>
          <w:tcPr>
            <w:tcW w:w="6740" w:type="dxa"/>
            <w:vAlign w:val="bottom"/>
            <w:gridSpan w:val="3"/>
          </w:tcPr>
          <w:p>
            <w:pPr>
              <w:jc w:val="center"/>
              <w:ind w:right="3900"/>
              <w:spacing w:after="0"/>
              <w:rPr>
                <w:sz w:val="20"/>
                <w:szCs w:val="20"/>
                <w:color w:val="auto"/>
              </w:rPr>
            </w:pPr>
            <w:r>
              <w:rPr>
                <w:rFonts w:ascii="Arial" w:cs="Arial" w:eastAsia="Arial" w:hAnsi="Arial"/>
                <w:sz w:val="18"/>
                <w:szCs w:val="18"/>
                <w:color w:val="auto"/>
                <w:w w:val="92"/>
              </w:rPr>
              <w:t>(Address of principal executive offices)</w:t>
            </w:r>
          </w:p>
        </w:tc>
        <w:tc>
          <w:tcPr>
            <w:tcW w:w="1620" w:type="dxa"/>
            <w:vAlign w:val="bottom"/>
          </w:tcPr>
          <w:p>
            <w:pPr>
              <w:jc w:val="center"/>
              <w:ind w:left="210"/>
              <w:spacing w:after="0"/>
              <w:rPr>
                <w:sz w:val="20"/>
                <w:szCs w:val="20"/>
                <w:color w:val="auto"/>
              </w:rPr>
            </w:pPr>
            <w:r>
              <w:rPr>
                <w:rFonts w:ascii="Arial" w:cs="Arial" w:eastAsia="Arial" w:hAnsi="Arial"/>
                <w:sz w:val="18"/>
                <w:szCs w:val="18"/>
                <w:color w:val="auto"/>
                <w:w w:val="94"/>
              </w:rPr>
              <w:t>(Zip Code)</w:t>
            </w:r>
          </w:p>
        </w:tc>
      </w:tr>
      <w:tr>
        <w:trPr>
          <w:trHeight w:val="445"/>
        </w:trPr>
        <w:tc>
          <w:tcPr>
            <w:tcW w:w="5700" w:type="dxa"/>
            <w:vAlign w:val="bottom"/>
            <w:gridSpan w:val="2"/>
          </w:tcPr>
          <w:p>
            <w:pPr>
              <w:jc w:val="center"/>
              <w:ind w:left="3319"/>
              <w:spacing w:after="0"/>
              <w:rPr>
                <w:sz w:val="20"/>
                <w:szCs w:val="20"/>
                <w:color w:val="auto"/>
              </w:rPr>
            </w:pPr>
            <w:r>
              <w:rPr>
                <w:rFonts w:ascii="Arial" w:cs="Arial" w:eastAsia="Arial" w:hAnsi="Arial"/>
                <w:sz w:val="18"/>
                <w:szCs w:val="18"/>
                <w:b w:val="1"/>
                <w:bCs w:val="1"/>
                <w:color w:val="auto"/>
                <w:w w:val="90"/>
              </w:rPr>
              <w:t>(609) 716-4000</w:t>
            </w: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0"/>
        </w:trPr>
        <w:tc>
          <w:tcPr>
            <w:tcW w:w="6740" w:type="dxa"/>
            <w:vAlign w:val="bottom"/>
            <w:gridSpan w:val="3"/>
          </w:tcPr>
          <w:p>
            <w:pPr>
              <w:jc w:val="center"/>
              <w:ind w:left="2259"/>
              <w:spacing w:after="0"/>
              <w:rPr>
                <w:sz w:val="20"/>
                <w:szCs w:val="20"/>
                <w:color w:val="auto"/>
              </w:rPr>
            </w:pPr>
            <w:r>
              <w:rPr>
                <w:rFonts w:ascii="Arial" w:cs="Arial" w:eastAsia="Arial" w:hAnsi="Arial"/>
                <w:sz w:val="18"/>
                <w:szCs w:val="18"/>
                <w:color w:val="auto"/>
                <w:w w:val="90"/>
              </w:rPr>
              <w:t>(Registrant’s telephone number, including area code)</w:t>
            </w:r>
          </w:p>
        </w:tc>
        <w:tc>
          <w:tcPr>
            <w:tcW w:w="16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4351020</wp:posOffset>
            </wp:positionH>
            <wp:positionV relativeFrom="paragraph">
              <wp:posOffset>-2524760</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-2524760</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-1624330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-1624330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203835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both"/>
        <w:ind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320"/>
        <w:spacing w:after="0"/>
        <w:tabs>
          <w:tab w:leader="none" w:pos="11000" w:val="left"/>
        </w:tabs>
        <w:rPr>
          <w:sz w:val="20"/>
          <w:szCs w:val="20"/>
          <w:color w:val="auto"/>
        </w:rPr>
      </w:pPr>
      <w:r>
        <w:rPr>
          <w:rFonts w:ascii="Arial" w:cs="Arial" w:eastAsia="Arial" w:hAnsi="Arial"/>
          <w:sz w:val="22"/>
          <w:szCs w:val="22"/>
          <w:color w:val="auto"/>
        </w:rPr>
        <w:t>x Yes</w:t>
      </w:r>
      <w:r>
        <w:rPr>
          <w:sz w:val="20"/>
          <w:szCs w:val="20"/>
          <w:color w:val="auto"/>
        </w:rPr>
        <w:tab/>
      </w:r>
      <w:r>
        <w:rPr>
          <w:rFonts w:ascii="Arial" w:cs="Arial" w:eastAsia="Arial" w:hAnsi="Arial"/>
          <w:sz w:val="17"/>
          <w:szCs w:val="17"/>
          <w:color w:val="auto"/>
        </w:rPr>
        <w:t xml:space="preserve">o </w:t>
      </w:r>
      <w:r>
        <w:rPr>
          <w:rFonts w:ascii="Arial" w:cs="Arial" w:eastAsia="Arial" w:hAnsi="Arial"/>
          <w:sz w:val="20"/>
          <w:szCs w:val="20"/>
          <w:color w:val="auto"/>
        </w:rPr>
        <w:t>No</w:t>
      </w:r>
    </w:p>
    <w:p>
      <w:pPr>
        <w:spacing w:after="0" w:line="222" w:lineRule="exact"/>
        <w:rPr>
          <w:sz w:val="24"/>
          <w:szCs w:val="24"/>
          <w:color w:val="auto"/>
        </w:rPr>
      </w:pPr>
    </w:p>
    <w:p>
      <w:pPr>
        <w:jc w:val="both"/>
        <w:ind w:firstLine="648"/>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ectPr>
          <w:pgSz w:w="11900" w:h="16838" w:orient="portrait"/>
          <w:cols w:equalWidth="0" w:num="1">
            <w:col w:w="11420"/>
          </w:cols>
          <w:pgMar w:left="240" w:top="225" w:right="239" w:bottom="1440" w:gutter="0" w:footer="0" w:header="0"/>
        </w:sectPr>
      </w:pPr>
    </w:p>
    <w:p>
      <w:pPr>
        <w:ind w:left="10480"/>
        <w:spacing w:after="0"/>
        <w:rPr>
          <w:sz w:val="20"/>
          <w:szCs w:val="20"/>
          <w:color w:val="auto"/>
        </w:rPr>
      </w:pPr>
      <w:r>
        <w:rPr>
          <w:rFonts w:ascii="Arial" w:cs="Arial" w:eastAsia="Arial" w:hAnsi="Arial"/>
          <w:sz w:val="15"/>
          <w:szCs w:val="15"/>
          <w:color w:val="auto"/>
        </w:rPr>
        <w:t>o 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 No</w:t>
      </w:r>
    </w:p>
    <w:p>
      <w:pPr>
        <w:spacing w:after="0" w:line="200" w:lineRule="exact"/>
        <w:rPr>
          <w:sz w:val="24"/>
          <w:szCs w:val="24"/>
          <w:color w:val="auto"/>
        </w:rPr>
      </w:pPr>
    </w:p>
    <w:p>
      <w:pPr>
        <w:sectPr>
          <w:pgSz w:w="11900" w:h="16838" w:orient="portrait"/>
          <w:cols w:equalWidth="0" w:num="2">
            <w:col w:w="10880" w:space="180"/>
            <w:col w:w="360"/>
          </w:cols>
          <w:pgMar w:left="240" w:top="225" w:right="239" w:bottom="1440" w:gutter="0" w:footer="0" w:header="0"/>
          <w:type w:val="continuous"/>
        </w:sectPr>
      </w:pPr>
    </w:p>
    <w:p>
      <w:pPr>
        <w:spacing w:after="0" w:line="49" w:lineRule="exact"/>
        <w:rPr>
          <w:sz w:val="24"/>
          <w:szCs w:val="24"/>
          <w:color w:val="auto"/>
        </w:rPr>
      </w:pPr>
    </w:p>
    <w:p>
      <w:pPr>
        <w:ind w:right="20" w:firstLine="648"/>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 Large accelerated filer o Accelerated filer o Non-accelerated filer x Smaller reporting company o (Do not check if a smaller reporting company)</w:t>
      </w:r>
    </w:p>
    <w:p>
      <w:pPr>
        <w:spacing w:after="0" w:line="200" w:lineRule="exact"/>
        <w:rPr>
          <w:sz w:val="24"/>
          <w:szCs w:val="24"/>
          <w:color w:val="auto"/>
        </w:rPr>
      </w:pPr>
    </w:p>
    <w:p>
      <w:pPr>
        <w:spacing w:after="0" w:line="23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420"/>
          </w:cols>
          <w:pgMar w:left="240" w:top="225" w:right="239" w:bottom="1440" w:gutter="0" w:footer="0" w:header="0"/>
          <w:type w:val="continuous"/>
        </w:sectPr>
      </w:pPr>
    </w:p>
    <w:p>
      <w:pPr>
        <w:spacing w:after="0" w:line="23" w:lineRule="exact"/>
        <w:rPr>
          <w:sz w:val="24"/>
          <w:szCs w:val="24"/>
          <w:color w:val="auto"/>
        </w:rPr>
      </w:pPr>
    </w:p>
    <w:p>
      <w:pPr>
        <w:ind w:left="10480"/>
        <w:spacing w:after="0"/>
        <w:rPr>
          <w:sz w:val="20"/>
          <w:szCs w:val="20"/>
          <w:color w:val="auto"/>
        </w:rPr>
      </w:pPr>
      <w:r>
        <w:rPr>
          <w:rFonts w:ascii="Arial" w:cs="Arial" w:eastAsia="Arial" w:hAnsi="Arial"/>
          <w:sz w:val="15"/>
          <w:szCs w:val="15"/>
          <w:color w:val="auto"/>
        </w:rPr>
        <w:t>o Yes</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auto"/>
        </w:rPr>
        <w:t>x No</w:t>
      </w:r>
    </w:p>
    <w:p>
      <w:pPr>
        <w:spacing w:after="0" w:line="200" w:lineRule="exact"/>
        <w:rPr>
          <w:sz w:val="24"/>
          <w:szCs w:val="24"/>
          <w:color w:val="auto"/>
        </w:rPr>
      </w:pPr>
    </w:p>
    <w:p>
      <w:pPr>
        <w:sectPr>
          <w:pgSz w:w="11900" w:h="16838" w:orient="portrait"/>
          <w:cols w:equalWidth="0" w:num="2">
            <w:col w:w="10880" w:space="180"/>
            <w:col w:w="360"/>
          </w:cols>
          <w:pgMar w:left="240" w:top="225" w:right="239" w:bottom="1440" w:gutter="0" w:footer="0" w:header="0"/>
          <w:type w:val="continuous"/>
        </w:sectPr>
      </w:pPr>
    </w:p>
    <w:p>
      <w:pPr>
        <w:spacing w:after="0" w:line="49"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As of October 8, 2010, the registrant had 26,664,254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40" w:type="dxa"/>
            <w:vAlign w:val="bottom"/>
            <w:gridSpan w:val="9"/>
          </w:tcPr>
          <w:p>
            <w:pPr>
              <w:jc w:val="center"/>
              <w:ind w:right="3740"/>
              <w:spacing w:after="0"/>
              <w:rPr>
                <w:sz w:val="20"/>
                <w:szCs w:val="20"/>
                <w:color w:val="auto"/>
              </w:rPr>
            </w:pPr>
            <w:r>
              <w:rPr>
                <w:rFonts w:ascii="Arial" w:cs="Arial" w:eastAsia="Arial" w:hAnsi="Arial"/>
                <w:sz w:val="18"/>
                <w:szCs w:val="18"/>
                <w:color w:val="auto"/>
                <w:w w:val="95"/>
              </w:rPr>
              <w:t>TABLE OF CONTENTS</w:t>
            </w:r>
          </w:p>
        </w:tc>
        <w:tc>
          <w:tcPr>
            <w:tcW w:w="720" w:type="dxa"/>
            <w:vAlign w:val="bottom"/>
          </w:tcPr>
          <w:p>
            <w:pPr>
              <w:spacing w:after="0"/>
              <w:rPr>
                <w:sz w:val="20"/>
                <w:szCs w:val="20"/>
                <w:color w:val="auto"/>
              </w:rPr>
            </w:pPr>
          </w:p>
        </w:tc>
      </w:tr>
      <w:tr>
        <w:trPr>
          <w:trHeight w:val="466"/>
        </w:trPr>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PAGE</w:t>
            </w:r>
          </w:p>
        </w:tc>
      </w:tr>
      <w:tr>
        <w:trPr>
          <w:trHeight w:val="176"/>
        </w:trPr>
        <w:tc>
          <w:tcPr>
            <w:tcW w:w="3000" w:type="dxa"/>
            <w:vAlign w:val="bottom"/>
            <w:tcBorders>
              <w:bottom w:val="single" w:sz="8" w:color="0000EE"/>
            </w:tcBorders>
            <w:gridSpan w:val="8"/>
          </w:tcPr>
          <w:p>
            <w:pPr>
              <w:spacing w:after="0" w:line="176"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PART I—FINANCIAL INFORMATION</w:t>
              </w:r>
            </w:hyperlink>
          </w:p>
        </w:tc>
        <w:tc>
          <w:tcPr>
            <w:tcW w:w="7700" w:type="dxa"/>
            <w:vAlign w:val="bottom"/>
            <w:gridSpan w:val="13"/>
          </w:tcPr>
          <w:p>
            <w:pPr>
              <w:spacing w:after="0"/>
              <w:rPr>
                <w:sz w:val="15"/>
                <w:szCs w:val="15"/>
                <w:color w:val="auto"/>
              </w:rPr>
            </w:pPr>
          </w:p>
        </w:tc>
        <w:tc>
          <w:tcPr>
            <w:tcW w:w="720" w:type="dxa"/>
            <w:vAlign w:val="bottom"/>
          </w:tcPr>
          <w:p>
            <w:pPr>
              <w:spacing w:after="0"/>
              <w:rPr>
                <w:sz w:val="15"/>
                <w:szCs w:val="15"/>
                <w:color w:val="auto"/>
              </w:rPr>
            </w:pPr>
          </w:p>
        </w:tc>
      </w:tr>
      <w:tr>
        <w:trPr>
          <w:trHeight w:val="412"/>
        </w:trPr>
        <w:tc>
          <w:tcPr>
            <w:tcW w:w="720" w:type="dxa"/>
            <w:vAlign w:val="bottom"/>
          </w:tcPr>
          <w:p>
            <w:pPr>
              <w:spacing w:after="0"/>
              <w:rPr>
                <w:sz w:val="24"/>
                <w:szCs w:val="24"/>
                <w:color w:val="auto"/>
              </w:rPr>
            </w:pPr>
          </w:p>
        </w:tc>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ITEM 1.</w:t>
              </w:r>
            </w:hyperlink>
          </w:p>
        </w:tc>
        <w:tc>
          <w:tcPr>
            <w:tcW w:w="740" w:type="dxa"/>
            <w:vAlign w:val="bottom"/>
            <w:gridSpan w:val="2"/>
          </w:tcPr>
          <w:p>
            <w:pPr>
              <w:spacing w:after="0"/>
              <w:rPr>
                <w:sz w:val="24"/>
                <w:szCs w:val="24"/>
                <w:color w:val="auto"/>
              </w:rPr>
            </w:pPr>
          </w:p>
        </w:tc>
        <w:tc>
          <w:tcPr>
            <w:tcW w:w="23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24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 as of August 31, 2010 and May 31, 201</w:t>
              </w:r>
            </w:hyperlink>
            <w:r>
              <w:rPr>
                <w:rFonts w:ascii="Arial" w:cs="Arial" w:eastAsia="Arial" w:hAnsi="Arial"/>
                <w:sz w:val="18"/>
                <w:szCs w:val="18"/>
                <w:color w:val="000000"/>
              </w:rPr>
              <w:t>0</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 for the three months ended August 31, 2010 and 2009</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20" w:type="dxa"/>
            <w:vAlign w:val="bottom"/>
            <w:tcBorders>
              <w:top w:val="single" w:sz="8" w:color="0000EE"/>
            </w:tcBorders>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 of Equity as of August 31, 2010 and May 31, 201</w:t>
              </w:r>
            </w:hyperlink>
            <w:r>
              <w:rPr>
                <w:rFonts w:ascii="Arial" w:cs="Arial" w:eastAsia="Arial" w:hAnsi="Arial"/>
                <w:sz w:val="18"/>
                <w:szCs w:val="18"/>
                <w:color w:val="000000"/>
              </w:rPr>
              <w:t>0</w:t>
            </w:r>
          </w:p>
        </w:tc>
        <w:tc>
          <w:tcPr>
            <w:tcW w:w="1100" w:type="dxa"/>
            <w:vAlign w:val="bottom"/>
            <w:gridSpan w:val="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2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 for the three months ended August 31, 2010 and 2009</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Consolidated Financial Statements</w:t>
              </w:r>
            </w:hyperlink>
          </w:p>
        </w:tc>
        <w:tc>
          <w:tcPr>
            <w:tcW w:w="3640" w:type="dxa"/>
            <w:vAlign w:val="bottom"/>
            <w:tcBorders>
              <w:top w:val="single" w:sz="8" w:color="0000EE"/>
            </w:tcBorders>
            <w:gridSpan w:val="7"/>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720" w:type="dxa"/>
            <w:vAlign w:val="bottom"/>
          </w:tcPr>
          <w:p>
            <w:pPr>
              <w:spacing w:after="0"/>
              <w:rPr>
                <w:sz w:val="24"/>
                <w:szCs w:val="24"/>
                <w:color w:val="auto"/>
              </w:rPr>
            </w:pPr>
          </w:p>
        </w:tc>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ITEM 2.</w:t>
              </w:r>
            </w:hyperlink>
          </w:p>
        </w:tc>
        <w:tc>
          <w:tcPr>
            <w:tcW w:w="740" w:type="dxa"/>
            <w:vAlign w:val="bottom"/>
            <w:gridSpan w:val="2"/>
          </w:tcPr>
          <w:p>
            <w:pPr>
              <w:spacing w:after="0"/>
              <w:rPr>
                <w:sz w:val="24"/>
                <w:szCs w:val="24"/>
                <w:color w:val="auto"/>
              </w:rPr>
            </w:pP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2160" w:type="dxa"/>
            <w:vAlign w:val="bottom"/>
            <w:gridSpan w:val="3"/>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72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ITEM 3.</w:t>
              </w:r>
            </w:hyperlink>
          </w:p>
        </w:tc>
        <w:tc>
          <w:tcPr>
            <w:tcW w:w="740" w:type="dxa"/>
            <w:vAlign w:val="bottom"/>
            <w:gridSpan w:val="2"/>
          </w:tcPr>
          <w:p>
            <w:pPr>
              <w:spacing w:after="0"/>
              <w:rPr>
                <w:sz w:val="24"/>
                <w:szCs w:val="24"/>
                <w:color w:val="auto"/>
              </w:rPr>
            </w:pPr>
          </w:p>
        </w:tc>
        <w:tc>
          <w:tcPr>
            <w:tcW w:w="862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720" w:type="dxa"/>
            <w:vAlign w:val="bottom"/>
          </w:tcPr>
          <w:p>
            <w:pPr>
              <w:spacing w:after="0"/>
              <w:rPr>
                <w:sz w:val="24"/>
                <w:szCs w:val="24"/>
                <w:color w:val="auto"/>
              </w:rPr>
            </w:pPr>
          </w:p>
        </w:tc>
        <w:tc>
          <w:tcPr>
            <w:tcW w:w="620" w:type="dxa"/>
            <w:vAlign w:val="bottom"/>
            <w:tcBorders>
              <w:top w:val="single" w:sz="8" w:color="0000EE"/>
            </w:tcBorders>
            <w:gridSpan w:val="2"/>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ITEM 4.</w:t>
              </w:r>
            </w:hyperlink>
          </w:p>
        </w:tc>
        <w:tc>
          <w:tcPr>
            <w:tcW w:w="740" w:type="dxa"/>
            <w:vAlign w:val="bottom"/>
            <w:gridSpan w:val="2"/>
          </w:tcPr>
          <w:p>
            <w:pPr>
              <w:spacing w:after="0"/>
              <w:rPr>
                <w:sz w:val="24"/>
                <w:szCs w:val="24"/>
                <w:color w:val="auto"/>
              </w:rPr>
            </w:pPr>
          </w:p>
        </w:tc>
        <w:tc>
          <w:tcPr>
            <w:tcW w:w="4300" w:type="dxa"/>
            <w:vAlign w:val="bottom"/>
            <w:tcBorders>
              <w:top w:val="single" w:sz="8" w:color="0000EE"/>
            </w:tcBorders>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432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7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268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30">
              <w:r>
                <w:rPr>
                  <w:rFonts w:ascii="Arial" w:cs="Arial" w:eastAsia="Arial" w:hAnsi="Arial"/>
                  <w:sz w:val="18"/>
                  <w:szCs w:val="18"/>
                  <w:color w:val="0000EE"/>
                  <w:w w:val="96"/>
                </w:rPr>
                <w:t>PART II—OTHER INFORMATION</w:t>
              </w:r>
            </w:hyperlink>
          </w:p>
        </w:tc>
        <w:tc>
          <w:tcPr>
            <w:tcW w:w="8020" w:type="dxa"/>
            <w:vAlign w:val="bottom"/>
            <w:gridSpan w:val="15"/>
          </w:tcPr>
          <w:p>
            <w:pPr>
              <w:spacing w:after="0"/>
              <w:rPr>
                <w:sz w:val="24"/>
                <w:szCs w:val="24"/>
                <w:color w:val="auto"/>
              </w:rPr>
            </w:pPr>
          </w:p>
        </w:tc>
        <w:tc>
          <w:tcPr>
            <w:tcW w:w="720" w:type="dxa"/>
            <w:vAlign w:val="bottom"/>
          </w:tcPr>
          <w:p>
            <w:pPr>
              <w:spacing w:after="0"/>
              <w:rPr>
                <w:sz w:val="24"/>
                <w:szCs w:val="24"/>
                <w:color w:val="auto"/>
              </w:rPr>
            </w:pPr>
          </w:p>
        </w:tc>
      </w:tr>
      <w:tr>
        <w:trPr>
          <w:trHeight w:val="412"/>
        </w:trPr>
        <w:tc>
          <w:tcPr>
            <w:tcW w:w="72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ITEM 1.</w:t>
              </w:r>
            </w:hyperlink>
          </w:p>
        </w:tc>
        <w:tc>
          <w:tcPr>
            <w:tcW w:w="740" w:type="dxa"/>
            <w:vAlign w:val="bottom"/>
            <w:gridSpan w:val="2"/>
          </w:tcPr>
          <w:p>
            <w:pPr>
              <w:spacing w:after="0"/>
              <w:rPr>
                <w:sz w:val="24"/>
                <w:szCs w:val="24"/>
                <w:color w:val="auto"/>
              </w:rPr>
            </w:pPr>
          </w:p>
        </w:tc>
        <w:tc>
          <w:tcPr>
            <w:tcW w:w="862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136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862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72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ITEM 2.</w:t>
              </w:r>
            </w:hyperlink>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2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720" w:type="dxa"/>
            <w:vAlign w:val="bottom"/>
          </w:tcPr>
          <w:p>
            <w:pPr>
              <w:spacing w:after="0"/>
              <w:rPr>
                <w:sz w:val="24"/>
                <w:szCs w:val="24"/>
                <w:color w:val="auto"/>
              </w:rPr>
            </w:pPr>
          </w:p>
        </w:tc>
        <w:tc>
          <w:tcPr>
            <w:tcW w:w="6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ITEM 3.</w:t>
              </w:r>
            </w:hyperlink>
          </w:p>
        </w:tc>
        <w:tc>
          <w:tcPr>
            <w:tcW w:w="740" w:type="dxa"/>
            <w:vAlign w:val="bottom"/>
            <w:gridSpan w:val="2"/>
          </w:tcPr>
          <w:p>
            <w:pPr>
              <w:spacing w:after="0"/>
              <w:rPr>
                <w:sz w:val="24"/>
                <w:szCs w:val="24"/>
                <w:color w:val="auto"/>
              </w:rPr>
            </w:pPr>
          </w:p>
        </w:tc>
        <w:tc>
          <w:tcPr>
            <w:tcW w:w="23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24"/>
                <w:szCs w:val="24"/>
                <w:color w:val="auto"/>
              </w:rPr>
            </w:pPr>
          </w:p>
        </w:tc>
        <w:tc>
          <w:tcPr>
            <w:tcW w:w="4280" w:type="dxa"/>
            <w:vAlign w:val="bottom"/>
            <w:gridSpan w:val="6"/>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72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ITEM 5.</w:t>
              </w:r>
            </w:hyperlink>
          </w:p>
        </w:tc>
        <w:tc>
          <w:tcPr>
            <w:tcW w:w="740" w:type="dxa"/>
            <w:vAlign w:val="bottom"/>
            <w:gridSpan w:val="2"/>
          </w:tcPr>
          <w:p>
            <w:pPr>
              <w:spacing w:after="0"/>
              <w:rPr>
                <w:sz w:val="24"/>
                <w:szCs w:val="24"/>
                <w:color w:val="auto"/>
              </w:rPr>
            </w:pPr>
          </w:p>
        </w:tc>
        <w:tc>
          <w:tcPr>
            <w:tcW w:w="8620" w:type="dxa"/>
            <w:vAlign w:val="bottom"/>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720" w:type="dxa"/>
            <w:vAlign w:val="bottom"/>
          </w:tcPr>
          <w:p>
            <w:pPr>
              <w:spacing w:after="0"/>
              <w:rPr>
                <w:sz w:val="24"/>
                <w:szCs w:val="24"/>
                <w:color w:val="auto"/>
              </w:rPr>
            </w:pPr>
          </w:p>
        </w:tc>
        <w:tc>
          <w:tcPr>
            <w:tcW w:w="6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ITEM 6.</w:t>
              </w:r>
            </w:hyperlink>
          </w:p>
        </w:tc>
        <w:tc>
          <w:tcPr>
            <w:tcW w:w="74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720" w:type="dxa"/>
            <w:vAlign w:val="bottom"/>
            <w:tcBorders>
              <w:top w:val="single" w:sz="8" w:color="0000EE"/>
            </w:tcBorders>
            <w:gridSpan w:val="3"/>
          </w:tcPr>
          <w:p>
            <w:pPr>
              <w:spacing w:after="0"/>
              <w:rPr>
                <w:sz w:val="24"/>
                <w:szCs w:val="24"/>
                <w:color w:val="auto"/>
              </w:rPr>
            </w:pPr>
          </w:p>
        </w:tc>
        <w:tc>
          <w:tcPr>
            <w:tcW w:w="7300" w:type="dxa"/>
            <w:vAlign w:val="bottom"/>
            <w:gridSpan w:val="12"/>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1240" w:type="dxa"/>
            <w:vAlign w:val="bottom"/>
            <w:tcBorders>
              <w:bottom w:val="single" w:sz="8" w:color="0000EE"/>
            </w:tcBorders>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84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208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628"/>
        </w:trPr>
        <w:tc>
          <w:tcPr>
            <w:tcW w:w="7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40" w:type="dxa"/>
            <w:vAlign w:val="bottom"/>
            <w:gridSpan w:val="9"/>
          </w:tcPr>
          <w:p>
            <w:pPr>
              <w:jc w:val="center"/>
              <w:ind w:right="3740"/>
              <w:spacing w:after="0"/>
              <w:rPr>
                <w:sz w:val="20"/>
                <w:szCs w:val="20"/>
                <w:color w:val="auto"/>
              </w:rPr>
            </w:pPr>
            <w:r>
              <w:rPr>
                <w:rFonts w:ascii="Arial" w:cs="Arial" w:eastAsia="Arial" w:hAnsi="Arial"/>
                <w:sz w:val="18"/>
                <w:szCs w:val="18"/>
                <w:color w:val="auto"/>
              </w:rPr>
              <w:t>-i-</w:t>
            </w:r>
          </w:p>
        </w:tc>
        <w:tc>
          <w:tcPr>
            <w:tcW w:w="720" w:type="dxa"/>
            <w:vAlign w:val="bottom"/>
          </w:tcPr>
          <w:p>
            <w:pPr>
              <w:spacing w:after="0"/>
              <w:rPr>
                <w:sz w:val="24"/>
                <w:szCs w:val="24"/>
                <w:color w:val="auto"/>
              </w:rPr>
            </w:pPr>
          </w:p>
        </w:tc>
      </w:tr>
      <w:tr>
        <w:trPr>
          <w:trHeight w:val="118"/>
        </w:trPr>
        <w:tc>
          <w:tcPr>
            <w:tcW w:w="7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40" w:type="dxa"/>
            <w:vAlign w:val="bottom"/>
          </w:tcPr>
          <w:p>
            <w:pPr>
              <w:jc w:val="center"/>
              <w:ind w:left="1670"/>
              <w:spacing w:after="0"/>
              <w:rPr>
                <w:sz w:val="20"/>
                <w:szCs w:val="20"/>
                <w:color w:val="auto"/>
              </w:rPr>
            </w:pPr>
            <w:r>
              <w:rPr>
                <w:rFonts w:ascii="Arial" w:cs="Arial" w:eastAsia="Arial" w:hAnsi="Arial"/>
                <w:sz w:val="18"/>
                <w:szCs w:val="18"/>
                <w:b w:val="1"/>
                <w:bCs w:val="1"/>
                <w:color w:val="auto"/>
              </w:rPr>
              <w:t>PART I—FINANCIAL INFORMATION</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 (unaudited)</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40" w:type="dxa"/>
            <w:vAlign w:val="bottom"/>
          </w:tcPr>
          <w:p>
            <w:pPr>
              <w:jc w:val="center"/>
              <w:ind w:left="1670"/>
              <w:spacing w:after="0"/>
              <w:rPr>
                <w:sz w:val="20"/>
                <w:szCs w:val="20"/>
                <w:color w:val="auto"/>
              </w:rPr>
            </w:pPr>
            <w:r>
              <w:rPr>
                <w:rFonts w:ascii="Arial" w:cs="Arial" w:eastAsia="Arial" w:hAnsi="Arial"/>
                <w:sz w:val="18"/>
                <w:szCs w:val="18"/>
                <w:b w:val="1"/>
                <w:bCs w:val="1"/>
                <w:color w:val="auto"/>
                <w:w w:val="90"/>
              </w:rPr>
              <w:t>Mistras Group, Inc. and Subsidiaries</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40" w:type="dxa"/>
            <w:vAlign w:val="bottom"/>
          </w:tcPr>
          <w:p>
            <w:pPr>
              <w:jc w:val="center"/>
              <w:ind w:left="1650"/>
              <w:spacing w:after="0"/>
              <w:rPr>
                <w:sz w:val="20"/>
                <w:szCs w:val="20"/>
                <w:color w:val="auto"/>
              </w:rPr>
            </w:pPr>
            <w:r>
              <w:rPr>
                <w:rFonts w:ascii="Arial" w:cs="Arial" w:eastAsia="Arial" w:hAnsi="Arial"/>
                <w:sz w:val="18"/>
                <w:szCs w:val="18"/>
                <w:b w:val="1"/>
                <w:bCs w:val="1"/>
                <w:color w:val="auto"/>
                <w:w w:val="88"/>
              </w:rPr>
              <w:t>Unaudited Consolidated Balance Sheets</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40" w:type="dxa"/>
            <w:vAlign w:val="bottom"/>
          </w:tcPr>
          <w:p>
            <w:pPr>
              <w:jc w:val="center"/>
              <w:ind w:left="16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August 31, 2010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May 31,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ASSETS</w:t>
            </w:r>
          </w:p>
        </w:tc>
        <w:tc>
          <w:tcPr>
            <w:tcW w:w="5640" w:type="dxa"/>
            <w:vAlign w:val="bottom"/>
            <w:shd w:val="clear" w:color="auto" w:fill="EAF9E8"/>
          </w:tcPr>
          <w:p>
            <w:pPr>
              <w:spacing w:after="0"/>
              <w:rPr>
                <w:sz w:val="18"/>
                <w:szCs w:val="18"/>
                <w:color w:val="auto"/>
              </w:rPr>
            </w:pPr>
          </w:p>
        </w:tc>
        <w:tc>
          <w:tcPr>
            <w:tcW w:w="140" w:type="dxa"/>
            <w:vAlign w:val="bottom"/>
            <w:tcBorders>
              <w:top w:val="single" w:sz="8" w:color="auto"/>
            </w:tcBorders>
            <w:shd w:val="clear" w:color="auto" w:fill="EAF9E8"/>
          </w:tcPr>
          <w:p>
            <w:pPr>
              <w:spacing w:after="0"/>
              <w:rPr>
                <w:sz w:val="18"/>
                <w:szCs w:val="18"/>
                <w:color w:val="auto"/>
              </w:rPr>
            </w:pPr>
          </w:p>
        </w:tc>
        <w:tc>
          <w:tcPr>
            <w:tcW w:w="148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tcBorders>
              <w:top w:val="single" w:sz="8" w:color="auto"/>
            </w:tcBorders>
            <w:shd w:val="clear" w:color="auto" w:fill="EAF9E8"/>
          </w:tcPr>
          <w:p>
            <w:pPr>
              <w:spacing w:after="0"/>
              <w:rPr>
                <w:sz w:val="18"/>
                <w:szCs w:val="18"/>
                <w:color w:val="auto"/>
              </w:rPr>
            </w:pPr>
          </w:p>
        </w:tc>
        <w:tc>
          <w:tcPr>
            <w:tcW w:w="140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Current Assets</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13,855</w:t>
            </w:r>
          </w:p>
        </w:tc>
        <w:tc>
          <w:tcPr>
            <w:tcW w:w="3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w w:val="92"/>
              </w:rPr>
              <w:t>Accounts receivable, net</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51,877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Inventories, net</w:t>
            </w:r>
          </w:p>
        </w:tc>
        <w:tc>
          <w:tcPr>
            <w:tcW w:w="56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8,982</w:t>
            </w: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EAF9E8"/>
            </w:tcBorders>
            <w:gridSpan w:val="2"/>
            <w:shd w:val="clear" w:color="auto" w:fill="EAF9E8"/>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EAF9E8"/>
          </w:tcPr>
          <w:p>
            <w:pPr>
              <w:spacing w:after="0"/>
              <w:rPr>
                <w:sz w:val="19"/>
                <w:szCs w:val="19"/>
                <w:color w:val="auto"/>
              </w:rPr>
            </w:pPr>
          </w:p>
        </w:tc>
        <w:tc>
          <w:tcPr>
            <w:tcW w:w="14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5,334</w:t>
            </w:r>
          </w:p>
        </w:tc>
        <w:tc>
          <w:tcPr>
            <w:tcW w:w="26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auto"/>
            </w:tcBorders>
            <w:shd w:val="clear" w:color="auto" w:fill="EAF9E8"/>
          </w:tcPr>
          <w:p>
            <w:pPr>
              <w:spacing w:after="0"/>
              <w:rPr>
                <w:sz w:val="19"/>
                <w:szCs w:val="19"/>
                <w:color w:val="auto"/>
              </w:rPr>
            </w:pPr>
          </w:p>
        </w:tc>
        <w:tc>
          <w:tcPr>
            <w:tcW w:w="1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82,320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40,469</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39,981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Intangible assets, net</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17,695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16,088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EAF9E8"/>
          </w:tcPr>
          <w:p>
            <w:pPr>
              <w:spacing w:after="0"/>
              <w:rPr>
                <w:sz w:val="20"/>
                <w:szCs w:val="20"/>
                <w:color w:val="auto"/>
              </w:rPr>
            </w:pPr>
            <w:r>
              <w:rPr>
                <w:rFonts w:ascii="Arial" w:cs="Arial" w:eastAsia="Arial" w:hAnsi="Arial"/>
                <w:sz w:val="18"/>
                <w:szCs w:val="18"/>
                <w:color w:val="auto"/>
              </w:rPr>
              <w:t>Goodwill</w:t>
            </w:r>
          </w:p>
        </w:tc>
        <w:tc>
          <w:tcPr>
            <w:tcW w:w="56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7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47,622</w:t>
            </w: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44,315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Other assets</w:t>
            </w:r>
          </w:p>
        </w:tc>
        <w:tc>
          <w:tcPr>
            <w:tcW w:w="5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assets</w:t>
            </w:r>
          </w:p>
        </w:tc>
        <w:tc>
          <w:tcPr>
            <w:tcW w:w="564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188,310</w:t>
            </w:r>
          </w:p>
        </w:tc>
        <w:tc>
          <w:tcPr>
            <w:tcW w:w="260" w:type="dxa"/>
            <w:vAlign w:val="bottom"/>
            <w:shd w:val="clear" w:color="auto" w:fill="EAF9E8"/>
          </w:tcPr>
          <w:p>
            <w:pPr>
              <w:spacing w:after="0"/>
              <w:rPr>
                <w:sz w:val="22"/>
                <w:szCs w:val="22"/>
                <w:color w:val="auto"/>
              </w:rPr>
            </w:pPr>
          </w:p>
        </w:tc>
        <w:tc>
          <w:tcPr>
            <w:tcW w:w="3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188,632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Borders>
              <w:top w:val="single" w:sz="8" w:color="EAF9E8"/>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LIABILITIES, PREFERRED STOCK AND EQUITY</w:t>
            </w: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6,579</w:t>
            </w:r>
          </w:p>
        </w:tc>
        <w:tc>
          <w:tcPr>
            <w:tcW w:w="260" w:type="dxa"/>
            <w:vAlign w:val="bottom"/>
            <w:shd w:val="clear" w:color="auto" w:fill="EAF9E8"/>
          </w:tcPr>
          <w:p>
            <w:pPr>
              <w:spacing w:after="0"/>
              <w:rPr>
                <w:sz w:val="18"/>
                <w:szCs w:val="18"/>
                <w:color w:val="auto"/>
              </w:rPr>
            </w:pPr>
          </w:p>
        </w:tc>
        <w:tc>
          <w:tcPr>
            <w:tcW w:w="3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Accounts payable</w:t>
            </w:r>
          </w:p>
        </w:tc>
        <w:tc>
          <w:tcPr>
            <w:tcW w:w="56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4,553</w:t>
            </w: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19,263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20,090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Income taxes payable</w:t>
            </w:r>
          </w:p>
        </w:tc>
        <w:tc>
          <w:tcPr>
            <w:tcW w:w="564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auto"/>
            </w:tcBorders>
            <w:shd w:val="clear" w:color="auto" w:fill="EAF9E8"/>
          </w:tcPr>
          <w:p>
            <w:pPr>
              <w:spacing w:after="0"/>
              <w:rPr>
                <w:sz w:val="19"/>
                <w:szCs w:val="19"/>
                <w:color w:val="auto"/>
              </w:rPr>
            </w:pPr>
          </w:p>
        </w:tc>
        <w:tc>
          <w:tcPr>
            <w:tcW w:w="14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2,332</w:t>
            </w:r>
          </w:p>
        </w:tc>
        <w:tc>
          <w:tcPr>
            <w:tcW w:w="26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auto"/>
            </w:tcBorders>
            <w:shd w:val="clear" w:color="auto" w:fill="EAF9E8"/>
          </w:tcPr>
          <w:p>
            <w:pPr>
              <w:spacing w:after="0"/>
              <w:rPr>
                <w:sz w:val="19"/>
                <w:szCs w:val="19"/>
                <w:color w:val="auto"/>
              </w:rPr>
            </w:pPr>
          </w:p>
        </w:tc>
        <w:tc>
          <w:tcPr>
            <w:tcW w:w="1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320"/>
              <w:spacing w:after="0"/>
              <w:rPr>
                <w:sz w:val="20"/>
                <w:szCs w:val="20"/>
                <w:color w:val="auto"/>
              </w:rPr>
            </w:pPr>
            <w:r>
              <w:rPr>
                <w:rFonts w:ascii="Arial" w:cs="Arial" w:eastAsia="Arial" w:hAnsi="Arial"/>
                <w:sz w:val="18"/>
                <w:szCs w:val="18"/>
                <w:color w:val="auto"/>
                <w:w w:val="95"/>
              </w:rPr>
              <w:t>Total current liabilities</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37,946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39,684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6,441</w:t>
            </w: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8,467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EAF9E8"/>
          </w:tcPr>
          <w:p>
            <w:pPr>
              <w:spacing w:after="0"/>
              <w:rPr>
                <w:sz w:val="20"/>
                <w:szCs w:val="20"/>
                <w:color w:val="auto"/>
              </w:rPr>
            </w:pPr>
            <w:r>
              <w:rPr>
                <w:rFonts w:ascii="Arial" w:cs="Arial" w:eastAsia="Arial" w:hAnsi="Arial"/>
                <w:sz w:val="18"/>
                <w:szCs w:val="18"/>
                <w:color w:val="auto"/>
              </w:rPr>
              <w:t>Deferred income taxes</w:t>
            </w:r>
          </w:p>
        </w:tc>
        <w:tc>
          <w:tcPr>
            <w:tcW w:w="56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2,032</w:t>
            </w: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w w:val="99"/>
              </w:rPr>
              <w:t>Other long-term liabilities</w:t>
            </w:r>
          </w:p>
        </w:tc>
        <w:tc>
          <w:tcPr>
            <w:tcW w:w="5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Total liabilities</w:t>
            </w:r>
          </w:p>
        </w:tc>
        <w:tc>
          <w:tcPr>
            <w:tcW w:w="56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7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55,548</w:t>
            </w:r>
          </w:p>
        </w:tc>
        <w:tc>
          <w:tcPr>
            <w:tcW w:w="2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58,078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EAF9E8"/>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6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Preferred stock, 10,000,000 shares authorized</w:t>
            </w: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EAF9E8"/>
          </w:tcPr>
          <w:p>
            <w:pPr>
              <w:spacing w:after="0"/>
              <w:rPr>
                <w:sz w:val="20"/>
                <w:szCs w:val="20"/>
                <w:color w:val="auto"/>
              </w:rPr>
            </w:pPr>
            <w:r>
              <w:rPr>
                <w:rFonts w:ascii="Arial" w:cs="Arial" w:eastAsia="Arial" w:hAnsi="Arial"/>
                <w:sz w:val="18"/>
                <w:szCs w:val="18"/>
                <w:color w:val="auto"/>
              </w:rPr>
              <w:t>Equity</w:t>
            </w:r>
          </w:p>
        </w:tc>
        <w:tc>
          <w:tcPr>
            <w:tcW w:w="56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3"/>
              </w:rPr>
              <w:t>Common stock, $0.01 par value, 200,000,000 shares authorized, 26,664,254 and 26,663,528 shares</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tcPr>
          <w:p>
            <w:pPr>
              <w:ind w:left="320"/>
              <w:spacing w:after="0"/>
              <w:rPr>
                <w:sz w:val="20"/>
                <w:szCs w:val="20"/>
                <w:color w:val="auto"/>
              </w:rPr>
            </w:pPr>
            <w:r>
              <w:rPr>
                <w:rFonts w:ascii="Arial" w:cs="Arial" w:eastAsia="Arial" w:hAnsi="Arial"/>
                <w:sz w:val="18"/>
                <w:szCs w:val="18"/>
                <w:color w:val="auto"/>
              </w:rPr>
              <w:t>issued and outstanding as of August 31, 2010 and May 31, 2010, respectively</w:t>
            </w:r>
          </w:p>
        </w:tc>
        <w:tc>
          <w:tcPr>
            <w:tcW w:w="140" w:type="dxa"/>
            <w:vAlign w:val="bottom"/>
          </w:tcPr>
          <w:p>
            <w:pPr>
              <w:spacing w:after="0"/>
              <w:rPr>
                <w:sz w:val="20"/>
                <w:szCs w:val="20"/>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3"/>
              </w:rPr>
              <w:t>Additional paid-in capital</w:t>
            </w:r>
          </w:p>
        </w:tc>
        <w:tc>
          <w:tcPr>
            <w:tcW w:w="56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162,783</w:t>
            </w: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(28,856)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(30,448)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EAF9E8"/>
          </w:tcPr>
          <w:p>
            <w:pPr>
              <w:spacing w:after="0"/>
              <w:rPr>
                <w:sz w:val="19"/>
                <w:szCs w:val="19"/>
                <w:color w:val="auto"/>
              </w:rPr>
            </w:pPr>
          </w:p>
        </w:tc>
        <w:tc>
          <w:tcPr>
            <w:tcW w:w="17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(1,797)</w:t>
            </w:r>
          </w:p>
        </w:tc>
        <w:tc>
          <w:tcPr>
            <w:tcW w:w="200" w:type="dxa"/>
            <w:vAlign w:val="bottom"/>
            <w:shd w:val="clear" w:color="auto" w:fill="EAF9E8"/>
          </w:tcPr>
          <w:p>
            <w:pPr>
              <w:spacing w:after="0"/>
              <w:rPr>
                <w:sz w:val="19"/>
                <w:szCs w:val="19"/>
                <w:color w:val="auto"/>
              </w:rPr>
            </w:pPr>
          </w:p>
        </w:tc>
        <w:tc>
          <w:tcPr>
            <w:tcW w:w="180" w:type="dxa"/>
            <w:vAlign w:val="bottom"/>
            <w:shd w:val="clear" w:color="auto" w:fill="EAF9E8"/>
          </w:tcPr>
          <w:p>
            <w:pPr>
              <w:spacing w:after="0"/>
              <w:rPr>
                <w:sz w:val="19"/>
                <w:szCs w:val="19"/>
                <w:color w:val="auto"/>
              </w:rPr>
            </w:pPr>
          </w:p>
        </w:tc>
        <w:tc>
          <w:tcPr>
            <w:tcW w:w="15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EAF9E8"/>
            </w:tcBorders>
            <w:gridSpan w:val="2"/>
          </w:tcPr>
          <w:p>
            <w:pPr>
              <w:ind w:left="160"/>
              <w:spacing w:after="0"/>
              <w:rPr>
                <w:sz w:val="20"/>
                <w:szCs w:val="20"/>
                <w:color w:val="auto"/>
              </w:rPr>
            </w:pPr>
            <w:r>
              <w:rPr>
                <w:rFonts w:ascii="Arial" w:cs="Arial" w:eastAsia="Arial" w:hAnsi="Arial"/>
                <w:sz w:val="18"/>
                <w:szCs w:val="18"/>
                <w:color w:val="auto"/>
              </w:rPr>
              <w:t>Total Mistras Group, Inc. stockholders’ equity</w:t>
            </w: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132,397</w:t>
            </w:r>
          </w:p>
        </w:tc>
        <w:tc>
          <w:tcPr>
            <w:tcW w:w="260" w:type="dxa"/>
            <w:vAlign w:val="bottom"/>
            <w:tcBorders>
              <w:top w:val="single" w:sz="8" w:color="EAF9E8"/>
            </w:tcBorders>
          </w:tcPr>
          <w:p>
            <w:pPr>
              <w:spacing w:after="0"/>
              <w:rPr>
                <w:sz w:val="18"/>
                <w:szCs w:val="18"/>
                <w:color w:val="auto"/>
              </w:rPr>
            </w:pPr>
          </w:p>
        </w:tc>
        <w:tc>
          <w:tcPr>
            <w:tcW w:w="200" w:type="dxa"/>
            <w:vAlign w:val="bottom"/>
            <w:tcBorders>
              <w:top w:val="single" w:sz="8" w:color="EAF9E8"/>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130,286</w:t>
            </w:r>
          </w:p>
        </w:tc>
        <w:tc>
          <w:tcPr>
            <w:tcW w:w="100" w:type="dxa"/>
            <w:vAlign w:val="bottom"/>
            <w:tcBorders>
              <w:top w:val="single" w:sz="8" w:color="EAF9E8"/>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Noncontrolling interest</w:t>
            </w:r>
          </w:p>
        </w:tc>
        <w:tc>
          <w:tcPr>
            <w:tcW w:w="5640" w:type="dxa"/>
            <w:vAlign w:val="bottom"/>
            <w:tcBorders>
              <w:bottom w:val="single" w:sz="8" w:color="EAF9E8"/>
            </w:tcBorders>
            <w:shd w:val="clear" w:color="auto" w:fill="EAF9E8"/>
          </w:tcPr>
          <w:p>
            <w:pPr>
              <w:spacing w:after="0"/>
              <w:rPr>
                <w:sz w:val="19"/>
                <w:szCs w:val="19"/>
                <w:color w:val="auto"/>
              </w:rPr>
            </w:pPr>
          </w:p>
        </w:tc>
        <w:tc>
          <w:tcPr>
            <w:tcW w:w="140" w:type="dxa"/>
            <w:vAlign w:val="bottom"/>
            <w:tcBorders>
              <w:bottom w:val="single" w:sz="8" w:color="auto"/>
            </w:tcBorders>
            <w:shd w:val="clear" w:color="auto" w:fill="EAF9E8"/>
          </w:tcPr>
          <w:p>
            <w:pPr>
              <w:spacing w:after="0"/>
              <w:rPr>
                <w:sz w:val="19"/>
                <w:szCs w:val="19"/>
                <w:color w:val="auto"/>
              </w:rPr>
            </w:pPr>
          </w:p>
        </w:tc>
        <w:tc>
          <w:tcPr>
            <w:tcW w:w="14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365</w:t>
            </w:r>
          </w:p>
        </w:tc>
        <w:tc>
          <w:tcPr>
            <w:tcW w:w="260" w:type="dxa"/>
            <w:vAlign w:val="bottom"/>
            <w:tcBorders>
              <w:bottom w:val="single" w:sz="8" w:color="EAF9E8"/>
            </w:tcBorders>
            <w:shd w:val="clear" w:color="auto" w:fill="EAF9E8"/>
          </w:tcPr>
          <w:p>
            <w:pPr>
              <w:spacing w:after="0"/>
              <w:rPr>
                <w:sz w:val="19"/>
                <w:szCs w:val="19"/>
                <w:color w:val="auto"/>
              </w:rPr>
            </w:pPr>
          </w:p>
        </w:tc>
        <w:tc>
          <w:tcPr>
            <w:tcW w:w="200" w:type="dxa"/>
            <w:vAlign w:val="bottom"/>
            <w:tcBorders>
              <w:bottom w:val="single" w:sz="8" w:color="EAF9E8"/>
            </w:tcBorders>
            <w:shd w:val="clear" w:color="auto" w:fill="EAF9E8"/>
          </w:tcPr>
          <w:p>
            <w:pPr>
              <w:spacing w:after="0"/>
              <w:rPr>
                <w:sz w:val="19"/>
                <w:szCs w:val="19"/>
                <w:color w:val="auto"/>
              </w:rPr>
            </w:pPr>
          </w:p>
        </w:tc>
        <w:tc>
          <w:tcPr>
            <w:tcW w:w="180" w:type="dxa"/>
            <w:vAlign w:val="bottom"/>
            <w:tcBorders>
              <w:bottom w:val="single" w:sz="8" w:color="auto"/>
            </w:tcBorders>
            <w:shd w:val="clear" w:color="auto" w:fill="EAF9E8"/>
          </w:tcPr>
          <w:p>
            <w:pPr>
              <w:spacing w:after="0"/>
              <w:rPr>
                <w:sz w:val="19"/>
                <w:szCs w:val="19"/>
                <w:color w:val="auto"/>
              </w:rPr>
            </w:pPr>
          </w:p>
        </w:tc>
        <w:tc>
          <w:tcPr>
            <w:tcW w:w="14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ind w:left="320"/>
              <w:spacing w:after="0"/>
              <w:rPr>
                <w:sz w:val="20"/>
                <w:szCs w:val="20"/>
                <w:color w:val="auto"/>
              </w:rPr>
            </w:pPr>
            <w:r>
              <w:rPr>
                <w:rFonts w:ascii="Arial" w:cs="Arial" w:eastAsia="Arial" w:hAnsi="Arial"/>
                <w:sz w:val="18"/>
                <w:szCs w:val="18"/>
                <w:color w:val="auto"/>
              </w:rPr>
              <w:t>Total equity</w:t>
            </w:r>
          </w:p>
        </w:tc>
        <w:tc>
          <w:tcPr>
            <w:tcW w:w="5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Total liabilities, preferred stock and equity</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188,310</w:t>
            </w:r>
          </w:p>
        </w:tc>
        <w:tc>
          <w:tcPr>
            <w:tcW w:w="260" w:type="dxa"/>
            <w:vAlign w:val="bottom"/>
            <w:shd w:val="clear" w:color="auto" w:fill="EAF9E8"/>
          </w:tcPr>
          <w:p>
            <w:pPr>
              <w:spacing w:after="0"/>
              <w:rPr>
                <w:sz w:val="20"/>
                <w:szCs w:val="20"/>
                <w:color w:val="auto"/>
              </w:rPr>
            </w:pPr>
          </w:p>
        </w:tc>
        <w:tc>
          <w:tcPr>
            <w:tcW w:w="3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188,632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EAF9E8"/>
            </w:tcBorders>
            <w:shd w:val="clear" w:color="auto" w:fill="EAF9E8"/>
          </w:tcPr>
          <w:p>
            <w:pPr>
              <w:spacing w:after="0" w:line="20" w:lineRule="exact"/>
              <w:rPr>
                <w:sz w:val="1"/>
                <w:szCs w:val="1"/>
                <w:color w:val="auto"/>
              </w:rPr>
            </w:pPr>
          </w:p>
        </w:tc>
        <w:tc>
          <w:tcPr>
            <w:tcW w:w="564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52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4"/>
              </w:rPr>
              <w:t>For the three months ended August 31,</w:t>
            </w: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13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3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61,252</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51,656</w:t>
            </w:r>
          </w:p>
        </w:tc>
      </w:tr>
      <w:tr>
        <w:trPr>
          <w:trHeight w:val="223"/>
        </w:trPr>
        <w:tc>
          <w:tcPr>
            <w:tcW w:w="20" w:type="dxa"/>
            <w:vAlign w:val="bottom"/>
          </w:tcPr>
          <w:p>
            <w:pPr>
              <w:spacing w:after="0"/>
              <w:rPr>
                <w:sz w:val="19"/>
                <w:szCs w:val="19"/>
                <w:color w:val="auto"/>
              </w:rPr>
            </w:pPr>
          </w:p>
        </w:tc>
        <w:tc>
          <w:tcPr>
            <w:tcW w:w="65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Products</w:t>
            </w:r>
          </w:p>
        </w:tc>
        <w:tc>
          <w:tcPr>
            <w:tcW w:w="136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auto"/>
            </w:tcBorders>
            <w:shd w:val="clear" w:color="auto" w:fill="EAF9E8"/>
          </w:tcPr>
          <w:p>
            <w:pPr>
              <w:spacing w:after="0"/>
              <w:rPr>
                <w:sz w:val="19"/>
                <w:szCs w:val="19"/>
                <w:color w:val="auto"/>
              </w:rPr>
            </w:pPr>
          </w:p>
        </w:tc>
        <w:tc>
          <w:tcPr>
            <w:tcW w:w="5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7,158</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4,433</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1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68,410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56,089</w:t>
            </w:r>
          </w:p>
        </w:tc>
      </w:tr>
      <w:tr>
        <w:trPr>
          <w:trHeight w:val="216"/>
        </w:trPr>
        <w:tc>
          <w:tcPr>
            <w:tcW w:w="20" w:type="dxa"/>
            <w:vAlign w:val="bottom"/>
          </w:tcPr>
          <w:p>
            <w:pPr>
              <w:spacing w:after="0"/>
              <w:rPr>
                <w:sz w:val="18"/>
                <w:szCs w:val="18"/>
                <w:color w:val="auto"/>
              </w:rPr>
            </w:pPr>
          </w:p>
        </w:tc>
        <w:tc>
          <w:tcPr>
            <w:tcW w:w="65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Cost of Revenues:</w:t>
            </w:r>
          </w:p>
        </w:tc>
        <w:tc>
          <w:tcPr>
            <w:tcW w:w="1360" w:type="dxa"/>
            <w:vAlign w:val="bottom"/>
            <w:shd w:val="clear" w:color="auto" w:fill="EAF9E8"/>
          </w:tcPr>
          <w:p>
            <w:pPr>
              <w:spacing w:after="0"/>
              <w:rPr>
                <w:sz w:val="18"/>
                <w:szCs w:val="18"/>
                <w:color w:val="auto"/>
              </w:rPr>
            </w:pPr>
          </w:p>
        </w:tc>
        <w:tc>
          <w:tcPr>
            <w:tcW w:w="960" w:type="dxa"/>
            <w:vAlign w:val="bottom"/>
            <w:tcBorders>
              <w:top w:val="single" w:sz="8" w:color="auto"/>
            </w:tcBorders>
            <w:shd w:val="clear" w:color="auto" w:fill="EAF9E8"/>
          </w:tcPr>
          <w:p>
            <w:pPr>
              <w:spacing w:after="0"/>
              <w:rPr>
                <w:sz w:val="18"/>
                <w:szCs w:val="18"/>
                <w:color w:val="auto"/>
              </w:rPr>
            </w:pPr>
          </w:p>
        </w:tc>
        <w:tc>
          <w:tcPr>
            <w:tcW w:w="54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20" w:type="dxa"/>
            <w:vAlign w:val="bottom"/>
            <w:tcBorders>
              <w:top w:val="single" w:sz="8" w:color="auto"/>
            </w:tcBorders>
            <w:shd w:val="clear" w:color="auto" w:fill="EAF9E8"/>
          </w:tcPr>
          <w:p>
            <w:pPr>
              <w:spacing w:after="0"/>
              <w:rPr>
                <w:sz w:val="18"/>
                <w:szCs w:val="18"/>
                <w:color w:val="auto"/>
              </w:rPr>
            </w:pPr>
          </w:p>
        </w:tc>
        <w:tc>
          <w:tcPr>
            <w:tcW w:w="116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Cost of services</w:t>
            </w: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41,391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34,369</w:t>
            </w:r>
          </w:p>
        </w:tc>
      </w:tr>
      <w:tr>
        <w:trPr>
          <w:trHeight w:val="216"/>
        </w:trPr>
        <w:tc>
          <w:tcPr>
            <w:tcW w:w="20" w:type="dxa"/>
            <w:vAlign w:val="bottom"/>
          </w:tcPr>
          <w:p>
            <w:pPr>
              <w:spacing w:after="0"/>
              <w:rPr>
                <w:sz w:val="18"/>
                <w:szCs w:val="18"/>
                <w:color w:val="auto"/>
              </w:rPr>
            </w:pPr>
          </w:p>
        </w:tc>
        <w:tc>
          <w:tcPr>
            <w:tcW w:w="65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Cost of goods sold</w:t>
            </w:r>
          </w:p>
        </w:tc>
        <w:tc>
          <w:tcPr>
            <w:tcW w:w="13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3,277</w:t>
            </w: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2,099</w:t>
            </w: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Depreciation of services</w:t>
            </w: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2,809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2,280</w:t>
            </w:r>
          </w:p>
        </w:tc>
      </w:tr>
      <w:tr>
        <w:trPr>
          <w:trHeight w:val="223"/>
        </w:trPr>
        <w:tc>
          <w:tcPr>
            <w:tcW w:w="20" w:type="dxa"/>
            <w:vAlign w:val="bottom"/>
          </w:tcPr>
          <w:p>
            <w:pPr>
              <w:spacing w:after="0"/>
              <w:rPr>
                <w:sz w:val="19"/>
                <w:szCs w:val="19"/>
                <w:color w:val="auto"/>
              </w:rPr>
            </w:pPr>
          </w:p>
        </w:tc>
        <w:tc>
          <w:tcPr>
            <w:tcW w:w="65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Depreciation of products</w:t>
            </w:r>
          </w:p>
        </w:tc>
        <w:tc>
          <w:tcPr>
            <w:tcW w:w="136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auto"/>
            </w:tcBorders>
            <w:shd w:val="clear" w:color="auto" w:fill="EAF9E8"/>
          </w:tcPr>
          <w:p>
            <w:pPr>
              <w:spacing w:after="0"/>
              <w:rPr>
                <w:sz w:val="19"/>
                <w:szCs w:val="19"/>
                <w:color w:val="auto"/>
              </w:rPr>
            </w:pPr>
          </w:p>
        </w:tc>
        <w:tc>
          <w:tcPr>
            <w:tcW w:w="5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Arial" w:cs="Arial" w:eastAsia="Arial" w:hAnsi="Arial"/>
                <w:sz w:val="18"/>
                <w:szCs w:val="18"/>
                <w:b w:val="1"/>
                <w:bCs w:val="1"/>
                <w:color w:val="auto"/>
              </w:rPr>
              <w:t>Total cost of revenues</w:t>
            </w:r>
          </w:p>
        </w:tc>
        <w:tc>
          <w:tcPr>
            <w:tcW w:w="13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47,632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94"/>
              </w:rPr>
              <w:t>20,778</w:t>
            </w: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17,150</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15,479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13,133</w:t>
            </w:r>
          </w:p>
        </w:tc>
      </w:tr>
      <w:tr>
        <w:trPr>
          <w:trHeight w:val="216"/>
        </w:trPr>
        <w:tc>
          <w:tcPr>
            <w:tcW w:w="20" w:type="dxa"/>
            <w:vAlign w:val="bottom"/>
          </w:tcPr>
          <w:p>
            <w:pPr>
              <w:spacing w:after="0"/>
              <w:rPr>
                <w:sz w:val="18"/>
                <w:szCs w:val="18"/>
                <w:color w:val="auto"/>
              </w:rPr>
            </w:pPr>
          </w:p>
        </w:tc>
        <w:tc>
          <w:tcPr>
            <w:tcW w:w="6520" w:type="dxa"/>
            <w:vAlign w:val="bottom"/>
            <w:shd w:val="clear" w:color="auto" w:fill="EAF9E8"/>
          </w:tcPr>
          <w:p>
            <w:pPr>
              <w:spacing w:after="0"/>
              <w:rPr>
                <w:sz w:val="20"/>
                <w:szCs w:val="20"/>
                <w:color w:val="auto"/>
              </w:rPr>
            </w:pPr>
            <w:r>
              <w:rPr>
                <w:rFonts w:ascii="Arial" w:cs="Arial" w:eastAsia="Arial" w:hAnsi="Arial"/>
                <w:sz w:val="18"/>
                <w:szCs w:val="18"/>
                <w:color w:val="auto"/>
              </w:rPr>
              <w:t>Research and engineering</w:t>
            </w:r>
          </w:p>
        </w:tc>
        <w:tc>
          <w:tcPr>
            <w:tcW w:w="13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1,178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r>
      <w:tr>
        <w:trPr>
          <w:trHeight w:val="223"/>
        </w:trPr>
        <w:tc>
          <w:tcPr>
            <w:tcW w:w="20" w:type="dxa"/>
            <w:vAlign w:val="bottom"/>
          </w:tcPr>
          <w:p>
            <w:pPr>
              <w:spacing w:after="0"/>
              <w:rPr>
                <w:sz w:val="19"/>
                <w:szCs w:val="19"/>
                <w:color w:val="auto"/>
              </w:rPr>
            </w:pPr>
          </w:p>
        </w:tc>
        <w:tc>
          <w:tcPr>
            <w:tcW w:w="6520" w:type="dxa"/>
            <w:vAlign w:val="bottom"/>
            <w:shd w:val="clear" w:color="auto" w:fill="EAF9E8"/>
          </w:tcPr>
          <w:p>
            <w:pPr>
              <w:spacing w:after="0"/>
              <w:rPr>
                <w:sz w:val="20"/>
                <w:szCs w:val="20"/>
                <w:color w:val="auto"/>
              </w:rPr>
            </w:pPr>
            <w:r>
              <w:rPr>
                <w:rFonts w:ascii="Arial" w:cs="Arial" w:eastAsia="Arial" w:hAnsi="Arial"/>
                <w:sz w:val="18"/>
                <w:szCs w:val="18"/>
                <w:color w:val="auto"/>
              </w:rPr>
              <w:t>Legal reserve</w:t>
            </w:r>
          </w:p>
        </w:tc>
        <w:tc>
          <w:tcPr>
            <w:tcW w:w="136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320" w:type="dxa"/>
            <w:vAlign w:val="bottom"/>
            <w:shd w:val="clear" w:color="auto" w:fill="EAF9E8"/>
          </w:tcPr>
          <w:p>
            <w:pPr>
              <w:spacing w:after="0"/>
              <w:rPr>
                <w:sz w:val="19"/>
                <w:szCs w:val="19"/>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(297)</w:t>
            </w:r>
          </w:p>
        </w:tc>
      </w:tr>
      <w:tr>
        <w:trPr>
          <w:trHeight w:val="216"/>
        </w:trPr>
        <w:tc>
          <w:tcPr>
            <w:tcW w:w="20" w:type="dxa"/>
            <w:vAlign w:val="bottom"/>
          </w:tcPr>
          <w:p>
            <w:pPr>
              <w:spacing w:after="0"/>
              <w:rPr>
                <w:sz w:val="18"/>
                <w:szCs w:val="18"/>
                <w:color w:val="auto"/>
              </w:rPr>
            </w:pPr>
          </w:p>
        </w:tc>
        <w:tc>
          <w:tcPr>
            <w:tcW w:w="6520" w:type="dxa"/>
            <w:vAlign w:val="bottom"/>
            <w:tcBorders>
              <w:top w:val="single" w:sz="8" w:color="EAF9E8"/>
            </w:tcBorders>
          </w:tcPr>
          <w:p>
            <w:pPr>
              <w:ind w:left="160"/>
              <w:spacing w:after="0"/>
              <w:rPr>
                <w:sz w:val="20"/>
                <w:szCs w:val="20"/>
                <w:color w:val="auto"/>
              </w:rPr>
            </w:pPr>
            <w:r>
              <w:rPr>
                <w:rFonts w:ascii="Arial" w:cs="Arial" w:eastAsia="Arial" w:hAnsi="Arial"/>
                <w:sz w:val="18"/>
                <w:szCs w:val="18"/>
                <w:color w:val="auto"/>
              </w:rPr>
              <w:t>Income from operations</w:t>
            </w:r>
          </w:p>
        </w:tc>
        <w:tc>
          <w:tcPr>
            <w:tcW w:w="1360" w:type="dxa"/>
            <w:vAlign w:val="bottom"/>
            <w:tcBorders>
              <w:top w:val="single" w:sz="8" w:color="EAF9E8"/>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Borders>
              <w:top w:val="single" w:sz="8" w:color="EAF9E8"/>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Other expenses</w:t>
            </w:r>
          </w:p>
        </w:tc>
        <w:tc>
          <w:tcPr>
            <w:tcW w:w="13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r>
      <w:tr>
        <w:trPr>
          <w:trHeight w:val="223"/>
        </w:trPr>
        <w:tc>
          <w:tcPr>
            <w:tcW w:w="20" w:type="dxa"/>
            <w:vAlign w:val="bottom"/>
          </w:tcPr>
          <w:p>
            <w:pPr>
              <w:spacing w:after="0"/>
              <w:rPr>
                <w:sz w:val="19"/>
                <w:szCs w:val="19"/>
                <w:color w:val="auto"/>
              </w:rPr>
            </w:pPr>
          </w:p>
        </w:tc>
        <w:tc>
          <w:tcPr>
            <w:tcW w:w="652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Loss on extinguishment of long-term debt</w:t>
            </w:r>
          </w:p>
        </w:tc>
        <w:tc>
          <w:tcPr>
            <w:tcW w:w="136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auto"/>
            </w:tcBorders>
            <w:shd w:val="clear" w:color="auto" w:fill="EAF9E8"/>
          </w:tcPr>
          <w:p>
            <w:pPr>
              <w:spacing w:after="0"/>
              <w:rPr>
                <w:sz w:val="19"/>
                <w:szCs w:val="19"/>
                <w:color w:val="auto"/>
              </w:rPr>
            </w:pPr>
          </w:p>
        </w:tc>
        <w:tc>
          <w:tcPr>
            <w:tcW w:w="5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Income before provision for income taxes and noncontrolling interest</w:t>
            </w: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2,626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1,553</w:t>
            </w:r>
          </w:p>
        </w:tc>
      </w:tr>
      <w:tr>
        <w:trPr>
          <w:trHeight w:val="223"/>
        </w:trPr>
        <w:tc>
          <w:tcPr>
            <w:tcW w:w="20" w:type="dxa"/>
            <w:vAlign w:val="bottom"/>
          </w:tcPr>
          <w:p>
            <w:pPr>
              <w:spacing w:after="0"/>
              <w:rPr>
                <w:sz w:val="19"/>
                <w:szCs w:val="19"/>
                <w:color w:val="auto"/>
              </w:rPr>
            </w:pPr>
          </w:p>
        </w:tc>
        <w:tc>
          <w:tcPr>
            <w:tcW w:w="652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Borders>
              <w:bottom w:val="single" w:sz="8" w:color="EAF9E8"/>
            </w:tcBorders>
            <w:shd w:val="clear" w:color="auto" w:fill="EAF9E8"/>
          </w:tcPr>
          <w:p>
            <w:pPr>
              <w:spacing w:after="0"/>
              <w:rPr>
                <w:sz w:val="19"/>
                <w:szCs w:val="19"/>
                <w:color w:val="auto"/>
              </w:rPr>
            </w:pPr>
          </w:p>
        </w:tc>
        <w:tc>
          <w:tcPr>
            <w:tcW w:w="960" w:type="dxa"/>
            <w:vAlign w:val="bottom"/>
            <w:tcBorders>
              <w:bottom w:val="single" w:sz="8" w:color="auto"/>
            </w:tcBorders>
            <w:shd w:val="clear" w:color="auto" w:fill="EAF9E8"/>
          </w:tcPr>
          <w:p>
            <w:pPr>
              <w:spacing w:after="0"/>
              <w:rPr>
                <w:sz w:val="19"/>
                <w:szCs w:val="19"/>
                <w:color w:val="auto"/>
              </w:rPr>
            </w:pPr>
          </w:p>
        </w:tc>
        <w:tc>
          <w:tcPr>
            <w:tcW w:w="5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1,054</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32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1,572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r>
      <w:tr>
        <w:trPr>
          <w:trHeight w:val="216"/>
        </w:trPr>
        <w:tc>
          <w:tcPr>
            <w:tcW w:w="20" w:type="dxa"/>
            <w:vAlign w:val="bottom"/>
          </w:tcPr>
          <w:p>
            <w:pPr>
              <w:spacing w:after="0"/>
              <w:rPr>
                <w:sz w:val="18"/>
                <w:szCs w:val="18"/>
                <w:color w:val="auto"/>
              </w:rPr>
            </w:pPr>
          </w:p>
        </w:tc>
        <w:tc>
          <w:tcPr>
            <w:tcW w:w="6520" w:type="dxa"/>
            <w:vAlign w:val="bottom"/>
            <w:shd w:val="clear" w:color="auto" w:fill="EAF9E8"/>
          </w:tcPr>
          <w:p>
            <w:pPr>
              <w:spacing w:after="0"/>
              <w:rPr>
                <w:sz w:val="20"/>
                <w:szCs w:val="20"/>
                <w:color w:val="auto"/>
              </w:rPr>
            </w:pPr>
            <w:r>
              <w:rPr>
                <w:rFonts w:ascii="Arial" w:cs="Arial" w:eastAsia="Arial" w:hAnsi="Arial"/>
                <w:sz w:val="18"/>
                <w:szCs w:val="18"/>
                <w:color w:val="auto"/>
              </w:rPr>
              <w:t>Net loss (income) attributable to noncontrolling interests, net of taxes</w:t>
            </w:r>
          </w:p>
        </w:tc>
        <w:tc>
          <w:tcPr>
            <w:tcW w:w="13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(44)</w:t>
            </w:r>
          </w:p>
        </w:tc>
      </w:tr>
      <w:tr>
        <w:trPr>
          <w:trHeight w:val="27"/>
        </w:trPr>
        <w:tc>
          <w:tcPr>
            <w:tcW w:w="20" w:type="dxa"/>
            <w:vAlign w:val="bottom"/>
          </w:tcPr>
          <w:p>
            <w:pPr>
              <w:spacing w:after="0"/>
              <w:rPr>
                <w:sz w:val="2"/>
                <w:szCs w:val="2"/>
                <w:color w:val="auto"/>
              </w:rPr>
            </w:pPr>
          </w:p>
        </w:tc>
        <w:tc>
          <w:tcPr>
            <w:tcW w:w="6520" w:type="dxa"/>
            <w:vAlign w:val="bottom"/>
            <w:shd w:val="clear" w:color="auto" w:fill="EAF9E8"/>
          </w:tcPr>
          <w:p>
            <w:pPr>
              <w:spacing w:after="0"/>
              <w:rPr>
                <w:sz w:val="2"/>
                <w:szCs w:val="2"/>
                <w:color w:val="auto"/>
              </w:rPr>
            </w:pPr>
          </w:p>
        </w:tc>
        <w:tc>
          <w:tcPr>
            <w:tcW w:w="1360" w:type="dxa"/>
            <w:vAlign w:val="bottom"/>
            <w:shd w:val="clear" w:color="auto" w:fill="EAF9E8"/>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Net income attributable to common stockholders</w:t>
            </w:r>
          </w:p>
        </w:tc>
        <w:tc>
          <w:tcPr>
            <w:tcW w:w="23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1,592</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EAF9E8"/>
          </w:tcPr>
          <w:p>
            <w:pPr>
              <w:spacing w:after="0"/>
              <w:rPr>
                <w:sz w:val="20"/>
                <w:szCs w:val="20"/>
                <w:color w:val="auto"/>
              </w:rPr>
            </w:pPr>
            <w:r>
              <w:rPr>
                <w:rFonts w:ascii="Arial" w:cs="Arial" w:eastAsia="Arial" w:hAnsi="Arial"/>
                <w:sz w:val="18"/>
                <w:szCs w:val="18"/>
                <w:color w:val="auto"/>
              </w:rPr>
              <w:t>Earnings per common share:</w:t>
            </w:r>
          </w:p>
        </w:tc>
        <w:tc>
          <w:tcPr>
            <w:tcW w:w="13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Basic</w:t>
            </w:r>
          </w:p>
        </w:tc>
        <w:tc>
          <w:tcPr>
            <w:tcW w:w="23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r>
      <w:tr>
        <w:trPr>
          <w:trHeight w:val="216"/>
        </w:trPr>
        <w:tc>
          <w:tcPr>
            <w:tcW w:w="20" w:type="dxa"/>
            <w:vAlign w:val="bottom"/>
          </w:tcPr>
          <w:p>
            <w:pPr>
              <w:spacing w:after="0"/>
              <w:rPr>
                <w:sz w:val="18"/>
                <w:szCs w:val="18"/>
                <w:color w:val="auto"/>
              </w:rPr>
            </w:pPr>
          </w:p>
        </w:tc>
        <w:tc>
          <w:tcPr>
            <w:tcW w:w="65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Diluted</w:t>
            </w:r>
          </w:p>
        </w:tc>
        <w:tc>
          <w:tcPr>
            <w:tcW w:w="2320" w:type="dxa"/>
            <w:vAlign w:val="bottom"/>
            <w:gridSpan w:val="2"/>
            <w:shd w:val="clear" w:color="auto" w:fill="EAF9E8"/>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0.06</w:t>
            </w:r>
          </w:p>
        </w:tc>
        <w:tc>
          <w:tcPr>
            <w:tcW w:w="540" w:type="dxa"/>
            <w:vAlign w:val="bottom"/>
            <w:gridSpan w:val="2"/>
            <w:shd w:val="clear" w:color="auto" w:fill="EAF9E8"/>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0.04</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w w:val="94"/>
              </w:rPr>
              <w:t>26,664</w:t>
            </w:r>
          </w:p>
        </w:tc>
        <w:tc>
          <w:tcPr>
            <w:tcW w:w="220" w:type="dxa"/>
            <w:vAlign w:val="bottom"/>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126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13,000</w:t>
            </w:r>
          </w:p>
        </w:tc>
      </w:tr>
      <w:tr>
        <w:trPr>
          <w:trHeight w:val="230"/>
        </w:trPr>
        <w:tc>
          <w:tcPr>
            <w:tcW w:w="20" w:type="dxa"/>
            <w:vAlign w:val="bottom"/>
          </w:tcPr>
          <w:p>
            <w:pPr>
              <w:spacing w:after="0"/>
              <w:rPr>
                <w:sz w:val="20"/>
                <w:szCs w:val="20"/>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rPr>
              <w:t>Diluted</w:t>
            </w: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26,778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20,435</w:t>
            </w: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at May 31, 2010</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221" w:lineRule="auto"/>
        <w:rPr>
          <w:sz w:val="20"/>
          <w:szCs w:val="20"/>
          <w:color w:val="auto"/>
        </w:rPr>
      </w:pPr>
      <w:r>
        <w:rPr>
          <w:rFonts w:ascii="Arial" w:cs="Arial" w:eastAsia="Arial" w:hAnsi="Arial"/>
          <w:sz w:val="14"/>
          <w:szCs w:val="14"/>
          <w:color w:val="auto"/>
        </w:rPr>
        <w:t>Foreign currency</w:t>
      </w:r>
    </w:p>
    <w:p>
      <w:pPr>
        <w:ind w:firstLine="162"/>
        <w:spacing w:after="0" w:line="238" w:lineRule="auto"/>
        <w:rPr>
          <w:sz w:val="20"/>
          <w:szCs w:val="20"/>
          <w:color w:val="auto"/>
        </w:rPr>
      </w:pPr>
      <w:r>
        <w:rPr>
          <w:rFonts w:ascii="Arial" w:cs="Arial" w:eastAsia="Arial" w:hAnsi="Arial"/>
          <w:sz w:val="13"/>
          <w:szCs w:val="13"/>
          <w:color w:val="auto"/>
        </w:rPr>
        <w:t>translation adjustment Stock compensation Noncontrolling interest in</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subsidiary</w:t>
      </w:r>
    </w:p>
    <w:p>
      <w:pPr>
        <w:spacing w:after="0" w:line="174" w:lineRule="exact"/>
        <w:rPr>
          <w:sz w:val="20"/>
          <w:szCs w:val="20"/>
          <w:color w:val="auto"/>
        </w:rPr>
      </w:pPr>
    </w:p>
    <w:p>
      <w:pPr>
        <w:ind w:left="180" w:right="160" w:hanging="161"/>
        <w:spacing w:after="0" w:line="259" w:lineRule="auto"/>
        <w:rPr>
          <w:sz w:val="20"/>
          <w:szCs w:val="20"/>
          <w:color w:val="auto"/>
        </w:rPr>
      </w:pPr>
      <w:r>
        <w:rPr>
          <w:rFonts w:ascii="Arial" w:cs="Arial" w:eastAsia="Arial" w:hAnsi="Arial"/>
          <w:sz w:val="14"/>
          <w:szCs w:val="14"/>
          <w:b w:val="1"/>
          <w:bCs w:val="1"/>
          <w:color w:val="auto"/>
        </w:rPr>
        <w:t>Balance at August 31, 2010</w:t>
      </w:r>
    </w:p>
    <w:p>
      <w:pPr>
        <w:spacing w:after="0" w:line="20" w:lineRule="exact"/>
        <w:rPr>
          <w:sz w:val="20"/>
          <w:szCs w:val="20"/>
          <w:color w:val="auto"/>
        </w:rPr>
      </w:pPr>
      <w:r>
        <w:rPr>
          <w:sz w:val="20"/>
          <w:szCs w:val="20"/>
          <w:color w:val="auto"/>
        </w:rPr>
        <w:br w:type="column"/>
      </w:r>
    </w:p>
    <w:p>
      <w:pPr>
        <w:jc w:val="center"/>
        <w:ind w:right="168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680"/>
        <w:spacing w:after="0"/>
        <w:rPr>
          <w:sz w:val="20"/>
          <w:szCs w:val="20"/>
          <w:color w:val="auto"/>
        </w:rPr>
      </w:pPr>
      <w:r>
        <w:rPr>
          <w:rFonts w:ascii="Arial" w:cs="Arial" w:eastAsia="Arial" w:hAnsi="Arial"/>
          <w:sz w:val="18"/>
          <w:szCs w:val="18"/>
          <w:b w:val="1"/>
          <w:bCs w:val="1"/>
          <w:color w:val="auto"/>
        </w:rPr>
        <w:t>Unaudited Consolidated Statement of Stockholders’ Equity</w:t>
      </w:r>
    </w:p>
    <w:p>
      <w:pPr>
        <w:spacing w:after="0" w:line="9" w:lineRule="exact"/>
        <w:rPr>
          <w:sz w:val="20"/>
          <w:szCs w:val="20"/>
          <w:color w:val="auto"/>
        </w:rPr>
      </w:pPr>
    </w:p>
    <w:p>
      <w:pPr>
        <w:jc w:val="center"/>
        <w:ind w:right="168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6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0"/>
                <w:szCs w:val="10"/>
                <w:color w:val="auto"/>
              </w:rPr>
            </w:pPr>
          </w:p>
        </w:tc>
        <w:tc>
          <w:tcPr>
            <w:tcW w:w="12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49"/>
        </w:trPr>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gridSpan w:val="2"/>
            <w:vMerge w:val="restart"/>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paid-in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00" w:type="dxa"/>
            <w:vAlign w:val="bottom"/>
            <w:tcBorders>
              <w:bottom w:val="single" w:sz="8" w:color="auto"/>
            </w:tcBorders>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0"/>
              </w:rPr>
              <w:t>capital</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5"/>
              </w:rPr>
              <w:t>deficit)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78"/>
              </w:rPr>
              <w:t>loss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5"/>
              </w:rPr>
              <w:t>income (loss)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00" w:type="dxa"/>
            <w:vAlign w:val="bottom"/>
          </w:tcPr>
          <w:p>
            <w:pPr>
              <w:ind w:left="420"/>
              <w:spacing w:after="0"/>
              <w:rPr>
                <w:sz w:val="20"/>
                <w:szCs w:val="20"/>
                <w:color w:val="auto"/>
              </w:rPr>
            </w:pPr>
            <w:r>
              <w:rPr>
                <w:rFonts w:ascii="Arial" w:cs="Arial" w:eastAsia="Arial" w:hAnsi="Arial"/>
                <w:sz w:val="14"/>
                <w:szCs w:val="14"/>
                <w:color w:val="auto"/>
                <w:w w:val="83"/>
              </w:rPr>
              <w:t>26,664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162,054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(30,448)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(1,587)</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268</w:t>
            </w:r>
          </w:p>
        </w:tc>
        <w:tc>
          <w:tcPr>
            <w:tcW w:w="2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130,554</w:t>
            </w:r>
          </w:p>
        </w:tc>
        <w:tc>
          <w:tcPr>
            <w:tcW w:w="140" w:type="dxa"/>
            <w:vAlign w:val="bottom"/>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920" w:type="dxa"/>
            <w:vAlign w:val="bottom"/>
            <w:gridSpan w:val="3"/>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1,592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1,572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1,572</w:t>
            </w:r>
          </w:p>
        </w:tc>
        <w:tc>
          <w:tcPr>
            <w:tcW w:w="0" w:type="dxa"/>
            <w:vAlign w:val="bottom"/>
          </w:tcPr>
          <w:p>
            <w:pPr>
              <w:spacing w:after="0"/>
              <w:rPr>
                <w:sz w:val="1"/>
                <w:szCs w:val="1"/>
                <w:color w:val="auto"/>
              </w:rPr>
            </w:pPr>
          </w:p>
        </w:tc>
      </w:tr>
      <w:tr>
        <w:trPr>
          <w:trHeight w:val="263"/>
        </w:trPr>
        <w:tc>
          <w:tcPr>
            <w:tcW w:w="920" w:type="dxa"/>
            <w:vAlign w:val="bottom"/>
            <w:gridSpan w:val="3"/>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2"/>
        </w:trPr>
        <w:tc>
          <w:tcPr>
            <w:tcW w:w="920" w:type="dxa"/>
            <w:vAlign w:val="bottom"/>
            <w:gridSpan w:val="3"/>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729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729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920" w:type="dxa"/>
            <w:vAlign w:val="bottom"/>
            <w:gridSpan w:val="3"/>
          </w:tcPr>
          <w:p>
            <w:pPr>
              <w:ind w:left="6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117</w:t>
            </w:r>
          </w:p>
        </w:tc>
        <w:tc>
          <w:tcPr>
            <w:tcW w:w="2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8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820" w:type="dxa"/>
            <w:vAlign w:val="bottom"/>
            <w:gridSpan w:val="2"/>
          </w:tcPr>
          <w:p>
            <w:pPr>
              <w:ind w:left="420"/>
              <w:spacing w:after="0"/>
              <w:rPr>
                <w:sz w:val="20"/>
                <w:szCs w:val="20"/>
                <w:color w:val="auto"/>
              </w:rPr>
            </w:pPr>
            <w:r>
              <w:rPr>
                <w:rFonts w:ascii="Arial" w:cs="Arial" w:eastAsia="Arial" w:hAnsi="Arial"/>
                <w:sz w:val="14"/>
                <w:szCs w:val="14"/>
                <w:color w:val="auto"/>
                <w:w w:val="88"/>
              </w:rPr>
              <w:t>26,664</w:t>
            </w:r>
          </w:p>
        </w:tc>
        <w:tc>
          <w:tcPr>
            <w:tcW w:w="10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267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162,783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(28,856)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(1,797)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365</w:t>
            </w:r>
          </w:p>
        </w:tc>
        <w:tc>
          <w:tcPr>
            <w:tcW w:w="20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132,762</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21"/>
        </w:trPr>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-1148715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-916940</wp:posOffset>
            </wp:positionV>
            <wp:extent cx="7246620" cy="94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-633730</wp:posOffset>
            </wp:positionV>
            <wp:extent cx="724662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-334010</wp:posOffset>
            </wp:positionV>
            <wp:extent cx="7246620" cy="11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500" w:space="240"/>
            <w:col w:w="9620"/>
          </w:cols>
          <w:pgMar w:left="240" w:top="513"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98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For the three months ended August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2010</w:t>
            </w:r>
          </w:p>
        </w:tc>
        <w:tc>
          <w:tcPr>
            <w:tcW w:w="5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 attributable to common stockholders</w:t>
            </w:r>
          </w:p>
        </w:tc>
        <w:tc>
          <w:tcPr>
            <w:tcW w:w="1140" w:type="dxa"/>
            <w:vAlign w:val="bottom"/>
          </w:tcPr>
          <w:p>
            <w:pPr>
              <w:jc w:val="right"/>
              <w:ind w:right="981"/>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1,592</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4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3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4,142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1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Loss on extinguishment of long-term debt</w:t>
            </w:r>
          </w:p>
        </w:tc>
        <w:tc>
          <w:tcPr>
            <w:tcW w:w="1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Gain on sale of assets</w:t>
            </w:r>
          </w:p>
        </w:tc>
        <w:tc>
          <w:tcPr>
            <w:tcW w:w="1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1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Stock compensation expense</w:t>
            </w:r>
          </w:p>
        </w:tc>
        <w:tc>
          <w:tcPr>
            <w:tcW w:w="1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Noncash interest rate swap</w:t>
            </w:r>
          </w:p>
        </w:tc>
        <w:tc>
          <w:tcPr>
            <w:tcW w:w="1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(loss) income attributable to noncontrolling interests</w:t>
            </w:r>
          </w:p>
        </w:tc>
        <w:tc>
          <w:tcPr>
            <w:tcW w:w="1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Foreign currency (gain) loss</w:t>
            </w:r>
          </w:p>
        </w:tc>
        <w:tc>
          <w:tcPr>
            <w:tcW w:w="1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Accounts receivable</w:t>
            </w:r>
          </w:p>
        </w:tc>
        <w:tc>
          <w:tcPr>
            <w:tcW w:w="1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3,140</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937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Accounts payable</w:t>
            </w:r>
          </w:p>
        </w:tc>
        <w:tc>
          <w:tcPr>
            <w:tcW w:w="1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(938)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(1,561)</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EAF9E8"/>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8,281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Borders>
              <w:top w:val="single" w:sz="8" w:color="auto"/>
            </w:tcBorders>
            <w:shd w:val="clear" w:color="auto" w:fill="EAF9E8"/>
          </w:tcPr>
          <w:p>
            <w:pPr>
              <w:spacing w:after="0"/>
              <w:rPr>
                <w:sz w:val="18"/>
                <w:szCs w:val="18"/>
                <w:color w:val="auto"/>
              </w:rPr>
            </w:pPr>
          </w:p>
        </w:tc>
        <w:tc>
          <w:tcPr>
            <w:tcW w:w="58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tcBorders>
              <w:top w:val="single" w:sz="8" w:color="auto"/>
            </w:tcBorders>
            <w:shd w:val="clear" w:color="auto" w:fill="EAF9E8"/>
          </w:tcPr>
          <w:p>
            <w:pPr>
              <w:spacing w:after="0"/>
              <w:rPr>
                <w:sz w:val="18"/>
                <w:szCs w:val="18"/>
                <w:color w:val="auto"/>
              </w:rPr>
            </w:pPr>
          </w:p>
        </w:tc>
        <w:tc>
          <w:tcPr>
            <w:tcW w:w="13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(1,877)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spacing w:after="0"/>
              <w:rPr>
                <w:sz w:val="20"/>
                <w:szCs w:val="20"/>
                <w:color w:val="auto"/>
              </w:rPr>
            </w:pPr>
            <w:r>
              <w:rPr>
                <w:rFonts w:ascii="Arial" w:cs="Arial" w:eastAsia="Arial" w:hAnsi="Arial"/>
                <w:sz w:val="18"/>
                <w:szCs w:val="18"/>
                <w:color w:val="auto"/>
              </w:rPr>
              <w:t>Purchase of intangible assets</w:t>
            </w:r>
          </w:p>
        </w:tc>
        <w:tc>
          <w:tcPr>
            <w:tcW w:w="1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 of businesses, net of cash acquired</w:t>
            </w:r>
          </w:p>
        </w:tc>
        <w:tc>
          <w:tcPr>
            <w:tcW w:w="1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(5,301)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spacing w:after="0"/>
              <w:rPr>
                <w:sz w:val="20"/>
                <w:szCs w:val="20"/>
                <w:color w:val="auto"/>
              </w:rPr>
            </w:pPr>
            <w:r>
              <w:rPr>
                <w:rFonts w:ascii="Arial" w:cs="Arial" w:eastAsia="Arial" w:hAnsi="Arial"/>
                <w:sz w:val="18"/>
                <w:szCs w:val="18"/>
                <w:color w:val="auto"/>
              </w:rPr>
              <w:t>Proceeds from sale of equipment</w:t>
            </w:r>
          </w:p>
        </w:tc>
        <w:tc>
          <w:tcPr>
            <w:tcW w:w="1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EAF9E8"/>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(7,240)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Borders>
              <w:top w:val="single" w:sz="8" w:color="auto"/>
            </w:tcBorders>
            <w:shd w:val="clear" w:color="auto" w:fill="EAF9E8"/>
          </w:tcPr>
          <w:p>
            <w:pPr>
              <w:spacing w:after="0"/>
              <w:rPr>
                <w:sz w:val="18"/>
                <w:szCs w:val="18"/>
                <w:color w:val="auto"/>
              </w:rPr>
            </w:pPr>
          </w:p>
        </w:tc>
        <w:tc>
          <w:tcPr>
            <w:tcW w:w="58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tcBorders>
              <w:top w:val="single" w:sz="8" w:color="auto"/>
            </w:tcBorders>
            <w:shd w:val="clear" w:color="auto" w:fill="EAF9E8"/>
          </w:tcPr>
          <w:p>
            <w:pPr>
              <w:spacing w:after="0"/>
              <w:rPr>
                <w:sz w:val="18"/>
                <w:szCs w:val="18"/>
                <w:color w:val="auto"/>
              </w:rPr>
            </w:pPr>
          </w:p>
        </w:tc>
        <w:tc>
          <w:tcPr>
            <w:tcW w:w="13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Repayment of capital lease obligations</w:t>
            </w:r>
          </w:p>
        </w:tc>
        <w:tc>
          <w:tcPr>
            <w:tcW w:w="1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(1,459)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spacing w:after="0"/>
              <w:rPr>
                <w:sz w:val="20"/>
                <w:szCs w:val="20"/>
                <w:color w:val="auto"/>
              </w:rPr>
            </w:pPr>
            <w:r>
              <w:rPr>
                <w:rFonts w:ascii="Arial" w:cs="Arial" w:eastAsia="Arial" w:hAnsi="Arial"/>
                <w:sz w:val="18"/>
                <w:szCs w:val="18"/>
                <w:color w:val="auto"/>
              </w:rPr>
              <w:t>Repayments of long-term debt</w:t>
            </w:r>
          </w:p>
        </w:tc>
        <w:tc>
          <w:tcPr>
            <w:tcW w:w="1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(1,642)</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(38,009)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borrowings from revolver</w:t>
            </w:r>
          </w:p>
        </w:tc>
        <w:tc>
          <w:tcPr>
            <w:tcW w:w="1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spacing w:after="0"/>
              <w:rPr>
                <w:sz w:val="20"/>
                <w:szCs w:val="20"/>
                <w:color w:val="auto"/>
              </w:rPr>
            </w:pPr>
            <w:r>
              <w:rPr>
                <w:rFonts w:ascii="Arial" w:cs="Arial" w:eastAsia="Arial" w:hAnsi="Arial"/>
                <w:sz w:val="18"/>
                <w:szCs w:val="18"/>
                <w:color w:val="auto"/>
              </w:rPr>
              <w:t>Proceeds from borrowings of long-term debt</w:t>
            </w:r>
          </w:p>
        </w:tc>
        <w:tc>
          <w:tcPr>
            <w:tcW w:w="1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Debt issuance costs</w:t>
            </w:r>
          </w:p>
        </w:tc>
        <w:tc>
          <w:tcPr>
            <w:tcW w:w="1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cash (used in) provided by financing activities</w:t>
            </w:r>
          </w:p>
        </w:tc>
        <w:tc>
          <w:tcPr>
            <w:tcW w:w="1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(3,101)</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EAF9E8"/>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change in cash and cash equivalents</w:t>
            </w:r>
          </w:p>
        </w:tc>
        <w:tc>
          <w:tcPr>
            <w:tcW w:w="1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(2,182)</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spacing w:after="0"/>
              <w:rPr>
                <w:sz w:val="20"/>
                <w:szCs w:val="20"/>
                <w:color w:val="auto"/>
              </w:rPr>
            </w:pPr>
            <w:r>
              <w:rPr>
                <w:rFonts w:ascii="Arial" w:cs="Arial" w:eastAsia="Arial" w:hAnsi="Arial"/>
                <w:sz w:val="18"/>
                <w:szCs w:val="18"/>
                <w:color w:val="auto"/>
              </w:rPr>
              <w:t>Beginning of period</w:t>
            </w:r>
          </w:p>
        </w:tc>
        <w:tc>
          <w:tcPr>
            <w:tcW w:w="1140" w:type="dxa"/>
            <w:vAlign w:val="bottom"/>
            <w:shd w:val="clear" w:color="auto" w:fill="EAF9E8"/>
          </w:tcPr>
          <w:p>
            <w:pPr>
              <w:spacing w:after="0"/>
              <w:rPr>
                <w:sz w:val="18"/>
                <w:szCs w:val="18"/>
                <w:color w:val="auto"/>
              </w:rPr>
            </w:pPr>
          </w:p>
        </w:tc>
        <w:tc>
          <w:tcPr>
            <w:tcW w:w="8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16,037</w:t>
            </w:r>
          </w:p>
        </w:tc>
        <w:tc>
          <w:tcPr>
            <w:tcW w:w="20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EAF9E8"/>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End of period</w:t>
            </w:r>
          </w:p>
        </w:tc>
        <w:tc>
          <w:tcPr>
            <w:tcW w:w="1140" w:type="dxa"/>
            <w:vAlign w:val="bottom"/>
          </w:tcPr>
          <w:p>
            <w:pPr>
              <w:jc w:val="right"/>
              <w:ind w:right="981"/>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13,855</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Supplemental disclosure of cash paid</w:t>
            </w:r>
          </w:p>
        </w:tc>
        <w:tc>
          <w:tcPr>
            <w:tcW w:w="1140" w:type="dxa"/>
            <w:vAlign w:val="bottom"/>
            <w:tcBorders>
              <w:top w:val="single" w:sz="8" w:color="auto"/>
            </w:tcBorders>
            <w:shd w:val="clear" w:color="auto" w:fill="EAF9E8"/>
          </w:tcPr>
          <w:p>
            <w:pPr>
              <w:spacing w:after="0"/>
              <w:rPr>
                <w:sz w:val="18"/>
                <w:szCs w:val="18"/>
                <w:color w:val="auto"/>
              </w:rPr>
            </w:pPr>
          </w:p>
        </w:tc>
        <w:tc>
          <w:tcPr>
            <w:tcW w:w="580" w:type="dxa"/>
            <w:vAlign w:val="bottom"/>
            <w:tcBorders>
              <w:top w:val="single" w:sz="8" w:color="auto"/>
            </w:tcBorders>
            <w:shd w:val="clear" w:color="auto" w:fill="EAF9E8"/>
          </w:tcPr>
          <w:p>
            <w:pPr>
              <w:spacing w:after="0"/>
              <w:rPr>
                <w:sz w:val="18"/>
                <w:szCs w:val="18"/>
                <w:color w:val="auto"/>
              </w:rPr>
            </w:pPr>
          </w:p>
        </w:tc>
        <w:tc>
          <w:tcPr>
            <w:tcW w:w="2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380" w:type="dxa"/>
            <w:vAlign w:val="bottom"/>
            <w:tcBorders>
              <w:top w:val="single" w:sz="8" w:color="auto"/>
            </w:tcBorders>
            <w:shd w:val="clear" w:color="auto" w:fill="EAF9E8"/>
          </w:tcPr>
          <w:p>
            <w:pPr>
              <w:spacing w:after="0"/>
              <w:rPr>
                <w:sz w:val="18"/>
                <w:szCs w:val="18"/>
                <w:color w:val="auto"/>
              </w:rPr>
            </w:pPr>
          </w:p>
        </w:tc>
        <w:tc>
          <w:tcPr>
            <w:tcW w:w="132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w:t>
            </w:r>
          </w:p>
        </w:tc>
        <w:tc>
          <w:tcPr>
            <w:tcW w:w="1140" w:type="dxa"/>
            <w:vAlign w:val="bottom"/>
          </w:tcPr>
          <w:p>
            <w:pPr>
              <w:jc w:val="right"/>
              <w:ind w:right="981"/>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spacing w:after="0"/>
              <w:rPr>
                <w:sz w:val="20"/>
                <w:szCs w:val="20"/>
                <w:color w:val="auto"/>
              </w:rPr>
            </w:pPr>
            <w:r>
              <w:rPr>
                <w:rFonts w:ascii="Arial" w:cs="Arial" w:eastAsia="Arial" w:hAnsi="Arial"/>
                <w:sz w:val="18"/>
                <w:szCs w:val="18"/>
                <w:color w:val="auto"/>
              </w:rPr>
              <w:t>Income taxes</w:t>
            </w:r>
          </w:p>
        </w:tc>
        <w:tc>
          <w:tcPr>
            <w:tcW w:w="1140" w:type="dxa"/>
            <w:vAlign w:val="bottom"/>
            <w:shd w:val="clear" w:color="auto" w:fill="EAF9E8"/>
          </w:tcPr>
          <w:p>
            <w:pPr>
              <w:jc w:val="right"/>
              <w:ind w:right="981"/>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3,530</w:t>
            </w:r>
          </w:p>
        </w:tc>
        <w:tc>
          <w:tcPr>
            <w:tcW w:w="5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Noncash investing and financing</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EAF9E8"/>
          </w:tcPr>
          <w:p>
            <w:pPr>
              <w:spacing w:after="0"/>
              <w:rPr>
                <w:sz w:val="20"/>
                <w:szCs w:val="20"/>
                <w:color w:val="auto"/>
              </w:rPr>
            </w:pPr>
            <w:r>
              <w:rPr>
                <w:rFonts w:ascii="Arial" w:cs="Arial" w:eastAsia="Arial" w:hAnsi="Arial"/>
                <w:sz w:val="18"/>
                <w:szCs w:val="18"/>
                <w:color w:val="auto"/>
              </w:rPr>
              <w:t>Equipment acquired through capital lease obligations</w:t>
            </w:r>
          </w:p>
        </w:tc>
        <w:tc>
          <w:tcPr>
            <w:tcW w:w="1140" w:type="dxa"/>
            <w:vAlign w:val="bottom"/>
            <w:shd w:val="clear" w:color="auto" w:fill="EAF9E8"/>
          </w:tcPr>
          <w:p>
            <w:pPr>
              <w:jc w:val="right"/>
              <w:ind w:right="981"/>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583</w:t>
            </w:r>
          </w:p>
        </w:tc>
        <w:tc>
          <w:tcPr>
            <w:tcW w:w="580" w:type="dxa"/>
            <w:vAlign w:val="bottom"/>
            <w:gridSpan w:val="2"/>
            <w:shd w:val="clear" w:color="auto" w:fill="EAF9E8"/>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Issuance of notes payable and other debt obligations primarily related to acquisitions</w:t>
            </w:r>
          </w:p>
        </w:tc>
        <w:tc>
          <w:tcPr>
            <w:tcW w:w="1140" w:type="dxa"/>
            <w:vAlign w:val="bottom"/>
          </w:tcPr>
          <w:p>
            <w:pPr>
              <w:jc w:val="right"/>
              <w:ind w:right="981"/>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1,637</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4" w:lineRule="exact"/>
        <w:rPr>
          <w:sz w:val="20"/>
          <w:szCs w:val="20"/>
          <w:color w:val="auto"/>
        </w:rPr>
      </w:pPr>
    </w:p>
    <w:p>
      <w:pPr>
        <w:ind w:left="760" w:hanging="752"/>
        <w:spacing w:after="0"/>
        <w:tabs>
          <w:tab w:leader="none" w:pos="7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&amp;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Mistras Group, Inc. and subsidiaries (the “Company”) is a leading “one source” global provider of technology-enabled asset protection solutions used to evaluate the structural integrity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 nd avoid catastrophic disasters. Given the role the Company services play in ensuring the safe and efficient operation of infrastructure, the Company has historically provided a majority of its services to its customers on a regular, recurring basis. The Company serves a global customer base of companies with asset-intensive infrastructure, including companies in the oil and gas, fossil and nuclear power, public infrastructure, chemicals, aerospace and defense, transportation, primary metals and metalworking, pharmaceuticals and food processing industry.</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(“GAAP”) for interim financial information. Accordingly, they do not include all of the information and footnotes required by GAAP for complete financial statements. In the opinion of management, all adjustments (consisting of normal recurring accruals) considered necessary for a fair presentation have been included. Operating results for the three months ended August 31, 2010 are not necessarily indicative of the results that may be expected for the year ending May 31, 2011. The balance sheet at May 31, 2010 has been derived from the audited financial statements at that date but does not include all of the information and footnotes required by GAAP for complete fin ancial statements. You should read these unaudited consolidated financial statements together with the historical consolidated financial statements of the Company as filed with the Securities and Exchange Commission.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consolidated financial statements include the accounts of Mistras Group, Inc. and its wholly or majority-owned subsidiaries: Quality Service Laboratories, Inc., Cismis Springfield Corp., Mistras Group, S.A. (formerly Euro Physical Acoustics, S.A.) and its majority-owned subsidiary, IPS S.A.R.L. (“IPS”), Nippon Physical Acoustics Ltd., Physical Acoustics South America, Diapac Company, Mistras Canada, Inc. and Physical Acoustics Ltd. and its wholly or majority-owned subsidiaries, Physical Acoustics India Private Ltd., Physical Acoustics B.V. and Envirocoustics A.B.E.E. (“Envac”). Where the Company’s ownership interest is less than 100%, the noncontrolling interests are reported in stockholders’ equity in the accompanying consolidated balance sheets. The noncontrolling interest in net i ncome, net of tax, is classified separately in the accompanying consolidated statements of operations.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significant intercompany accounts and transactions have been eliminated in consolidation. All foreign subsidiaries’ reporting year ends are April 30, while Mistras Group, Inc. and the domestic subsidiaries year ends are May 31. The effect of this difference in timing of reporting foreign operations on the consolidated results of operations and consolidated financial position is not significant.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amounts previously reported in prior periods have been reclassified to conform to the current year presentation. Such reclassifications did not have a material effect on the Company’s financial condition or results of operations as previously reported.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4"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 policies for the various sources of revenues are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predominantly derives revenues by providing its services on a time and material basis and recognizes revenues when services are rendered. At the end of any reporting period, there may be earned but unbilled revenues that are accrued. Payments received in advance of revenue recognition are reflected as deferred revenues.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the sale of perpetual licenses are recognized upon the delivery and acceptance of the software. Revenues from term licenses are recognized ratably over the period of the license. Revenues from maintenance, unspecified upgrades and technical support are recognized ratably over the period such items are delivered. For multiple-element arrangement software contracts that include non-software elements, and where the software is essential to the functionality of the non-software elements (collectively referred to as software multiple-element arrangements), the Company applies the rules as noted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from product sales are recognized when risk of loss and title passes to the customer, which is generally upon product delivery. The exceptions to this accounting treatment would be for multiple-element arrangements (described below) or those situations where specialized installation or customer acceptance is required. Payments received in advance of revenue recognition are reflected as deferred revenues.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 of completion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portion of the Company’s revenues are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the Company’s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our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Multiple-element arrangements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occasionally enters into transactions that represent multiple-element arrangements, which may include any combination of services, software, and hardware. Vendor-specific objective evidence is utilized to determine whether they can be separated into more than one unit of accounting. A multiple-element arrangement is separated into more than one unit of accounting if: (1) the delivered item has value on a standalone basis; and (2) there is objective and reliable evidence of the fair value of the undelivered items if the delivery or performance of the undelivered items is probable and in the control of the Company.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these criteria are not met, then revenues are deferred until such criteria are met or until the period(s) over which the last undelivered element is delivered. If there is objective and reliable evidence of fair value for all units of accounting in an arrangement, the arrangement consideration is allocated to the separate units of accounting based on each unit’s relative fair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unaudited consolidated financial statements have been prepared in conformity with GAAP, which requires management to make estimates and assumptions about future events that affect the reported amounts of assets and liabilities, disclosure of contingent assets and liabilities at the date of the financial statements, and the reported amounts of revenues and expenses during the reporting period. Actual results could differ from these estimates. The more significant estimates include valuation of goodwill and intangible assets, useful lives of long-lived assets, allowances for doubtful accounts, inventory valuation, reserves for self-insured workers compensation and health benefits and provision for income taxes.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 (2) the dilutive effect of the assumed exercise of stock options using the treasury stock method. With respect to the number of weighted-average shares outstanding (denominator), diluted shares reflects only the exercise of options to acquire common stock to the extent that the options’ exercise prices are less than the average market price of common shares during the period and the pro forma vesting of restricted stock units.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represents the excess of the purchase price over the fair market value of net assets of the acquired business at the date of acquisition. The Company tests for impairment annually, in its fiscal fourth quarter, using a two-step process. The first step identifies potential impairment by comparing the fair value of the Company’s reporting units to its carrying value. If the fair value is less than the carrying value, the second step measures the amount of impairment, if any. The impairment loss is the amount by which the carrying amount of goodwill exceeds the implied fair value of that goodwill. The most recent annual test for impairment performed for fiscal 2010 did not identify any instances of impairment and there were no events through August 31, 2010 that warranted a reconsideration of our impairment test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recorded at cost. Intangible assets with finite lives are amortized on a straight-line basis over their estimated useful lives.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the risk of nonperformance of the financial institutions.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primarily to large companies, extends reasonably short collection terms, performs credit evaluations and does not require collateral. The Company maintains reserves for potential credit losses.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one major customer with multiple business units that accounted for 18% and 22% of revenues for the three months ended August 31, 2010 and 2009, respectively. Accounts receivable from this customer was approximately 15% and 10% of total accounts receivable, net as of August 31, 2010 and May 31, 2010,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measures the cost of employee services received in exchange for an award of equity instruments based upon the grant-date fair value of the award. The Company uses the “straight-line” attribution method for allocating compensation costs and recognizes the fair value of each stock option on a straight-line basis over the vesting period of the related awards.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uses the Black-Scholes option-pricing model to estimate the fair value of the stock option awards as of the grant date. The Black-Scholes model, by its design, is highly complex and dependent upon key data inputs estimated by management. The primary data inputs with the greatest degree of judgment are the expected term of stock-based awards and the estimated volatility of the Company’s common stock price. The Black-Scholes model is sensitive to changes in these two variables. Since the Company’s initial public offering (“IPO”), the expected term of the Company’s stock options is generally determined using the mid-point between the vesting period and the end of the contractual term. Expected stock price volatility is typically based on the daily historical trading data for a period equal to the expected term. Because the Company’s historical trading data only dates back to October 8, 2009, the first trading date after its IPO, the Company has estimated expected volatility using an analysis of the stock price volatility of comparable peer companies. Prior to the Company’s IPO, the exercise price equaled the estimated fair market value of the Company’s common stock, as determined by its board of directors. Since the Company’s IPO, the exercise price of stock option grants is determined using the closing market price of the Company’s common stock on the date of grant.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2009, the FASB issued guidance on revenue recognition related to multiple-element arrangements. The new guidance requires companies to allocate revenue in multiple-element arrangements based on an element’s estimated selling price if vendor-specific or other first party evidence of value is not available. This guidance is effective prospectively for revenue arrangements entered into or materially modified in fiscal years beginning on or after June 15, 2010. Early adoption is permitted retrospectively from the beginning of an entity’s fiscal year. The Company does not expect a significant impact on the financial statements of the Company when the guidance is adopted in fiscal 2012.</w:t>
      </w:r>
    </w:p>
    <w:p>
      <w:pPr>
        <w:spacing w:after="0" w:line="184" w:lineRule="exact"/>
        <w:rPr>
          <w:sz w:val="20"/>
          <w:szCs w:val="20"/>
          <w:color w:val="auto"/>
        </w:rPr>
      </w:pPr>
    </w:p>
    <w:p>
      <w:pPr>
        <w:ind w:left="760" w:hanging="752"/>
        <w:spacing w:after="0"/>
        <w:tabs>
          <w:tab w:leader="none" w:pos="7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2009, the Company completed its initial public offering of 10,000,000 shares of common stock at a price of $12.50 per share. The Company sold 6,700,000 shares. The Company received net proceeds of approximately $74.0 million from the offering. The Company used approximately $68.0 million of the net proceeds to repay the outstanding principal balance of the term loan ($25.0 million), outstanding balance of the revolver ($41.4 million) and accrued interest thereon ($0.1 million), as well as approximately $1.5 million to pay costs and expenses related to the offering. The remaining proceeds (approximately $6.0 million) were used for acquisitions and working capital purposes.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Dividends on common stock will be paid when, and if declared by the board of directors. Each holder of common stock is entitled to vote on all matters and is entitled to one vote for each share held.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its IPO in October 2009, the Company completed several private placements of its Class A and Class B preferred stock. These preferred shares included various redemption and conversion features and were reported outside the equity section and adjusted to fair value, which represented their redemption value at each reporting date. All of the preferred shares outstanding as of the offering converted to common stock and all accretion recorded through the redemption price formula were credited to additional paid-in capital.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2009, the Company’s Board of Directors and shareholders adopted and approved the 2009 Long-Term Incentive Plan (the “2009 Plan”), which became effective upon the closing of the IPO. Awards may be in the form of stock options, restricted stock units and other forms of stock-based incentives, including stock appreciation rights and deferred stock rights. The term of each incentive and non-qualified stock option is ten years. Vesting generally occurs over a period of four years, the expense for which is recorded on a straight-line basis over the requisite service period. The Plan allows for the grant of awards of up to approximately 2,286,000 shares, of which approximately 1,997,000 shares were available as of August 31, 2010 for future grants under the 2009 Plan.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Prior to the Company’s IPO in October 2009, the Company had two stock option plans: (i) the 1995 Incentive Stock Option and Restricted Stock Purchase Plan (the “1995 Plan”), and (ii) the 2007 Stock Option Plan (the “2007 Plan”). No additional awards may be granted from these two plans.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2009 Plan, the 2007 Plan and the 1995 Plan, collectively, there were a total of approximately 2,911,000 stock options and 219,000 restricted stock units outstanding as of August 31, 2010.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Company’s stock option awards was estimated at the date of grant using the Black-Scholes option-pricing model with the following range of assumptions:</w:t>
      </w:r>
    </w:p>
    <w:p>
      <w:pPr>
        <w:spacing w:after="0" w:line="166"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For the three months ended August 31,</w:t>
      </w:r>
    </w:p>
    <w:p>
      <w:pPr>
        <w:spacing w:after="0" w:line="27"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980" w:type="dxa"/>
            <w:vAlign w:val="bottom"/>
            <w:gridSpan w:val="2"/>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74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2009</w:t>
            </w:r>
          </w:p>
        </w:tc>
        <w:tc>
          <w:tcPr>
            <w:tcW w:w="4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Dividend yield</w:t>
            </w:r>
          </w:p>
        </w:tc>
        <w:tc>
          <w:tcPr>
            <w:tcW w:w="560" w:type="dxa"/>
            <w:vAlign w:val="bottom"/>
            <w:shd w:val="clear" w:color="auto" w:fill="EAF9E8"/>
          </w:tcPr>
          <w:p>
            <w:pPr>
              <w:jc w:val="right"/>
              <w:ind w:right="230"/>
              <w:spacing w:after="0"/>
              <w:rPr>
                <w:sz w:val="20"/>
                <w:szCs w:val="20"/>
                <w:color w:val="auto"/>
              </w:rPr>
            </w:pPr>
            <w:r>
              <w:rPr>
                <w:rFonts w:ascii="Arial" w:cs="Arial" w:eastAsia="Arial" w:hAnsi="Arial"/>
                <w:sz w:val="18"/>
                <w:szCs w:val="18"/>
                <w:color w:val="auto"/>
                <w:w w:val="87"/>
              </w:rPr>
              <w:t>0.0</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7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0.0</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74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EAF9E8"/>
          </w:tcPr>
          <w:p>
            <w:pPr>
              <w:spacing w:after="0"/>
              <w:rPr>
                <w:sz w:val="17"/>
                <w:szCs w:val="17"/>
                <w:color w:val="auto"/>
              </w:rPr>
            </w:pPr>
          </w:p>
        </w:tc>
        <w:tc>
          <w:tcPr>
            <w:tcW w:w="1440" w:type="dxa"/>
            <w:vAlign w:val="bottom"/>
            <w:shd w:val="clear" w:color="auto" w:fill="EAF9E8"/>
          </w:tcPr>
          <w:p>
            <w:pPr>
              <w:spacing w:after="0"/>
              <w:rPr>
                <w:sz w:val="17"/>
                <w:szCs w:val="17"/>
                <w:color w:val="auto"/>
              </w:rPr>
            </w:pPr>
          </w:p>
        </w:tc>
        <w:tc>
          <w:tcPr>
            <w:tcW w:w="560" w:type="dxa"/>
            <w:vAlign w:val="bottom"/>
            <w:shd w:val="clear" w:color="auto" w:fill="EAF9E8"/>
          </w:tcPr>
          <w:p>
            <w:pPr>
              <w:spacing w:after="0"/>
              <w:rPr>
                <w:sz w:val="17"/>
                <w:szCs w:val="17"/>
                <w:color w:val="auto"/>
              </w:rPr>
            </w:pPr>
          </w:p>
        </w:tc>
        <w:tc>
          <w:tcPr>
            <w:tcW w:w="500" w:type="dxa"/>
            <w:vAlign w:val="bottom"/>
            <w:shd w:val="clear" w:color="auto" w:fill="EAF9E8"/>
          </w:tcPr>
          <w:p>
            <w:pPr>
              <w:spacing w:after="0"/>
              <w:rPr>
                <w:sz w:val="17"/>
                <w:szCs w:val="17"/>
                <w:color w:val="auto"/>
              </w:rPr>
            </w:pPr>
          </w:p>
        </w:tc>
        <w:tc>
          <w:tcPr>
            <w:tcW w:w="2740" w:type="dxa"/>
            <w:vAlign w:val="bottom"/>
            <w:gridSpan w:val="2"/>
            <w:shd w:val="clear" w:color="auto" w:fill="EAF9E8"/>
          </w:tcPr>
          <w:p>
            <w:pPr>
              <w:jc w:val="right"/>
              <w:ind w:right="340"/>
              <w:spacing w:after="0" w:line="201" w:lineRule="exact"/>
              <w:rPr>
                <w:sz w:val="20"/>
                <w:szCs w:val="20"/>
                <w:color w:val="auto"/>
              </w:rPr>
            </w:pPr>
            <w:r>
              <w:rPr>
                <w:rFonts w:ascii="Arial" w:cs="Arial" w:eastAsia="Arial" w:hAnsi="Arial"/>
                <w:sz w:val="18"/>
                <w:szCs w:val="18"/>
                <w:color w:val="auto"/>
              </w:rPr>
              <w:t>1.9-</w:t>
            </w:r>
          </w:p>
        </w:tc>
        <w:tc>
          <w:tcPr>
            <w:tcW w:w="480" w:type="dxa"/>
            <w:vAlign w:val="bottom"/>
            <w:shd w:val="clear" w:color="auto" w:fill="EAF9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EAF9E8"/>
          </w:tcPr>
          <w:p>
            <w:pPr>
              <w:jc w:val="right"/>
              <w:ind w:right="230"/>
              <w:spacing w:after="0"/>
              <w:rPr>
                <w:sz w:val="20"/>
                <w:szCs w:val="20"/>
                <w:color w:val="auto"/>
              </w:rPr>
            </w:pPr>
            <w:r>
              <w:rPr>
                <w:rFonts w:ascii="Arial" w:cs="Arial" w:eastAsia="Arial" w:hAnsi="Arial"/>
                <w:sz w:val="18"/>
                <w:szCs w:val="18"/>
                <w:color w:val="auto"/>
                <w:w w:val="87"/>
              </w:rPr>
              <w:t>2.6</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740" w:type="dxa"/>
            <w:vAlign w:val="bottom"/>
            <w:gridSpan w:val="2"/>
            <w:shd w:val="clear" w:color="auto" w:fill="EAF9E8"/>
          </w:tcPr>
          <w:p>
            <w:pPr>
              <w:jc w:val="right"/>
              <w:ind w:right="340"/>
              <w:spacing w:after="0"/>
              <w:rPr>
                <w:sz w:val="20"/>
                <w:szCs w:val="20"/>
                <w:color w:val="auto"/>
              </w:rPr>
            </w:pPr>
            <w:r>
              <w:rPr>
                <w:rFonts w:ascii="Arial" w:cs="Arial" w:eastAsia="Arial" w:hAnsi="Arial"/>
                <w:sz w:val="18"/>
                <w:szCs w:val="18"/>
                <w:color w:val="auto"/>
              </w:rPr>
              <w:t>3.0</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4.0-</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Expected term (years)</w:t>
            </w:r>
          </w:p>
        </w:tc>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6.3</w:t>
            </w:r>
          </w:p>
        </w:tc>
        <w:tc>
          <w:tcPr>
            <w:tcW w:w="500" w:type="dxa"/>
            <w:vAlign w:val="bottom"/>
          </w:tcPr>
          <w:p>
            <w:pPr>
              <w:spacing w:after="0"/>
              <w:rPr>
                <w:sz w:val="20"/>
                <w:szCs w:val="20"/>
                <w:color w:val="auto"/>
              </w:rPr>
            </w:pPr>
          </w:p>
        </w:tc>
        <w:tc>
          <w:tcPr>
            <w:tcW w:w="2740" w:type="dxa"/>
            <w:vAlign w:val="bottom"/>
            <w:gridSpan w:val="2"/>
          </w:tcPr>
          <w:p>
            <w:pPr>
              <w:jc w:val="right"/>
              <w:ind w:right="340"/>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recognized stock-based compensation expense related to stock option awards of approximately $710 thousand, and $250 thousand for the three months ended August 31, 2010, and 2009, respectively. As of August 31, 2010, there was approximately $9.4 million of unrecognized compensation costs, net of estimated forfeitures, related to stock option awards which are expected to be recognized over a remaining weighted average period of 2.9 years. There were no stock option exercises during the three months ended August 31, 2010 and 2009.</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recognized $19 thousand in stock-based compensation expense related to restricted stock unit awards during the three months ended August 31, 2010. There was no such expense incurred during the three months ended August 31, 2009. As of August 31, 2010, there was approximately $2.1 million of unrecognized compensation costs, net of estimated forfeitures, related to restricted stock unit awards, which are expected to be recognized over a remaining weighted average period of 4.0 years.</w:t>
      </w:r>
    </w:p>
    <w:p>
      <w:pPr>
        <w:spacing w:after="0" w:line="183" w:lineRule="exact"/>
        <w:rPr>
          <w:sz w:val="20"/>
          <w:szCs w:val="20"/>
          <w:color w:val="auto"/>
        </w:rPr>
      </w:pPr>
    </w:p>
    <w:p>
      <w:pPr>
        <w:ind w:left="840" w:hanging="832"/>
        <w:spacing w:after="0"/>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Assets and liabilities of the acquired businesses were included in the Consolidated Balance Sheet as of August 31, 2010 based on their estimated fair value on the date of acquisition as determined in a purchase price allocation, using available information and making assumptions management believes are reasonable. Results of operations for the period from acquisition date are reported in each respective operating segment’s statement of operations.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made two acquisitions during the quarter ended August 31, 2010 for strategic market expansion. The first acquisition was an asset purchase that met the definition of a “business” as defined by the Financial Accounting Standards Board (“FASB”) Accounting Standards Codification (“ASC”) 805-10-20. In the second acquisition, we acquired 80% of the common stock of the acquiree. The remaining 20% of the acquiree’s common stock is recorded as noncontrolling interest in stockholders’ equity. Revenues included in the Consolidated Statement of Operations for the three months ended August 31, 2010 from these acquisitions for the period subsequent to the closing of each respective transaction was approximately $1.1 million. On a pro forma basis from the beginning of fiscal 2010, revenues from these acquisitions would have been approximately $2.1 million. Operating income or other financial measures for these acquisitions both from the date of closing of each respective transaction and on a pro forma basis is impractical to estimate due to the integration of these entities post-acquisition.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The table below summarizes the preliminary purchase price allocation for all acquisitions:</w:t>
            </w: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16"/>
        </w:trPr>
        <w:tc>
          <w:tcPr>
            <w:tcW w:w="17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0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Number of entities</w:t>
            </w:r>
          </w:p>
        </w:tc>
        <w:tc>
          <w:tcPr>
            <w:tcW w:w="108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Total cost:</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0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Cash paid</w:t>
            </w:r>
          </w:p>
        </w:tc>
        <w:tc>
          <w:tcPr>
            <w:tcW w:w="10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5,301</w:t>
            </w:r>
          </w:p>
        </w:tc>
        <w:tc>
          <w:tcPr>
            <w:tcW w:w="3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Subordinated notes issued</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1,637</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23"/>
        </w:trPr>
        <w:tc>
          <w:tcPr>
            <w:tcW w:w="1740" w:type="dxa"/>
            <w:vAlign w:val="bottom"/>
          </w:tcPr>
          <w:p>
            <w:pPr>
              <w:spacing w:after="0"/>
              <w:rPr>
                <w:sz w:val="19"/>
                <w:szCs w:val="19"/>
                <w:color w:val="auto"/>
              </w:rPr>
            </w:pPr>
          </w:p>
        </w:tc>
        <w:tc>
          <w:tcPr>
            <w:tcW w:w="6080" w:type="dxa"/>
            <w:vAlign w:val="bottom"/>
            <w:tcBorders>
              <w:bottom w:val="single" w:sz="8" w:color="EAF9E8"/>
            </w:tcBorders>
            <w:shd w:val="clear" w:color="auto" w:fill="EAF9E8"/>
          </w:tcPr>
          <w:p>
            <w:pPr>
              <w:ind w:left="320"/>
              <w:spacing w:after="0"/>
              <w:rPr>
                <w:sz w:val="20"/>
                <w:szCs w:val="20"/>
                <w:color w:val="auto"/>
              </w:rPr>
            </w:pPr>
            <w:r>
              <w:rPr>
                <w:rFonts w:ascii="Arial" w:cs="Arial" w:eastAsia="Arial" w:hAnsi="Arial"/>
                <w:sz w:val="18"/>
                <w:szCs w:val="18"/>
                <w:color w:val="auto"/>
              </w:rPr>
              <w:t>Debt assumed</w:t>
            </w:r>
          </w:p>
        </w:tc>
        <w:tc>
          <w:tcPr>
            <w:tcW w:w="1080" w:type="dxa"/>
            <w:vAlign w:val="bottom"/>
            <w:tcBorders>
              <w:bottom w:val="single" w:sz="8" w:color="auto"/>
            </w:tcBorders>
            <w:shd w:val="clear" w:color="auto" w:fill="EAF9E8"/>
          </w:tcPr>
          <w:p>
            <w:pPr>
              <w:spacing w:after="0"/>
              <w:rPr>
                <w:sz w:val="19"/>
                <w:szCs w:val="19"/>
                <w:color w:val="auto"/>
              </w:rPr>
            </w:pPr>
          </w:p>
        </w:tc>
        <w:tc>
          <w:tcPr>
            <w:tcW w:w="7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98</w:t>
            </w:r>
          </w:p>
        </w:tc>
        <w:tc>
          <w:tcPr>
            <w:tcW w:w="320" w:type="dxa"/>
            <w:vAlign w:val="bottom"/>
            <w:tcBorders>
              <w:bottom w:val="single" w:sz="8" w:color="EAF9E8"/>
            </w:tcBorders>
            <w:shd w:val="clear" w:color="auto" w:fill="EAF9E8"/>
          </w:tcPr>
          <w:p>
            <w:pPr>
              <w:spacing w:after="0"/>
              <w:rPr>
                <w:sz w:val="19"/>
                <w:szCs w:val="19"/>
                <w:color w:val="auto"/>
              </w:rPr>
            </w:pPr>
          </w:p>
        </w:tc>
        <w:tc>
          <w:tcPr>
            <w:tcW w:w="400" w:type="dxa"/>
            <w:vAlign w:val="bottom"/>
            <w:tcBorders>
              <w:bottom w:val="single" w:sz="8" w:color="EAF9E8"/>
            </w:tcBorders>
            <w:shd w:val="clear" w:color="auto" w:fill="EAF9E8"/>
          </w:tcPr>
          <w:p>
            <w:pPr>
              <w:spacing w:after="0"/>
              <w:rPr>
                <w:sz w:val="19"/>
                <w:szCs w:val="19"/>
                <w:color w:val="auto"/>
              </w:rPr>
            </w:pPr>
          </w:p>
        </w:tc>
      </w:tr>
      <w:tr>
        <w:trPr>
          <w:trHeight w:val="216"/>
        </w:trPr>
        <w:tc>
          <w:tcPr>
            <w:tcW w:w="17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080" w:type="dxa"/>
            <w:vAlign w:val="bottom"/>
            <w:shd w:val="clear" w:color="auto" w:fill="EAF9E8"/>
          </w:tcPr>
          <w:p>
            <w:pPr>
              <w:spacing w:after="0"/>
              <w:rPr>
                <w:sz w:val="18"/>
                <w:szCs w:val="18"/>
                <w:color w:val="auto"/>
              </w:rPr>
            </w:pPr>
          </w:p>
        </w:tc>
        <w:tc>
          <w:tcPr>
            <w:tcW w:w="1080" w:type="dxa"/>
            <w:vAlign w:val="bottom"/>
            <w:shd w:val="clear" w:color="auto" w:fill="EAF9E8"/>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7,036</w:t>
            </w:r>
          </w:p>
        </w:tc>
        <w:tc>
          <w:tcPr>
            <w:tcW w:w="3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0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Current assets acquired</w:t>
            </w:r>
          </w:p>
        </w:tc>
        <w:tc>
          <w:tcPr>
            <w:tcW w:w="108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w:t>
            </w:r>
          </w:p>
        </w:tc>
        <w:tc>
          <w:tcPr>
            <w:tcW w:w="3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Property, plant and equipment</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1,067</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0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Deferred tax asset</w:t>
            </w:r>
          </w:p>
        </w:tc>
        <w:tc>
          <w:tcPr>
            <w:tcW w:w="108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Intangibles, primarily customer lists</w:t>
            </w: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2,655</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0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Goodwill</w:t>
            </w:r>
          </w:p>
        </w:tc>
        <w:tc>
          <w:tcPr>
            <w:tcW w:w="1080" w:type="dxa"/>
            <w:vAlign w:val="bottom"/>
            <w:shd w:val="clear" w:color="auto" w:fill="EAF9E8"/>
          </w:tcPr>
          <w:p>
            <w:pPr>
              <w:spacing w:after="0"/>
              <w:rPr>
                <w:sz w:val="18"/>
                <w:szCs w:val="18"/>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3,366</w:t>
            </w:r>
          </w:p>
        </w:tc>
        <w:tc>
          <w:tcPr>
            <w:tcW w:w="3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r>
      <w:tr>
        <w:trPr>
          <w:trHeight w:val="223"/>
        </w:trPr>
        <w:tc>
          <w:tcPr>
            <w:tcW w:w="1740" w:type="dxa"/>
            <w:vAlign w:val="bottom"/>
          </w:tcPr>
          <w:p>
            <w:pPr>
              <w:spacing w:after="0"/>
              <w:rPr>
                <w:sz w:val="19"/>
                <w:szCs w:val="19"/>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Less: noncontrolling interest</w:t>
            </w:r>
          </w:p>
        </w:tc>
        <w:tc>
          <w:tcPr>
            <w:tcW w:w="10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tcPr>
          <w:p>
            <w:pPr>
              <w:spacing w:after="0"/>
              <w:rPr>
                <w:sz w:val="18"/>
                <w:szCs w:val="18"/>
                <w:color w:val="auto"/>
              </w:rPr>
            </w:pPr>
          </w:p>
        </w:tc>
        <w:tc>
          <w:tcPr>
            <w:tcW w:w="6080" w:type="dxa"/>
            <w:vAlign w:val="bottom"/>
            <w:shd w:val="clear" w:color="auto" w:fill="EAF9E8"/>
          </w:tcPr>
          <w:p>
            <w:pPr>
              <w:spacing w:after="0"/>
              <w:rPr>
                <w:sz w:val="18"/>
                <w:szCs w:val="18"/>
                <w:color w:val="auto"/>
              </w:rPr>
            </w:pPr>
          </w:p>
        </w:tc>
        <w:tc>
          <w:tcPr>
            <w:tcW w:w="1080" w:type="dxa"/>
            <w:vAlign w:val="bottom"/>
            <w:tcBorders>
              <w:top w:val="single" w:sz="8" w:color="auto"/>
            </w:tcBorders>
            <w:shd w:val="clear" w:color="auto" w:fill="EAF9E8"/>
          </w:tcPr>
          <w:p>
            <w:pPr>
              <w:spacing w:after="0"/>
              <w:rPr>
                <w:sz w:val="18"/>
                <w:szCs w:val="18"/>
                <w:color w:val="auto"/>
              </w:rPr>
            </w:pPr>
          </w:p>
        </w:tc>
        <w:tc>
          <w:tcPr>
            <w:tcW w:w="720" w:type="dxa"/>
            <w:vAlign w:val="bottom"/>
            <w:tcBorders>
              <w:top w:val="single" w:sz="8" w:color="auto"/>
            </w:tcBorders>
            <w:shd w:val="clear" w:color="auto" w:fill="EAF9E8"/>
          </w:tcPr>
          <w:p>
            <w:pPr>
              <w:spacing w:after="0"/>
              <w:rPr>
                <w:sz w:val="18"/>
                <w:szCs w:val="18"/>
                <w:color w:val="auto"/>
              </w:rPr>
            </w:pPr>
          </w:p>
        </w:tc>
        <w:tc>
          <w:tcPr>
            <w:tcW w:w="32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
        </w:trPr>
        <w:tc>
          <w:tcPr>
            <w:tcW w:w="17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amortization period of intangible assets acquired range from one to seven years. Goodwill of approximately $3.4 million resulting from these acquisitions arises largely from the synergies expected from combining the operations of the acquisitions with our existing services operations, as well as from the benefits derived from the assembled workforce of the acquired companies. The goodwill recognized is expected to be deductible for tax purposes.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5.</w:t>
            </w:r>
          </w:p>
        </w:tc>
        <w:tc>
          <w:tcPr>
            <w:tcW w:w="4260" w:type="dxa"/>
            <w:vAlign w:val="bottom"/>
          </w:tcPr>
          <w:p>
            <w:pPr>
              <w:ind w:left="240"/>
              <w:spacing w:after="0"/>
              <w:rPr>
                <w:sz w:val="20"/>
                <w:szCs w:val="20"/>
                <w:color w:val="auto"/>
              </w:rPr>
            </w:pPr>
            <w:r>
              <w:rPr>
                <w:rFonts w:ascii="Arial" w:cs="Arial" w:eastAsia="Arial" w:hAnsi="Arial"/>
                <w:sz w:val="18"/>
                <w:szCs w:val="18"/>
                <w:b w:val="1"/>
                <w:bCs w:val="1"/>
                <w:color w:val="auto"/>
              </w:rPr>
              <w:t>Property, plant and equipment, net</w:t>
            </w: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780" w:type="dxa"/>
            <w:vAlign w:val="bottom"/>
            <w:gridSpan w:val="2"/>
          </w:tcPr>
          <w:p>
            <w:pPr>
              <w:jc w:val="center"/>
              <w:ind w:right="70"/>
              <w:spacing w:after="0"/>
              <w:rPr>
                <w:sz w:val="20"/>
                <w:szCs w:val="20"/>
                <w:color w:val="auto"/>
              </w:rPr>
            </w:pPr>
            <w:r>
              <w:rPr>
                <w:rFonts w:ascii="Arial" w:cs="Arial" w:eastAsia="Arial" w:hAnsi="Arial"/>
                <w:sz w:val="18"/>
                <w:szCs w:val="18"/>
                <w:color w:val="auto"/>
                <w:w w:val="96"/>
              </w:rPr>
              <w:t>Useful Life</w:t>
            </w:r>
          </w:p>
        </w:tc>
        <w:tc>
          <w:tcPr>
            <w:tcW w:w="18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August 31, 2010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31, 2010</w:t>
            </w:r>
          </w:p>
        </w:tc>
      </w:tr>
      <w:tr>
        <w:trPr>
          <w:trHeight w:val="216"/>
        </w:trPr>
        <w:tc>
          <w:tcPr>
            <w:tcW w:w="6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color w:val="auto"/>
                <w:w w:val="88"/>
              </w:rPr>
              <w:t>(Years)</w:t>
            </w: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 w:type="dxa"/>
            <w:vAlign w:val="bottom"/>
            <w:shd w:val="clear" w:color="auto" w:fill="EAF9E8"/>
          </w:tcPr>
          <w:p>
            <w:pPr>
              <w:spacing w:after="0"/>
              <w:rPr>
                <w:sz w:val="20"/>
                <w:szCs w:val="20"/>
                <w:color w:val="auto"/>
              </w:rPr>
            </w:pPr>
            <w:r>
              <w:rPr>
                <w:rFonts w:ascii="Arial" w:cs="Arial" w:eastAsia="Arial" w:hAnsi="Arial"/>
                <w:sz w:val="18"/>
                <w:szCs w:val="18"/>
                <w:color w:val="auto"/>
              </w:rPr>
              <w:t>Land</w:t>
            </w:r>
          </w:p>
        </w:tc>
        <w:tc>
          <w:tcPr>
            <w:tcW w:w="4260" w:type="dxa"/>
            <w:vAlign w:val="bottom"/>
            <w:shd w:val="clear" w:color="auto" w:fill="EAF9E8"/>
          </w:tcPr>
          <w:p>
            <w:pPr>
              <w:spacing w:after="0"/>
              <w:rPr>
                <w:sz w:val="18"/>
                <w:szCs w:val="18"/>
                <w:color w:val="auto"/>
              </w:rPr>
            </w:pPr>
          </w:p>
        </w:tc>
        <w:tc>
          <w:tcPr>
            <w:tcW w:w="2780" w:type="dxa"/>
            <w:vAlign w:val="bottom"/>
            <w:gridSpan w:val="2"/>
            <w:shd w:val="clear" w:color="auto" w:fill="EAF9E8"/>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2,186</w:t>
            </w:r>
          </w:p>
        </w:tc>
        <w:tc>
          <w:tcPr>
            <w:tcW w:w="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1,304</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2580" w:type="dxa"/>
            <w:vAlign w:val="bottom"/>
          </w:tcPr>
          <w:p>
            <w:pPr>
              <w:jc w:val="center"/>
              <w:ind w:left="70"/>
              <w:spacing w:after="0"/>
              <w:rPr>
                <w:sz w:val="20"/>
                <w:szCs w:val="20"/>
                <w:color w:val="auto"/>
              </w:rPr>
            </w:pPr>
            <w:r>
              <w:rPr>
                <w:rFonts w:ascii="Arial" w:cs="Arial" w:eastAsia="Arial" w:hAnsi="Arial"/>
                <w:sz w:val="18"/>
                <w:szCs w:val="18"/>
                <w:color w:val="auto"/>
                <w:w w:val="91"/>
              </w:rPr>
              <w:t>30-40</w:t>
            </w:r>
          </w:p>
        </w:tc>
        <w:tc>
          <w:tcPr>
            <w:tcW w:w="2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10,677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10,240</w:t>
            </w:r>
          </w:p>
        </w:tc>
      </w:tr>
      <w:tr>
        <w:trPr>
          <w:trHeight w:val="216"/>
        </w:trPr>
        <w:tc>
          <w:tcPr>
            <w:tcW w:w="48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Office furniture and equipment</w:t>
            </w:r>
          </w:p>
        </w:tc>
        <w:tc>
          <w:tcPr>
            <w:tcW w:w="2580" w:type="dxa"/>
            <w:vAlign w:val="bottom"/>
            <w:shd w:val="clear" w:color="auto" w:fill="EAF9E8"/>
          </w:tcPr>
          <w:p>
            <w:pPr>
              <w:jc w:val="center"/>
              <w:ind w:left="50"/>
              <w:spacing w:after="0"/>
              <w:rPr>
                <w:sz w:val="20"/>
                <w:szCs w:val="20"/>
                <w:color w:val="auto"/>
              </w:rPr>
            </w:pPr>
            <w:r>
              <w:rPr>
                <w:rFonts w:ascii="Arial" w:cs="Arial" w:eastAsia="Arial" w:hAnsi="Arial"/>
                <w:sz w:val="18"/>
                <w:szCs w:val="18"/>
                <w:color w:val="auto"/>
                <w:w w:val="92"/>
              </w:rPr>
              <w:t>5-8</w:t>
            </w:r>
          </w:p>
        </w:tc>
        <w:tc>
          <w:tcPr>
            <w:tcW w:w="20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3,543</w:t>
            </w:r>
          </w:p>
        </w:tc>
        <w:tc>
          <w:tcPr>
            <w:tcW w:w="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1,479</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2580" w:type="dxa"/>
            <w:vAlign w:val="bottom"/>
          </w:tcPr>
          <w:p>
            <w:pPr>
              <w:jc w:val="center"/>
              <w:ind w:left="50"/>
              <w:spacing w:after="0"/>
              <w:rPr>
                <w:sz w:val="20"/>
                <w:szCs w:val="20"/>
                <w:color w:val="auto"/>
              </w:rPr>
            </w:pPr>
            <w:r>
              <w:rPr>
                <w:rFonts w:ascii="Arial" w:cs="Arial" w:eastAsia="Arial" w:hAnsi="Arial"/>
                <w:sz w:val="18"/>
                <w:szCs w:val="18"/>
                <w:color w:val="auto"/>
                <w:w w:val="92"/>
              </w:rPr>
              <w:t>5-7</w:t>
            </w:r>
          </w:p>
        </w:tc>
        <w:tc>
          <w:tcPr>
            <w:tcW w:w="2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68,499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68,238</w:t>
            </w:r>
          </w:p>
        </w:tc>
      </w:tr>
      <w:tr>
        <w:trPr>
          <w:trHeight w:val="27"/>
        </w:trPr>
        <w:tc>
          <w:tcPr>
            <w:tcW w:w="6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 w:type="dxa"/>
            <w:vAlign w:val="bottom"/>
            <w:shd w:val="clear" w:color="auto" w:fill="EAF9E8"/>
          </w:tcPr>
          <w:p>
            <w:pPr>
              <w:spacing w:after="0"/>
              <w:rPr>
                <w:sz w:val="18"/>
                <w:szCs w:val="18"/>
                <w:color w:val="auto"/>
              </w:rPr>
            </w:pPr>
          </w:p>
        </w:tc>
        <w:tc>
          <w:tcPr>
            <w:tcW w:w="4260" w:type="dxa"/>
            <w:vAlign w:val="bottom"/>
            <w:shd w:val="clear" w:color="auto" w:fill="EAF9E8"/>
          </w:tcPr>
          <w:p>
            <w:pPr>
              <w:spacing w:after="0"/>
              <w:rPr>
                <w:sz w:val="18"/>
                <w:szCs w:val="18"/>
                <w:color w:val="auto"/>
              </w:rPr>
            </w:pPr>
          </w:p>
        </w:tc>
        <w:tc>
          <w:tcPr>
            <w:tcW w:w="25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84,905</w:t>
            </w:r>
          </w:p>
        </w:tc>
        <w:tc>
          <w:tcPr>
            <w:tcW w:w="24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81,261</w:t>
            </w: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44,436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41,280</w:t>
            </w:r>
          </w:p>
        </w:tc>
      </w:tr>
      <w:tr>
        <w:trPr>
          <w:trHeight w:val="27"/>
        </w:trPr>
        <w:tc>
          <w:tcPr>
            <w:tcW w:w="6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20" w:type="dxa"/>
            <w:vAlign w:val="bottom"/>
            <w:shd w:val="clear" w:color="auto" w:fill="EAF9E8"/>
          </w:tcPr>
          <w:p>
            <w:pPr>
              <w:spacing w:after="0"/>
              <w:rPr>
                <w:sz w:val="20"/>
                <w:szCs w:val="20"/>
                <w:color w:val="auto"/>
              </w:rPr>
            </w:pPr>
          </w:p>
        </w:tc>
        <w:tc>
          <w:tcPr>
            <w:tcW w:w="4260" w:type="dxa"/>
            <w:vAlign w:val="bottom"/>
            <w:shd w:val="clear" w:color="auto" w:fill="EAF9E8"/>
          </w:tcPr>
          <w:p>
            <w:pPr>
              <w:spacing w:after="0"/>
              <w:rPr>
                <w:sz w:val="20"/>
                <w:szCs w:val="20"/>
                <w:color w:val="auto"/>
              </w:rPr>
            </w:pPr>
          </w:p>
        </w:tc>
        <w:tc>
          <w:tcPr>
            <w:tcW w:w="2580" w:type="dxa"/>
            <w:vAlign w:val="bottom"/>
            <w:shd w:val="clear" w:color="auto" w:fill="EAF9E8"/>
          </w:tcPr>
          <w:p>
            <w:pPr>
              <w:spacing w:after="0"/>
              <w:rPr>
                <w:sz w:val="20"/>
                <w:szCs w:val="20"/>
                <w:color w:val="auto"/>
              </w:rPr>
            </w:pPr>
          </w:p>
        </w:tc>
        <w:tc>
          <w:tcPr>
            <w:tcW w:w="200" w:type="dxa"/>
            <w:vAlign w:val="bottom"/>
            <w:shd w:val="clear" w:color="auto" w:fill="EAF9E8"/>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40,469</w:t>
            </w:r>
          </w:p>
        </w:tc>
        <w:tc>
          <w:tcPr>
            <w:tcW w:w="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39,981</w:t>
            </w:r>
          </w:p>
        </w:tc>
      </w:tr>
      <w:tr>
        <w:trPr>
          <w:trHeight w:val="20"/>
        </w:trPr>
        <w:tc>
          <w:tcPr>
            <w:tcW w:w="620" w:type="dxa"/>
            <w:vAlign w:val="bottom"/>
            <w:tcBorders>
              <w:top w:val="single" w:sz="8" w:color="EAF9E8"/>
            </w:tcBorders>
            <w:shd w:val="clear" w:color="auto" w:fill="EAF9E8"/>
          </w:tcPr>
          <w:p>
            <w:pPr>
              <w:spacing w:after="0" w:line="20" w:lineRule="exact"/>
              <w:rPr>
                <w:sz w:val="1"/>
                <w:szCs w:val="1"/>
                <w:color w:val="auto"/>
              </w:rPr>
            </w:pPr>
          </w:p>
        </w:tc>
        <w:tc>
          <w:tcPr>
            <w:tcW w:w="4260" w:type="dxa"/>
            <w:vAlign w:val="bottom"/>
            <w:tcBorders>
              <w:top w:val="single" w:sz="8" w:color="EAF9E8"/>
            </w:tcBorders>
            <w:shd w:val="clear" w:color="auto" w:fill="EAF9E8"/>
          </w:tcPr>
          <w:p>
            <w:pPr>
              <w:spacing w:after="0" w:line="20" w:lineRule="exact"/>
              <w:rPr>
                <w:sz w:val="1"/>
                <w:szCs w:val="1"/>
                <w:color w:val="auto"/>
              </w:rPr>
            </w:pPr>
          </w:p>
        </w:tc>
        <w:tc>
          <w:tcPr>
            <w:tcW w:w="258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August 31, 2010 and 2009 was $3.0 million and $2.5 million, respectively.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760" w:hanging="752"/>
        <w:spacing w:after="0"/>
        <w:tabs>
          <w:tab w:leader="none" w:pos="7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Allowance for Doubtful Accounts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 allowance for doubtful accounts is provided against accounts receivable for amounts management believes may be uncollectible. Changes in the allowance for doubtful accounts are represented by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00" w:type="dxa"/>
            <w:vAlign w:val="bottom"/>
            <w:shd w:val="clear" w:color="auto" w:fill="EAF9E8"/>
          </w:tcPr>
          <w:p>
            <w:pPr>
              <w:spacing w:after="0"/>
              <w:rPr>
                <w:sz w:val="20"/>
                <w:szCs w:val="20"/>
                <w:color w:val="auto"/>
              </w:rPr>
            </w:pPr>
            <w:r>
              <w:rPr>
                <w:rFonts w:ascii="Arial" w:cs="Arial" w:eastAsia="Arial" w:hAnsi="Arial"/>
                <w:sz w:val="18"/>
                <w:szCs w:val="18"/>
                <w:color w:val="auto"/>
              </w:rPr>
              <w:t>Balance, May 31, 2010</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80" w:type="dxa"/>
            <w:vAlign w:val="bottom"/>
            <w:tcBorders>
              <w:right w:val="single" w:sz="8" w:color="EAF9E8"/>
            </w:tcBorders>
            <w:shd w:val="clear" w:color="auto" w:fill="EAF9E8"/>
          </w:tcPr>
          <w:p>
            <w:pPr>
              <w:jc w:val="right"/>
              <w:ind w:right="123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w w:val="97"/>
              </w:rPr>
              <w:t>1,661</w:t>
            </w:r>
          </w:p>
        </w:tc>
        <w:tc>
          <w:tcPr>
            <w:tcW w:w="18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00" w:type="dxa"/>
            <w:vAlign w:val="bottom"/>
            <w:shd w:val="clear" w:color="auto" w:fill="EAF9E8"/>
          </w:tcPr>
          <w:p>
            <w:pPr>
              <w:spacing w:after="0"/>
              <w:rPr>
                <w:sz w:val="20"/>
                <w:szCs w:val="20"/>
                <w:color w:val="auto"/>
              </w:rPr>
            </w:pPr>
            <w:r>
              <w:rPr>
                <w:rFonts w:ascii="Arial" w:cs="Arial" w:eastAsia="Arial" w:hAnsi="Arial"/>
                <w:sz w:val="18"/>
                <w:szCs w:val="18"/>
                <w:color w:val="auto"/>
              </w:rPr>
              <w:t>Write-offs, net of recoveries</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80" w:type="dxa"/>
            <w:vAlign w:val="bottom"/>
            <w:tcBorders>
              <w:right w:val="single" w:sz="8" w:color="EAF9E8"/>
            </w:tcBorders>
            <w:shd w:val="clear" w:color="auto" w:fill="EAF9E8"/>
          </w:tcPr>
          <w:p>
            <w:pPr>
              <w:spacing w:after="0"/>
              <w:rPr>
                <w:sz w:val="18"/>
                <w:szCs w:val="18"/>
                <w:color w:val="auto"/>
              </w:rPr>
            </w:pPr>
          </w:p>
        </w:tc>
        <w:tc>
          <w:tcPr>
            <w:tcW w:w="46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EAF9E8"/>
          </w:tcPr>
          <w:p>
            <w:pPr>
              <w:spacing w:after="0"/>
              <w:rPr>
                <w:sz w:val="18"/>
                <w:szCs w:val="18"/>
                <w:color w:val="auto"/>
              </w:rPr>
            </w:pPr>
          </w:p>
        </w:tc>
        <w:tc>
          <w:tcPr>
            <w:tcW w:w="540" w:type="dxa"/>
            <w:vAlign w:val="bottom"/>
            <w:shd w:val="clear" w:color="auto" w:fill="EAF9E8"/>
          </w:tcPr>
          <w:p>
            <w:pPr>
              <w:ind w:left="480"/>
              <w:spacing w:after="0"/>
              <w:rPr>
                <w:sz w:val="20"/>
                <w:szCs w:val="20"/>
                <w:color w:val="auto"/>
              </w:rPr>
            </w:pPr>
            <w:r>
              <w:rPr>
                <w:rFonts w:ascii="Arial" w:cs="Arial" w:eastAsia="Arial" w:hAnsi="Arial"/>
                <w:sz w:val="16"/>
                <w:szCs w:val="16"/>
                <w:color w:val="auto"/>
                <w:w w:val="74"/>
              </w:rPr>
              <w: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Foreign exchange valuation</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vMerge w:val="restart"/>
          </w:tcPr>
          <w:p>
            <w:pPr>
              <w:spacing w:after="0"/>
              <w:rPr>
                <w:sz w:val="18"/>
                <w:szCs w:val="18"/>
                <w:color w:val="auto"/>
              </w:rPr>
            </w:pPr>
          </w:p>
        </w:tc>
        <w:tc>
          <w:tcPr>
            <w:tcW w:w="59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80" w:type="dxa"/>
            <w:vAlign w:val="bottom"/>
            <w:tcBorders>
              <w:right w:val="single" w:sz="8" w:color="EAF9E8"/>
            </w:tcBorders>
            <w:shd w:val="clear" w:color="auto" w:fill="EAF9E8"/>
          </w:tcPr>
          <w:p>
            <w:pPr>
              <w:spacing w:after="0"/>
              <w:rPr>
                <w:sz w:val="18"/>
                <w:szCs w:val="18"/>
                <w:color w:val="auto"/>
              </w:rPr>
            </w:pPr>
          </w:p>
        </w:tc>
        <w:tc>
          <w:tcPr>
            <w:tcW w:w="460" w:type="dxa"/>
            <w:vAlign w:val="bottom"/>
            <w:tcBorders>
              <w:right w:val="single" w:sz="8" w:color="EAF9E8"/>
            </w:tcBorders>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Balance, August 31, 2010</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1,754</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w:t>
            </w:r>
          </w:p>
        </w:tc>
        <w:tc>
          <w:tcPr>
            <w:tcW w:w="63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Inventories</w:t>
            </w: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00" w:type="dxa"/>
            <w:vAlign w:val="bottom"/>
            <w:gridSpan w:val="2"/>
            <w:vMerge w:val="continue"/>
          </w:tcPr>
          <w:p>
            <w:pPr>
              <w:spacing w:after="0"/>
              <w:rPr>
                <w:sz w:val="24"/>
                <w:szCs w:val="24"/>
                <w:color w:val="auto"/>
              </w:rPr>
            </w:pPr>
          </w:p>
        </w:tc>
        <w:tc>
          <w:tcPr>
            <w:tcW w:w="6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60" w:type="dxa"/>
            <w:vAlign w:val="bottom"/>
            <w:gridSpan w:val="4"/>
          </w:tcPr>
          <w:p>
            <w:pPr>
              <w:spacing w:after="0"/>
              <w:rPr>
                <w:sz w:val="20"/>
                <w:szCs w:val="20"/>
                <w:color w:val="auto"/>
              </w:rPr>
            </w:pPr>
            <w:r>
              <w:rPr>
                <w:rFonts w:ascii="Arial" w:cs="Arial" w:eastAsia="Arial" w:hAnsi="Arial"/>
                <w:sz w:val="18"/>
                <w:szCs w:val="18"/>
                <w:color w:val="auto"/>
              </w:rPr>
              <w:t>Inventories consist of the following:</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jc w:val="right"/>
              <w:ind w:right="670"/>
              <w:spacing w:after="0"/>
              <w:rPr>
                <w:sz w:val="20"/>
                <w:szCs w:val="20"/>
                <w:color w:val="auto"/>
              </w:rPr>
            </w:pPr>
            <w:r>
              <w:rPr>
                <w:rFonts w:ascii="Arial" w:cs="Arial" w:eastAsia="Arial" w:hAnsi="Arial"/>
                <w:sz w:val="18"/>
                <w:szCs w:val="18"/>
                <w:b w:val="1"/>
                <w:bCs w:val="1"/>
                <w:color w:val="auto"/>
              </w:rPr>
              <w:t>As of</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ind w:left="46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August 31, 2010</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3"/>
          </w:tcPr>
          <w:p>
            <w:pPr>
              <w:ind w:left="160"/>
              <w:spacing w:after="0"/>
              <w:rPr>
                <w:sz w:val="20"/>
                <w:szCs w:val="20"/>
                <w:color w:val="auto"/>
              </w:rPr>
            </w:pPr>
            <w:r>
              <w:rPr>
                <w:rFonts w:ascii="Arial" w:cs="Arial" w:eastAsia="Arial" w:hAnsi="Arial"/>
                <w:sz w:val="18"/>
                <w:szCs w:val="18"/>
                <w:b w:val="1"/>
                <w:bCs w:val="1"/>
                <w:color w:val="auto"/>
              </w:rPr>
              <w:t>May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Raw materials</w:t>
            </w: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2,595</w:t>
            </w:r>
          </w:p>
        </w:tc>
        <w:tc>
          <w:tcPr>
            <w:tcW w:w="6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2,373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8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2,746</w:t>
            </w:r>
          </w:p>
        </w:tc>
        <w:tc>
          <w:tcPr>
            <w:tcW w:w="460" w:type="dxa"/>
            <w:vAlign w:val="bottom"/>
            <w:tcBorders>
              <w:right w:val="single" w:sz="8" w:color="EAF9E8"/>
            </w:tcBorders>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168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5"/>
              </w:rPr>
              <w:t>Supplies</w:t>
            </w:r>
          </w:p>
        </w:tc>
        <w:tc>
          <w:tcPr>
            <w:tcW w:w="46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shd w:val="clear" w:color="auto" w:fill="EAF9E8"/>
          </w:tcPr>
          <w:p>
            <w:pPr>
              <w:spacing w:after="0"/>
              <w:rPr>
                <w:sz w:val="20"/>
                <w:szCs w:val="20"/>
                <w:color w:val="auto"/>
              </w:rPr>
            </w:pPr>
          </w:p>
        </w:tc>
        <w:tc>
          <w:tcPr>
            <w:tcW w:w="460" w:type="dxa"/>
            <w:vAlign w:val="bottom"/>
            <w:shd w:val="clear" w:color="auto" w:fill="EAF9E8"/>
          </w:tcPr>
          <w:p>
            <w:pPr>
              <w:spacing w:after="0"/>
              <w:rPr>
                <w:sz w:val="20"/>
                <w:szCs w:val="20"/>
                <w:color w:val="auto"/>
              </w:rPr>
            </w:pPr>
          </w:p>
        </w:tc>
        <w:tc>
          <w:tcPr>
            <w:tcW w:w="5900" w:type="dxa"/>
            <w:vAlign w:val="bottom"/>
            <w:shd w:val="clear" w:color="auto" w:fill="EAF9E8"/>
          </w:tcPr>
          <w:p>
            <w:pPr>
              <w:spacing w:after="0"/>
              <w:rPr>
                <w:sz w:val="20"/>
                <w:szCs w:val="20"/>
                <w:color w:val="auto"/>
              </w:rPr>
            </w:pPr>
          </w:p>
        </w:tc>
        <w:tc>
          <w:tcPr>
            <w:tcW w:w="36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8,982</w:t>
            </w:r>
          </w:p>
        </w:tc>
        <w:tc>
          <w:tcPr>
            <w:tcW w:w="6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8,736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EAF9E8"/>
            </w:tcBorders>
            <w:shd w:val="clear" w:color="auto" w:fill="EAF9E8"/>
          </w:tcPr>
          <w:p>
            <w:pPr>
              <w:spacing w:after="0" w:line="20" w:lineRule="exact"/>
              <w:rPr>
                <w:sz w:val="1"/>
                <w:szCs w:val="1"/>
                <w:color w:val="auto"/>
              </w:rPr>
            </w:pPr>
          </w:p>
        </w:tc>
        <w:tc>
          <w:tcPr>
            <w:tcW w:w="460" w:type="dxa"/>
            <w:vAlign w:val="bottom"/>
            <w:tcBorders>
              <w:top w:val="single" w:sz="8" w:color="EAF9E8"/>
            </w:tcBorders>
            <w:shd w:val="clear" w:color="auto" w:fill="EAF9E8"/>
          </w:tcPr>
          <w:p>
            <w:pPr>
              <w:spacing w:after="0" w:line="20" w:lineRule="exact"/>
              <w:rPr>
                <w:sz w:val="1"/>
                <w:szCs w:val="1"/>
                <w:color w:val="auto"/>
              </w:rPr>
            </w:pPr>
          </w:p>
        </w:tc>
        <w:tc>
          <w:tcPr>
            <w:tcW w:w="59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right w:val="single" w:sz="8" w:color="EAF9E8"/>
            </w:tcBorders>
            <w:shd w:val="clear" w:color="auto" w:fill="000000"/>
          </w:tcPr>
          <w:p>
            <w:pPr>
              <w:spacing w:after="0" w:line="20" w:lineRule="exact"/>
              <w:rPr>
                <w:sz w:val="1"/>
                <w:szCs w:val="1"/>
                <w:color w:val="auto"/>
              </w:rPr>
            </w:pPr>
          </w:p>
        </w:tc>
        <w:tc>
          <w:tcPr>
            <w:tcW w:w="460" w:type="dxa"/>
            <w:vAlign w:val="bottom"/>
            <w:tcBorders>
              <w:top w:val="single" w:sz="8" w:color="EAF9E8"/>
              <w:right w:val="single" w:sz="8" w:color="auto"/>
            </w:tcBorders>
            <w:shd w:val="clear" w:color="auto" w:fill="EAF9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net of reserves for slow-moving and obsolete inventory of approximately $0.9 million as of August 31, 2010 and May 31, 2010, respectively.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4780" w:type="dxa"/>
            <w:vAlign w:val="bottom"/>
          </w:tcPr>
          <w:p>
            <w:pPr>
              <w:ind w:left="20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40" w:type="dxa"/>
            <w:vAlign w:val="bottom"/>
            <w:gridSpan w:val="3"/>
          </w:tcPr>
          <w:p>
            <w:pPr>
              <w:spacing w:after="0"/>
              <w:rPr>
                <w:sz w:val="20"/>
                <w:szCs w:val="20"/>
                <w:color w:val="auto"/>
              </w:rPr>
            </w:pPr>
            <w:r>
              <w:rPr>
                <w:rFonts w:ascii="Arial" w:cs="Arial" w:eastAsia="Arial" w:hAnsi="Arial"/>
                <w:sz w:val="18"/>
                <w:szCs w:val="18"/>
                <w:color w:val="auto"/>
                <w:w w:val="95"/>
              </w:rPr>
              <w:t>Accrued expenses and other current liabilities consist of the following:</w:t>
            </w: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As of</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August 31, 2010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May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208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8,511</w:t>
            </w:r>
          </w:p>
        </w:tc>
        <w:tc>
          <w:tcPr>
            <w:tcW w:w="46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accrued expenses</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2,675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Accrued worker compensation and health benefits</w:t>
            </w:r>
          </w:p>
        </w:tc>
        <w:tc>
          <w:tcPr>
            <w:tcW w:w="188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6,809</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Deferred revenues</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1,268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4780" w:type="dxa"/>
            <w:vAlign w:val="bottom"/>
            <w:shd w:val="clear" w:color="auto" w:fill="EAF9E8"/>
          </w:tcPr>
          <w:p>
            <w:pPr>
              <w:spacing w:after="0"/>
              <w:rPr>
                <w:sz w:val="18"/>
                <w:szCs w:val="18"/>
                <w:color w:val="auto"/>
              </w:rPr>
            </w:pPr>
          </w:p>
        </w:tc>
        <w:tc>
          <w:tcPr>
            <w:tcW w:w="1880" w:type="dxa"/>
            <w:vAlign w:val="bottom"/>
            <w:shd w:val="clear" w:color="auto" w:fill="EAF9E8"/>
          </w:tcPr>
          <w:p>
            <w:pPr>
              <w:spacing w:after="0"/>
              <w:rPr>
                <w:sz w:val="18"/>
                <w:szCs w:val="18"/>
                <w:color w:val="auto"/>
              </w:rPr>
            </w:pPr>
          </w:p>
        </w:tc>
        <w:tc>
          <w:tcPr>
            <w:tcW w:w="200" w:type="dxa"/>
            <w:vAlign w:val="bottom"/>
            <w:tcBorders>
              <w:top w:val="single" w:sz="8" w:color="auto"/>
            </w:tcBorders>
            <w:shd w:val="clear" w:color="auto" w:fill="EAF9E8"/>
          </w:tcPr>
          <w:p>
            <w:pPr>
              <w:spacing w:after="0"/>
              <w:rPr>
                <w:sz w:val="18"/>
                <w:szCs w:val="18"/>
                <w:color w:val="auto"/>
              </w:rPr>
            </w:pPr>
          </w:p>
        </w:tc>
        <w:tc>
          <w:tcPr>
            <w:tcW w:w="164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Total</w:t>
            </w:r>
          </w:p>
        </w:tc>
        <w:tc>
          <w:tcPr>
            <w:tcW w:w="4780" w:type="dxa"/>
            <w:vAlign w:val="bottom"/>
          </w:tcPr>
          <w:p>
            <w:pPr>
              <w:spacing w:after="0"/>
              <w:rPr>
                <w:sz w:val="18"/>
                <w:szCs w:val="18"/>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19,263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20,090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80" w:type="dxa"/>
            <w:vAlign w:val="bottom"/>
            <w:vMerge w:val="restart"/>
          </w:tcPr>
          <w:p>
            <w:pPr>
              <w:jc w:val="right"/>
              <w:ind w:right="1270"/>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7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9.</w:t>
            </w:r>
          </w:p>
        </w:tc>
        <w:tc>
          <w:tcPr>
            <w:tcW w:w="7060" w:type="dxa"/>
            <w:vAlign w:val="bottom"/>
          </w:tcPr>
          <w:p>
            <w:pPr>
              <w:ind w:left="60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2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As of</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As of</w:t>
            </w:r>
          </w:p>
        </w:tc>
      </w:tr>
      <w:tr>
        <w:trPr>
          <w:trHeight w:val="241"/>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August 31, 2010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May 31, 2010</w:t>
            </w:r>
          </w:p>
        </w:tc>
      </w:tr>
      <w:tr>
        <w:trPr>
          <w:trHeight w:val="216"/>
        </w:trPr>
        <w:tc>
          <w:tcPr>
            <w:tcW w:w="20" w:type="dxa"/>
            <w:vAlign w:val="bottom"/>
          </w:tcPr>
          <w:p>
            <w:pPr>
              <w:spacing w:after="0"/>
              <w:rPr>
                <w:sz w:val="18"/>
                <w:szCs w:val="18"/>
                <w:color w:val="auto"/>
              </w:rPr>
            </w:pPr>
          </w:p>
        </w:tc>
        <w:tc>
          <w:tcPr>
            <w:tcW w:w="720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Senior credit facility:</w:t>
            </w:r>
          </w:p>
        </w:tc>
        <w:tc>
          <w:tcPr>
            <w:tcW w:w="200" w:type="dxa"/>
            <w:vAlign w:val="bottom"/>
            <w:tcBorders>
              <w:top w:val="single" w:sz="8" w:color="auto"/>
            </w:tcBorders>
            <w:shd w:val="clear" w:color="auto" w:fill="EAF9E8"/>
          </w:tcPr>
          <w:p>
            <w:pPr>
              <w:spacing w:after="0"/>
              <w:rPr>
                <w:sz w:val="18"/>
                <w:szCs w:val="18"/>
                <w:color w:val="auto"/>
              </w:rPr>
            </w:pPr>
          </w:p>
        </w:tc>
        <w:tc>
          <w:tcPr>
            <w:tcW w:w="1640" w:type="dxa"/>
            <w:vAlign w:val="bottom"/>
            <w:tcBorders>
              <w:top w:val="single" w:sz="8" w:color="auto"/>
            </w:tcBorders>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40" w:type="dxa"/>
            <w:vAlign w:val="bottom"/>
            <w:tcBorders>
              <w:top w:val="single" w:sz="8" w:color="auto"/>
            </w:tcBorders>
            <w:shd w:val="clear" w:color="auto" w:fill="EAF9E8"/>
          </w:tcPr>
          <w:p>
            <w:pPr>
              <w:spacing w:after="0"/>
              <w:rPr>
                <w:sz w:val="18"/>
                <w:szCs w:val="18"/>
                <w:color w:val="auto"/>
              </w:rPr>
            </w:pPr>
          </w:p>
        </w:tc>
        <w:tc>
          <w:tcPr>
            <w:tcW w:w="1580" w:type="dxa"/>
            <w:vAlign w:val="bottom"/>
            <w:tcBorders>
              <w:top w:val="single" w:sz="8" w:color="auto"/>
            </w:tcBorders>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Revolver</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7060" w:type="dxa"/>
            <w:vAlign w:val="bottom"/>
            <w:shd w:val="clear" w:color="auto" w:fill="EAF9E8"/>
          </w:tcPr>
          <w:p>
            <w:pPr>
              <w:ind w:left="20"/>
              <w:spacing w:after="0"/>
              <w:rPr>
                <w:sz w:val="20"/>
                <w:szCs w:val="20"/>
                <w:color w:val="auto"/>
              </w:rPr>
            </w:pPr>
            <w:r>
              <w:rPr>
                <w:rFonts w:ascii="Arial" w:cs="Arial" w:eastAsia="Arial" w:hAnsi="Arial"/>
                <w:sz w:val="18"/>
                <w:szCs w:val="18"/>
                <w:color w:val="auto"/>
              </w:rPr>
              <w:t>Term loans</w:t>
            </w:r>
          </w:p>
        </w:tc>
        <w:tc>
          <w:tcPr>
            <w:tcW w:w="200" w:type="dxa"/>
            <w:vAlign w:val="bottom"/>
            <w:shd w:val="clear" w:color="auto" w:fill="EAF9E8"/>
          </w:tcPr>
          <w:p>
            <w:pPr>
              <w:spacing w:after="0"/>
              <w:rPr>
                <w:sz w:val="18"/>
                <w:szCs w:val="18"/>
                <w:color w:val="auto"/>
              </w:rPr>
            </w:pPr>
          </w:p>
        </w:tc>
        <w:tc>
          <w:tcPr>
            <w:tcW w:w="18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16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Notes payable</w:t>
            </w:r>
          </w:p>
        </w:tc>
        <w:tc>
          <w:tcPr>
            <w:tcW w:w="20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12,149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11,023</w:t>
            </w:r>
          </w:p>
        </w:tc>
      </w:tr>
      <w:tr>
        <w:trPr>
          <w:trHeight w:val="223"/>
        </w:trPr>
        <w:tc>
          <w:tcPr>
            <w:tcW w:w="20" w:type="dxa"/>
            <w:vAlign w:val="bottom"/>
          </w:tcPr>
          <w:p>
            <w:pPr>
              <w:spacing w:after="0"/>
              <w:rPr>
                <w:sz w:val="19"/>
                <w:szCs w:val="19"/>
                <w:color w:val="auto"/>
              </w:rPr>
            </w:pPr>
          </w:p>
        </w:tc>
        <w:tc>
          <w:tcPr>
            <w:tcW w:w="720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EAF9E8"/>
          </w:tcPr>
          <w:p>
            <w:pPr>
              <w:spacing w:after="0"/>
              <w:rPr>
                <w:sz w:val="19"/>
                <w:szCs w:val="19"/>
                <w:color w:val="auto"/>
              </w:rPr>
            </w:pPr>
          </w:p>
        </w:tc>
        <w:tc>
          <w:tcPr>
            <w:tcW w:w="16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871</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13,020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11,994</w:t>
            </w:r>
          </w:p>
        </w:tc>
      </w:tr>
      <w:tr>
        <w:trPr>
          <w:trHeight w:val="223"/>
        </w:trPr>
        <w:tc>
          <w:tcPr>
            <w:tcW w:w="20" w:type="dxa"/>
            <w:vAlign w:val="bottom"/>
          </w:tcPr>
          <w:p>
            <w:pPr>
              <w:spacing w:after="0"/>
              <w:rPr>
                <w:sz w:val="19"/>
                <w:szCs w:val="19"/>
                <w:color w:val="auto"/>
              </w:rPr>
            </w:pPr>
          </w:p>
        </w:tc>
        <w:tc>
          <w:tcPr>
            <w:tcW w:w="720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8"/>
                <w:szCs w:val="18"/>
                <w:color w:val="auto"/>
              </w:rPr>
              <w:t>Less: Current maturities</w:t>
            </w:r>
          </w:p>
        </w:tc>
        <w:tc>
          <w:tcPr>
            <w:tcW w:w="200" w:type="dxa"/>
            <w:vAlign w:val="bottom"/>
            <w:tcBorders>
              <w:bottom w:val="single" w:sz="8" w:color="auto"/>
            </w:tcBorders>
            <w:shd w:val="clear" w:color="auto" w:fill="EAF9E8"/>
          </w:tcPr>
          <w:p>
            <w:pPr>
              <w:spacing w:after="0"/>
              <w:rPr>
                <w:sz w:val="19"/>
                <w:szCs w:val="19"/>
                <w:color w:val="auto"/>
              </w:rPr>
            </w:pPr>
          </w:p>
        </w:tc>
        <w:tc>
          <w:tcPr>
            <w:tcW w:w="16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6,579</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240" w:type="dxa"/>
            <w:vAlign w:val="bottom"/>
            <w:tcBorders>
              <w:bottom w:val="single" w:sz="8" w:color="auto"/>
            </w:tcBorders>
            <w:shd w:val="clear" w:color="auto" w:fill="EAF9E8"/>
          </w:tcPr>
          <w:p>
            <w:pPr>
              <w:spacing w:after="0"/>
              <w:rPr>
                <w:sz w:val="19"/>
                <w:szCs w:val="19"/>
                <w:color w:val="auto"/>
              </w:rPr>
            </w:pPr>
          </w:p>
        </w:tc>
        <w:tc>
          <w:tcPr>
            <w:tcW w:w="1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6,303</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6,441</w:t>
            </w:r>
          </w:p>
        </w:tc>
        <w:tc>
          <w:tcPr>
            <w:tcW w:w="2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5,691</w:t>
            </w: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2009, the Company entered into its current credit agreement with Bank of America, N.A., JPMorgan Chase Bank, N.A., TD Bank, N.A. and Capital One, N.A., which provided for a $25.0 million term loan and a $55.0 million secured revolving credit facility. As of August 31, 2010, there were no current borrowings under the revolving credit facility.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2009, the Company signed an amendment to its current credit agreement that, among other things, adjusted certain affirmative and negative covenants including delivery of financial statements, the minimum consolidated debt service coverage ratio, the procedures for obtaining lender approval for acquisitions and the removal of the minimum EBITDA requirement.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amended agreement, borrowings under the credit agreement bear interest at the LIBOR or base rate, at the Company’s option, plus an applicable LIBOR margin ranging from 1.75% to 3.25%, or base rate margin ranging from -0.50% to 0.50%, and a market disruption increase of between 0% and 1.0%, if the lenders determine its applicable.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credit agreement also contains financial and other covenants limiting our ability to, among other things, create liens, make investments and certain capital expenditures, incur more indebtedness, merge or consolidate, acquire other companies, make dispositions of property, pay dividends and make distributions to stockholders, enter into a new line of business, enter into transactions with affiliates and enter into burdensome agreements. The agreement’s financial covenants require us to maintain a minimum debt service coverage ratio, and a funded debt leverage ratio, all as defined in the credit agreement. There is a provision in the credit facility that requires us to repay 25% of the immediately preceding fiscal year’s “free cash flow” if our ratio of “funded debt” to EBITDA, as defined in the c redit agreement, is greater than a specified amount on or before October 1 each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August 31, 2010, we were in compliance with the terms of the credit agreement.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three months ended August 31, 2009, the Company capitalized approximately $0.5 million of costs related to the new credit agreement and expensed approximately $0.2 million of deferred financing costs related to its former credit facility. In connection with the repayment and extinguishment of the term loan portion of this new facility in October 2009, the Company expensed approximately $0.2 million of financing costs incurred in the three months ended August 31, 2009. The unamortized balance of these costs is included in net intangible assets in the Consolidated Balance Sheet. The accelerated amounts expensed are classified as loss on extinguishment of debt in the Consolidated Statement of Operations.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its acquisitions through the first quarter of fiscal 2011, the Company issued subordinated notes payable to the sellers and assumed certain other notes payable. These notes generally mature three years from the date of acquisition with interest rates ranging from 0% to 7%. The Company has discounted these obligations to reflect a 5.5% to 10.0% imputed interest rate. Unamortized discount on these notes totaled approximately $0.3 million as of August 31, 2010 and May 31, 2010. Amortization is recorded as interest expense in the Consolidated Statement of Operations.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860" w:hanging="852"/>
        <w:spacing w:after="0"/>
        <w:tabs>
          <w:tab w:leader="none" w:pos="8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fiscal 2007, the Company hedged a portion of the variable rate interest payments on debt using interest rate swap contracts to convert variable payments into fixed payments. The Company does not apply hedge accounting to its interest rate swap contracts. Changes in the fair value of these instruments are reported as a component of interest expense. The Company repaid all of its variable rate debt in October 2009. The Company has an interest rate swap that remains outstanding with a notional amount of $8.0 million and a fair value of approximately $0.1 million which is recorded in accrued expenses and other current liabilities in the Consolidated Balance Sheet as of August 31, 2010. The following outlines the significant terms of the contracts at August 31, 2010 and May 31, 2010,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Variable</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Fixed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Notional</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interest</w:t>
            </w: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interest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As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As of</w:t>
            </w:r>
          </w:p>
        </w:tc>
      </w:tr>
      <w:tr>
        <w:trPr>
          <w:trHeight w:val="237"/>
        </w:trPr>
        <w:tc>
          <w:tcPr>
            <w:tcW w:w="20" w:type="dxa"/>
            <w:vAlign w:val="bottom"/>
          </w:tcPr>
          <w:p>
            <w:pPr>
              <w:spacing w:after="0"/>
              <w:rPr>
                <w:sz w:val="20"/>
                <w:szCs w:val="20"/>
                <w:color w:val="auto"/>
              </w:rPr>
            </w:pPr>
          </w:p>
        </w:tc>
        <w:tc>
          <w:tcPr>
            <w:tcW w:w="19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Contract date</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Term</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rate</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rate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August 31, 2010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May 31, 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EAF9E8"/>
          </w:tcPr>
          <w:p>
            <w:pPr>
              <w:spacing w:after="0"/>
              <w:rPr>
                <w:sz w:val="20"/>
                <w:szCs w:val="20"/>
                <w:color w:val="auto"/>
              </w:rPr>
            </w:pPr>
            <w:r>
              <w:rPr>
                <w:rFonts w:ascii="Arial" w:cs="Arial" w:eastAsia="Arial" w:hAnsi="Arial"/>
                <w:sz w:val="18"/>
                <w:szCs w:val="18"/>
                <w:color w:val="auto"/>
              </w:rPr>
              <w:t>November 20, 2006</w:t>
            </w:r>
          </w:p>
        </w:tc>
        <w:tc>
          <w:tcPr>
            <w:tcW w:w="220" w:type="dxa"/>
            <w:vAlign w:val="bottom"/>
            <w:shd w:val="clear" w:color="auto" w:fill="EAF9E8"/>
          </w:tcPr>
          <w:p>
            <w:pPr>
              <w:spacing w:after="0"/>
              <w:rPr>
                <w:sz w:val="18"/>
                <w:szCs w:val="18"/>
                <w:color w:val="auto"/>
              </w:rPr>
            </w:pPr>
          </w:p>
        </w:tc>
        <w:tc>
          <w:tcPr>
            <w:tcW w:w="10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4 years</w:t>
            </w:r>
          </w:p>
        </w:tc>
        <w:tc>
          <w:tcPr>
            <w:tcW w:w="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8,000</w:t>
            </w:r>
          </w:p>
        </w:tc>
        <w:tc>
          <w:tcPr>
            <w:tcW w:w="240" w:type="dxa"/>
            <w:vAlign w:val="bottom"/>
            <w:shd w:val="clear" w:color="auto" w:fill="EAF9E8"/>
          </w:tcPr>
          <w:p>
            <w:pPr>
              <w:spacing w:after="0"/>
              <w:rPr>
                <w:sz w:val="18"/>
                <w:szCs w:val="18"/>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9"/>
              </w:rPr>
              <w:t>LIBOR</w:t>
            </w:r>
          </w:p>
        </w:tc>
        <w:tc>
          <w:tcPr>
            <w:tcW w:w="1380" w:type="dxa"/>
            <w:vAlign w:val="bottom"/>
            <w:gridSpan w:val="2"/>
            <w:shd w:val="clear" w:color="auto" w:fill="EAF9E8"/>
          </w:tcPr>
          <w:p>
            <w:pPr>
              <w:jc w:val="right"/>
              <w:ind w:right="230"/>
              <w:spacing w:after="0"/>
              <w:rPr>
                <w:sz w:val="20"/>
                <w:szCs w:val="20"/>
                <w:color w:val="auto"/>
              </w:rPr>
            </w:pPr>
            <w:r>
              <w:rPr>
                <w:rFonts w:ascii="Arial" w:cs="Arial" w:eastAsia="Arial" w:hAnsi="Arial"/>
                <w:sz w:val="18"/>
                <w:szCs w:val="18"/>
                <w:color w:val="auto"/>
              </w:rPr>
              <w:t>5.17%</w:t>
            </w:r>
          </w:p>
        </w:tc>
        <w:tc>
          <w:tcPr>
            <w:tcW w:w="42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(121)</w:t>
            </w:r>
          </w:p>
        </w:tc>
        <w:tc>
          <w:tcPr>
            <w:tcW w:w="30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(210)</w:t>
            </w:r>
          </w:p>
        </w:tc>
      </w:tr>
      <w:tr>
        <w:trPr>
          <w:trHeight w:val="27"/>
        </w:trPr>
        <w:tc>
          <w:tcPr>
            <w:tcW w:w="20" w:type="dxa"/>
            <w:vAlign w:val="bottom"/>
          </w:tcPr>
          <w:p>
            <w:pPr>
              <w:spacing w:after="0"/>
              <w:rPr>
                <w:sz w:val="2"/>
                <w:szCs w:val="2"/>
                <w:color w:val="auto"/>
              </w:rPr>
            </w:pPr>
          </w:p>
        </w:tc>
        <w:tc>
          <w:tcPr>
            <w:tcW w:w="19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04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114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1160" w:type="dxa"/>
            <w:vAlign w:val="bottom"/>
            <w:shd w:val="clear" w:color="auto" w:fill="EAF9E8"/>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8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8,000</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classifies its interest rate swaps at fair value in the following categories: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—Inputs other than quoted market prices in active markets that are observable for the asset or liability, either directly or indirectly,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fair value of the Company’s interest rate swap liability, approximately $0.1 million at August 31, 2010, was determined using quoted prices in an active market and was classified as a Level 1 liability within the fair value hierarchy.</w:t>
      </w:r>
    </w:p>
    <w:p>
      <w:pPr>
        <w:spacing w:after="0" w:line="166" w:lineRule="exact"/>
        <w:rPr>
          <w:sz w:val="20"/>
          <w:szCs w:val="20"/>
          <w:color w:val="auto"/>
        </w:rPr>
      </w:pPr>
    </w:p>
    <w:p>
      <w:pPr>
        <w:ind w:left="840" w:hanging="832"/>
        <w:spacing w:after="0"/>
        <w:tabs>
          <w:tab w:leader="none" w:pos="8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does not believe that any currently pending legal proceeding to which the Company is a party will have a material adverse effect on its business, results of operations, cash flows or financial condition, except as disclosed below. The costs of defense and amounts that may be recovered in such matters may be covered by insurance.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is a defendant in two related purported class action lawsuits in California, based upon alleged violations of California labor and employment law. The first case, </w:t>
      </w:r>
      <w:r>
        <w:rPr>
          <w:rFonts w:ascii="Arial" w:cs="Arial" w:eastAsia="Arial" w:hAnsi="Arial"/>
          <w:sz w:val="18"/>
          <w:szCs w:val="18"/>
          <w:i w:val="1"/>
          <w:iCs w:val="1"/>
          <w:color w:val="auto"/>
        </w:rPr>
        <w:t>Quiroz v. Mistras Group, Inc., et al</w:t>
      </w:r>
      <w:r>
        <w:rPr>
          <w:rFonts w:ascii="Arial" w:cs="Arial" w:eastAsia="Arial" w:hAnsi="Arial"/>
          <w:sz w:val="18"/>
          <w:szCs w:val="18"/>
          <w:color w:val="auto"/>
        </w:rPr>
        <w:t>, U.S. District Court, Central District of California (Case No. CV09-7146 PSG), was originally filed in California State court in September 2009, and was removed to Federal Court. This matter was a purported class action case on behalf of existing and former California employees of the Company and its subsidiaries for violation of various labor and employment laws, primarily for failure to pay wages timely and for having defective wage statements, as well as other claims, and is seeking penalties under the California Private Attorneys General Act. In March 2010, the plaint iff’s request to certify the case as a class action suit was denied. The Plaintiffs sought to remand the case back to California State Court, but the Federal Court has retained jurisdiction.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second case is </w:t>
      </w:r>
      <w:r>
        <w:rPr>
          <w:rFonts w:ascii="Arial" w:cs="Arial" w:eastAsia="Arial" w:hAnsi="Arial"/>
          <w:sz w:val="17"/>
          <w:szCs w:val="17"/>
          <w:i w:val="1"/>
          <w:iCs w:val="1"/>
          <w:color w:val="auto"/>
        </w:rPr>
        <w:t>Ballard v. Mistras Group, Inc., et al</w:t>
      </w:r>
      <w:r>
        <w:rPr>
          <w:rFonts w:ascii="Arial" w:cs="Arial" w:eastAsia="Arial" w:hAnsi="Arial"/>
          <w:sz w:val="17"/>
          <w:szCs w:val="17"/>
          <w:color w:val="auto"/>
        </w:rPr>
        <w:t xml:space="preserve">, U.S. District Court, Central District of California (Case No. 2:10-cv-03186 (PSG)), filed in late March 2010 in California State Court and removed to Federal court. This matter is also a purported class action case, based on substantially identical claims as the </w:t>
      </w:r>
      <w:r>
        <w:rPr>
          <w:rFonts w:ascii="Arial" w:cs="Arial" w:eastAsia="Arial" w:hAnsi="Arial"/>
          <w:sz w:val="17"/>
          <w:szCs w:val="17"/>
          <w:i w:val="1"/>
          <w:iCs w:val="1"/>
          <w:color w:val="auto"/>
        </w:rPr>
        <w:t>Quiroz</w:t>
      </w:r>
      <w:r>
        <w:rPr>
          <w:rFonts w:ascii="Arial" w:cs="Arial" w:eastAsia="Arial" w:hAnsi="Arial"/>
          <w:sz w:val="17"/>
          <w:szCs w:val="17"/>
          <w:color w:val="auto"/>
        </w:rPr>
        <w:t xml:space="preserve"> case, and was filed by the same attorney representing the plaintiff in the </w:t>
      </w:r>
      <w:r>
        <w:rPr>
          <w:rFonts w:ascii="Arial" w:cs="Arial" w:eastAsia="Arial" w:hAnsi="Arial"/>
          <w:sz w:val="17"/>
          <w:szCs w:val="17"/>
          <w:i w:val="1"/>
          <w:iCs w:val="1"/>
          <w:color w:val="auto"/>
        </w:rPr>
        <w:t>Quiroz</w:t>
      </w:r>
      <w:r>
        <w:rPr>
          <w:rFonts w:ascii="Arial" w:cs="Arial" w:eastAsia="Arial" w:hAnsi="Arial"/>
          <w:sz w:val="17"/>
          <w:szCs w:val="17"/>
          <w:color w:val="auto"/>
        </w:rPr>
        <w:t xml:space="preserve"> case, approximately two weeks after class action certification was denied in </w:t>
      </w:r>
      <w:r>
        <w:rPr>
          <w:rFonts w:ascii="Arial" w:cs="Arial" w:eastAsia="Arial" w:hAnsi="Arial"/>
          <w:sz w:val="17"/>
          <w:szCs w:val="17"/>
          <w:i w:val="1"/>
          <w:iCs w:val="1"/>
          <w:color w:val="auto"/>
        </w:rPr>
        <w:t>Quiroz</w:t>
      </w:r>
      <w:r>
        <w:rPr>
          <w:rFonts w:ascii="Arial" w:cs="Arial" w:eastAsia="Arial" w:hAnsi="Arial"/>
          <w:sz w:val="17"/>
          <w:szCs w:val="17"/>
          <w:color w:val="auto"/>
        </w:rPr>
        <w:t>. The plaintiff is attempting to remand this case back to California State Court and is seeking class action certification.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September 2010, the Company participated in non-binding mediation for the </w:t>
      </w:r>
      <w:r>
        <w:rPr>
          <w:rFonts w:ascii="Arial" w:cs="Arial" w:eastAsia="Arial" w:hAnsi="Arial"/>
          <w:sz w:val="18"/>
          <w:szCs w:val="18"/>
          <w:i w:val="1"/>
          <w:iCs w:val="1"/>
          <w:color w:val="auto"/>
        </w:rPr>
        <w:t>Quiroz</w:t>
      </w:r>
      <w:r>
        <w:rPr>
          <w:rFonts w:ascii="Arial" w:cs="Arial" w:eastAsia="Arial" w:hAnsi="Arial"/>
          <w:sz w:val="18"/>
          <w:szCs w:val="18"/>
          <w:color w:val="auto"/>
        </w:rPr>
        <w:t xml:space="preserve"> and </w:t>
      </w:r>
      <w:r>
        <w:rPr>
          <w:rFonts w:ascii="Arial" w:cs="Arial" w:eastAsia="Arial" w:hAnsi="Arial"/>
          <w:sz w:val="18"/>
          <w:szCs w:val="18"/>
          <w:i w:val="1"/>
          <w:iCs w:val="1"/>
          <w:color w:val="auto"/>
        </w:rPr>
        <w:t>Ballard</w:t>
      </w:r>
      <w:r>
        <w:rPr>
          <w:rFonts w:ascii="Arial" w:cs="Arial" w:eastAsia="Arial" w:hAnsi="Arial"/>
          <w:sz w:val="18"/>
          <w:szCs w:val="18"/>
          <w:color w:val="auto"/>
        </w:rPr>
        <w:t xml:space="preserve"> cases together, but was unable reach a settlement. As such, the case has moved forward with the trial currently scheduled for February 2011.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During the three months ended August 31, 2010, the Company recorded a reserve of approximately $0.3 million in connection with the </w:t>
      </w:r>
      <w:r>
        <w:rPr>
          <w:rFonts w:ascii="Arial" w:cs="Arial" w:eastAsia="Arial" w:hAnsi="Arial"/>
          <w:sz w:val="18"/>
          <w:szCs w:val="18"/>
          <w:i w:val="1"/>
          <w:iCs w:val="1"/>
          <w:color w:val="auto"/>
        </w:rPr>
        <w:t>Quiroz</w:t>
      </w:r>
      <w:r>
        <w:rPr>
          <w:rFonts w:ascii="Arial" w:cs="Arial" w:eastAsia="Arial" w:hAnsi="Arial"/>
          <w:sz w:val="18"/>
          <w:szCs w:val="18"/>
          <w:color w:val="auto"/>
        </w:rPr>
        <w:t xml:space="preserve"> and </w:t>
      </w:r>
      <w:r>
        <w:rPr>
          <w:rFonts w:ascii="Arial" w:cs="Arial" w:eastAsia="Arial" w:hAnsi="Arial"/>
          <w:sz w:val="18"/>
          <w:szCs w:val="18"/>
          <w:i w:val="1"/>
          <w:iCs w:val="1"/>
          <w:color w:val="auto"/>
        </w:rPr>
        <w:t>Ballard</w:t>
      </w:r>
      <w:r>
        <w:rPr>
          <w:rFonts w:ascii="Arial" w:cs="Arial" w:eastAsia="Arial" w:hAnsi="Arial"/>
          <w:sz w:val="18"/>
          <w:szCs w:val="18"/>
          <w:color w:val="auto"/>
        </w:rPr>
        <w:t xml:space="preserve"> cases, which represents its estimate of potential liability related to these cases.</w:t>
      </w:r>
    </w:p>
    <w:p>
      <w:pPr>
        <w:spacing w:after="0" w:line="166" w:lineRule="exact"/>
        <w:rPr>
          <w:sz w:val="20"/>
          <w:szCs w:val="20"/>
          <w:color w:val="auto"/>
        </w:rPr>
      </w:pPr>
    </w:p>
    <w:p>
      <w:pPr>
        <w:ind w:left="860" w:hanging="852"/>
        <w:spacing w:after="0"/>
        <w:tabs>
          <w:tab w:leader="none" w:pos="8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2010, the Company acquired the assets of an asset protection business to continue its strategic efforts in market expansion. The Company is in the process of completing the preliminary purchase price allocation. This acquisition was not individually significant and no pro forma information has been included.</w:t>
      </w:r>
    </w:p>
    <w:p>
      <w:pPr>
        <w:spacing w:after="0" w:line="177" w:lineRule="exact"/>
        <w:rPr>
          <w:sz w:val="20"/>
          <w:szCs w:val="20"/>
          <w:color w:val="auto"/>
        </w:rPr>
      </w:pPr>
    </w:p>
    <w:p>
      <w:pPr>
        <w:ind w:left="860" w:hanging="852"/>
        <w:spacing w:after="0"/>
        <w:tabs>
          <w:tab w:leader="none" w:pos="8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segments 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Services</w:t>
      </w:r>
      <w:r>
        <w:rPr>
          <w:rFonts w:ascii="Arial" w:cs="Arial" w:eastAsia="Arial" w:hAnsi="Arial"/>
          <w:sz w:val="17"/>
          <w:szCs w:val="17"/>
          <w:color w:val="auto"/>
        </w:rPr>
        <w:t>. This segment provides asset protection solutions in North and Central America with the largest concentration in the United States.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Products and Systems</w:t>
      </w:r>
      <w:r>
        <w:rPr>
          <w:rFonts w:ascii="Arial" w:cs="Arial" w:eastAsia="Arial" w:hAnsi="Arial"/>
          <w:sz w:val="18"/>
          <w:szCs w:val="18"/>
          <w:color w:val="auto"/>
        </w:rPr>
        <w:t>. 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International</w:t>
      </w:r>
      <w:r>
        <w:rPr>
          <w:rFonts w:ascii="Arial" w:cs="Arial" w:eastAsia="Arial" w:hAnsi="Arial"/>
          <w:sz w:val="16"/>
          <w:szCs w:val="16"/>
          <w:color w:val="auto"/>
        </w:rPr>
        <w:t>. This segment offers services, products and systems similar to those of our other segments to global markets, principally in Europe, the</w:t>
      </w:r>
      <w:r>
        <w:rPr>
          <w:rFonts w:ascii="Arial" w:cs="Arial" w:eastAsia="Arial" w:hAnsi="Arial"/>
          <w:sz w:val="16"/>
          <w:szCs w:val="16"/>
          <w:i w:val="1"/>
          <w:iCs w:val="1"/>
          <w:color w:val="auto"/>
        </w:rPr>
        <w:t xml:space="preserve"> </w:t>
      </w:r>
      <w:r>
        <w:rPr>
          <w:rFonts w:ascii="Arial" w:cs="Arial" w:eastAsia="Arial" w:hAnsi="Arial"/>
          <w:sz w:val="16"/>
          <w:szCs w:val="16"/>
          <w:color w:val="auto"/>
        </w:rPr>
        <w:t>Middle East, Africa, Asia and South America, but not to customers in China and South Korea, which are served by our Products and Systems segment.</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corporate services, including accounting, audit, and contract management, are provided to the segments which are reported as intersegment transactions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corporate and eliminations.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stock-based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Revenues by operating segment include intercompany transactions, which are eliminated in corporate and eliminations.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by segment for the periods shown was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8"/>
              </w:rPr>
              <w:t>Three months ended</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9"/>
              </w:rPr>
              <w:t>August 31,</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84"/>
              </w:rPr>
              <w:t>2010</w:t>
            </w:r>
          </w:p>
        </w:tc>
        <w:tc>
          <w:tcPr>
            <w:tcW w:w="1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89"/>
              </w:rPr>
              <w:t>2009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55,282</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45,702</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7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5,310</w:t>
            </w:r>
          </w:p>
        </w:tc>
        <w:tc>
          <w:tcPr>
            <w:tcW w:w="14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3,625</w:t>
            </w:r>
          </w:p>
        </w:tc>
        <w:tc>
          <w:tcPr>
            <w:tcW w:w="7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9,040</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7,751</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740" w:type="dxa"/>
            <w:vAlign w:val="bottom"/>
            <w:tcBorders>
              <w:bottom w:val="single" w:sz="8" w:color="auto"/>
            </w:tcBorders>
            <w:shd w:val="clear" w:color="auto" w:fill="EAF9E8"/>
          </w:tcPr>
          <w:p>
            <w:pPr>
              <w:spacing w:after="0"/>
              <w:rPr>
                <w:sz w:val="19"/>
                <w:szCs w:val="19"/>
                <w:color w:val="auto"/>
              </w:rPr>
            </w:pP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(1,222</w:t>
            </w:r>
          </w:p>
        </w:tc>
        <w:tc>
          <w:tcPr>
            <w:tcW w:w="14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EAF9E8"/>
          </w:tcPr>
          <w:p>
            <w:pPr>
              <w:spacing w:after="0"/>
              <w:rPr>
                <w:sz w:val="19"/>
                <w:szCs w:val="19"/>
                <w:color w:val="auto"/>
              </w:rPr>
            </w:pPr>
          </w:p>
        </w:tc>
        <w:tc>
          <w:tcPr>
            <w:tcW w:w="400" w:type="dxa"/>
            <w:vAlign w:val="bottom"/>
            <w:tcBorders>
              <w:bottom w:val="single" w:sz="8" w:color="auto"/>
            </w:tcBorders>
            <w:shd w:val="clear" w:color="auto" w:fill="EAF9E8"/>
          </w:tcPr>
          <w:p>
            <w:pPr>
              <w:spacing w:after="0"/>
              <w:rPr>
                <w:sz w:val="19"/>
                <w:szCs w:val="19"/>
                <w:color w:val="auto"/>
              </w:rPr>
            </w:pP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(989</w:t>
            </w:r>
          </w:p>
        </w:tc>
        <w:tc>
          <w:tcPr>
            <w:tcW w:w="7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68,410</w:t>
            </w:r>
          </w:p>
        </w:tc>
        <w:tc>
          <w:tcPr>
            <w:tcW w:w="1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56,089</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Services segment had sales to other operating segments of $0.3 million for the three months ended August 31, 2010. Sales to other operating segments for the three months ended August 31, 2009 were de minimus.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Products and Systems segment had sales to other operating segments of $0.8 million and $0.9 million for the three months ended August 31, 2010 and 2009,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International segment had sales to other operating segments of $0.2 million for the three months ended August 31, 2010. Sales to other operating segments for the three months ended August 31, 2009 were de minimus.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8"/>
              </w:rPr>
              <w:t>Three months ended</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9"/>
              </w:rPr>
              <w:t>August 31,</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84"/>
              </w:rPr>
              <w:t>2010</w:t>
            </w:r>
          </w:p>
        </w:tc>
        <w:tc>
          <w:tcPr>
            <w:tcW w:w="1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89"/>
              </w:rPr>
              <w:t>2009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7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15,001</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12,528</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7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2,569</w:t>
            </w:r>
          </w:p>
        </w:tc>
        <w:tc>
          <w:tcPr>
            <w:tcW w:w="142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40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1,688</w:t>
            </w:r>
          </w:p>
        </w:tc>
        <w:tc>
          <w:tcPr>
            <w:tcW w:w="7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3,271</w:t>
            </w: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3,046</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740" w:type="dxa"/>
            <w:vAlign w:val="bottom"/>
            <w:tcBorders>
              <w:bottom w:val="single" w:sz="8" w:color="auto"/>
            </w:tcBorders>
            <w:shd w:val="clear" w:color="auto" w:fill="EAF9E8"/>
          </w:tcPr>
          <w:p>
            <w:pPr>
              <w:spacing w:after="0"/>
              <w:rPr>
                <w:sz w:val="19"/>
                <w:szCs w:val="19"/>
                <w:color w:val="auto"/>
              </w:rPr>
            </w:pP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(63</w:t>
            </w:r>
          </w:p>
        </w:tc>
        <w:tc>
          <w:tcPr>
            <w:tcW w:w="1420" w:type="dxa"/>
            <w:vAlign w:val="bottom"/>
            <w:tcBorders>
              <w:bottom w:val="single" w:sz="8" w:color="EAF9E8"/>
            </w:tcBorders>
            <w:shd w:val="clear" w:color="auto" w:fill="EAF9E8"/>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EAF9E8"/>
          </w:tcPr>
          <w:p>
            <w:pPr>
              <w:spacing w:after="0"/>
              <w:rPr>
                <w:sz w:val="19"/>
                <w:szCs w:val="19"/>
                <w:color w:val="auto"/>
              </w:rPr>
            </w:pPr>
          </w:p>
        </w:tc>
        <w:tc>
          <w:tcPr>
            <w:tcW w:w="400" w:type="dxa"/>
            <w:vAlign w:val="bottom"/>
            <w:tcBorders>
              <w:bottom w:val="single" w:sz="8" w:color="auto"/>
            </w:tcBorders>
            <w:shd w:val="clear" w:color="auto" w:fill="EAF9E8"/>
          </w:tcPr>
          <w:p>
            <w:pPr>
              <w:spacing w:after="0"/>
              <w:rPr>
                <w:sz w:val="19"/>
                <w:szCs w:val="19"/>
                <w:color w:val="auto"/>
              </w:rPr>
            </w:pP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(112</w:t>
            </w:r>
          </w:p>
        </w:tc>
        <w:tc>
          <w:tcPr>
            <w:tcW w:w="7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20,778</w:t>
            </w:r>
          </w:p>
        </w:tc>
        <w:tc>
          <w:tcPr>
            <w:tcW w:w="1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89"/>
              </w:rPr>
              <w:t>Three months ended</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9"/>
              </w:rPr>
              <w:t>August 31,</w:t>
            </w: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1060" w:type="dxa"/>
            <w:vAlign w:val="bottom"/>
            <w:shd w:val="clear" w:color="auto" w:fill="EAF9E8"/>
          </w:tcPr>
          <w:p>
            <w:pPr>
              <w:spacing w:after="0"/>
              <w:rPr>
                <w:sz w:val="18"/>
                <w:szCs w:val="18"/>
                <w:color w:val="auto"/>
              </w:rPr>
            </w:pPr>
          </w:p>
        </w:tc>
        <w:tc>
          <w:tcPr>
            <w:tcW w:w="82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3,848</w:t>
            </w: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3,232</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1060" w:type="dxa"/>
            <w:vAlign w:val="bottom"/>
            <w:shd w:val="clear" w:color="auto" w:fill="EAF9E8"/>
          </w:tcPr>
          <w:p>
            <w:pPr>
              <w:spacing w:after="0"/>
              <w:rPr>
                <w:sz w:val="18"/>
                <w:szCs w:val="18"/>
                <w:color w:val="auto"/>
              </w:rPr>
            </w:pP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791</w:t>
            </w:r>
          </w:p>
        </w:tc>
        <w:tc>
          <w:tcPr>
            <w:tcW w:w="1420" w:type="dxa"/>
            <w:vAlign w:val="bottom"/>
            <w:shd w:val="clear" w:color="auto" w:fill="EAF9E8"/>
          </w:tcPr>
          <w:p>
            <w:pPr>
              <w:spacing w:after="0"/>
              <w:rPr>
                <w:sz w:val="18"/>
                <w:szCs w:val="18"/>
                <w:color w:val="auto"/>
              </w:rPr>
            </w:pPr>
          </w:p>
        </w:tc>
        <w:tc>
          <w:tcPr>
            <w:tcW w:w="36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(70</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0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1,028</w:t>
            </w: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1,262</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1060" w:type="dxa"/>
            <w:vAlign w:val="bottom"/>
            <w:tcBorders>
              <w:bottom w:val="single" w:sz="8" w:color="auto"/>
            </w:tcBorders>
            <w:shd w:val="clear" w:color="auto" w:fill="EAF9E8"/>
          </w:tcPr>
          <w:p>
            <w:pPr>
              <w:spacing w:after="0"/>
              <w:rPr>
                <w:sz w:val="19"/>
                <w:szCs w:val="19"/>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(2,351</w:t>
            </w:r>
          </w:p>
        </w:tc>
        <w:tc>
          <w:tcPr>
            <w:tcW w:w="1420" w:type="dxa"/>
            <w:vAlign w:val="bottom"/>
            <w:tcBorders>
              <w:bottom w:val="single" w:sz="8" w:color="EAF9E8"/>
            </w:tcBorders>
            <w:shd w:val="clear" w:color="auto" w:fill="EAF9E8"/>
          </w:tcPr>
          <w:p>
            <w:pPr>
              <w:jc w:val="right"/>
              <w:ind w:right="6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AF9E8"/>
          </w:tcPr>
          <w:p>
            <w:pPr>
              <w:spacing w:after="0"/>
              <w:rPr>
                <w:sz w:val="19"/>
                <w:szCs w:val="19"/>
                <w:color w:val="auto"/>
              </w:rPr>
            </w:pPr>
          </w:p>
        </w:tc>
        <w:tc>
          <w:tcPr>
            <w:tcW w:w="720" w:type="dxa"/>
            <w:vAlign w:val="bottom"/>
            <w:tcBorders>
              <w:bottom w:val="single" w:sz="8" w:color="auto"/>
            </w:tcBorders>
            <w:shd w:val="clear" w:color="auto" w:fill="EAF9E8"/>
          </w:tcPr>
          <w:p>
            <w:pPr>
              <w:spacing w:after="0"/>
              <w:rPr>
                <w:sz w:val="19"/>
                <w:szCs w:val="19"/>
                <w:color w:val="auto"/>
              </w:rPr>
            </w:pPr>
          </w:p>
        </w:tc>
        <w:tc>
          <w:tcPr>
            <w:tcW w:w="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(1,638</w:t>
            </w:r>
          </w:p>
        </w:tc>
        <w:tc>
          <w:tcPr>
            <w:tcW w:w="72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1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by operating segment includes intercompany transactions, which are eliminated in corporate and eliminations.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60" w:type="dxa"/>
            <w:vAlign w:val="bottom"/>
            <w:gridSpan w:val="2"/>
          </w:tcPr>
          <w:p>
            <w:pPr>
              <w:jc w:val="center"/>
              <w:ind w:left="990"/>
              <w:spacing w:after="0"/>
              <w:rPr>
                <w:sz w:val="20"/>
                <w:szCs w:val="20"/>
                <w:color w:val="auto"/>
              </w:rPr>
            </w:pPr>
            <w:r>
              <w:rPr>
                <w:rFonts w:ascii="Arial" w:cs="Arial" w:eastAsia="Arial" w:hAnsi="Arial"/>
                <w:sz w:val="18"/>
                <w:szCs w:val="18"/>
                <w:b w:val="1"/>
                <w:bCs w:val="1"/>
                <w:color w:val="auto"/>
                <w:w w:val="89"/>
              </w:rPr>
              <w:t>Three months ended</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August 31,</w:t>
            </w: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9"/>
              </w:rPr>
              <w:t>2010</w:t>
            </w:r>
          </w:p>
        </w:tc>
        <w:tc>
          <w:tcPr>
            <w:tcW w:w="14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89"/>
              </w:rPr>
              <w:t>2009</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Depreciation and amortization</w:t>
            </w:r>
          </w:p>
        </w:tc>
        <w:tc>
          <w:tcPr>
            <w:tcW w:w="78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16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3,584</w:t>
            </w:r>
          </w:p>
        </w:tc>
        <w:tc>
          <w:tcPr>
            <w:tcW w:w="1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2,874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78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206</w:t>
            </w:r>
          </w:p>
        </w:tc>
        <w:tc>
          <w:tcPr>
            <w:tcW w:w="1400" w:type="dxa"/>
            <w:vAlign w:val="bottom"/>
            <w:shd w:val="clear" w:color="auto" w:fill="EAF9E8"/>
          </w:tcPr>
          <w:p>
            <w:pPr>
              <w:spacing w:after="0"/>
              <w:rPr>
                <w:sz w:val="18"/>
                <w:szCs w:val="18"/>
                <w:color w:val="auto"/>
              </w:rPr>
            </w:pPr>
          </w:p>
        </w:tc>
        <w:tc>
          <w:tcPr>
            <w:tcW w:w="740" w:type="dxa"/>
            <w:vAlign w:val="bottom"/>
            <w:shd w:val="clear" w:color="auto" w:fill="EAF9E8"/>
          </w:tcPr>
          <w:p>
            <w:pPr>
              <w:spacing w:after="0"/>
              <w:rPr>
                <w:sz w:val="18"/>
                <w:szCs w:val="18"/>
                <w:color w:val="auto"/>
              </w:rPr>
            </w:pPr>
          </w:p>
        </w:tc>
        <w:tc>
          <w:tcPr>
            <w:tcW w:w="11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246</w:t>
            </w:r>
          </w:p>
        </w:tc>
        <w:tc>
          <w:tcPr>
            <w:tcW w:w="7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320</w:t>
            </w: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780" w:type="dxa"/>
            <w:vAlign w:val="bottom"/>
            <w:tcBorders>
              <w:bottom w:val="single" w:sz="8" w:color="auto"/>
            </w:tcBorders>
            <w:shd w:val="clear" w:color="auto" w:fill="EAF9E8"/>
          </w:tcPr>
          <w:p>
            <w:pPr>
              <w:spacing w:after="0"/>
              <w:rPr>
                <w:sz w:val="19"/>
                <w:szCs w:val="19"/>
                <w:color w:val="auto"/>
              </w:rPr>
            </w:pPr>
          </w:p>
        </w:tc>
        <w:tc>
          <w:tcPr>
            <w:tcW w:w="12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32</w:t>
            </w:r>
          </w:p>
        </w:tc>
        <w:tc>
          <w:tcPr>
            <w:tcW w:w="1400" w:type="dxa"/>
            <w:vAlign w:val="bottom"/>
            <w:tcBorders>
              <w:bottom w:val="single" w:sz="8" w:color="EAF9E8"/>
            </w:tcBorders>
            <w:shd w:val="clear" w:color="auto" w:fill="EAF9E8"/>
          </w:tcPr>
          <w:p>
            <w:pPr>
              <w:spacing w:after="0"/>
              <w:rPr>
                <w:sz w:val="19"/>
                <w:szCs w:val="19"/>
                <w:color w:val="auto"/>
              </w:rPr>
            </w:pPr>
          </w:p>
        </w:tc>
        <w:tc>
          <w:tcPr>
            <w:tcW w:w="740" w:type="dxa"/>
            <w:vAlign w:val="bottom"/>
            <w:tcBorders>
              <w:bottom w:val="single" w:sz="8" w:color="auto"/>
            </w:tcBorders>
            <w:shd w:val="clear" w:color="auto" w:fill="EAF9E8"/>
          </w:tcPr>
          <w:p>
            <w:pPr>
              <w:spacing w:after="0"/>
              <w:rPr>
                <w:sz w:val="19"/>
                <w:szCs w:val="19"/>
                <w:color w:val="auto"/>
              </w:rPr>
            </w:pPr>
          </w:p>
        </w:tc>
        <w:tc>
          <w:tcPr>
            <w:tcW w:w="11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31</w:t>
            </w:r>
          </w:p>
        </w:tc>
        <w:tc>
          <w:tcPr>
            <w:tcW w:w="7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14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jc w:val="right"/>
              <w:ind w:right="750"/>
              <w:spacing w:after="0"/>
              <w:rPr>
                <w:sz w:val="20"/>
                <w:szCs w:val="20"/>
                <w:color w:val="auto"/>
              </w:rPr>
            </w:pPr>
            <w:r>
              <w:rPr>
                <w:rFonts w:ascii="Arial" w:cs="Arial" w:eastAsia="Arial" w:hAnsi="Arial"/>
                <w:sz w:val="18"/>
                <w:szCs w:val="18"/>
                <w:b w:val="1"/>
                <w:bCs w:val="1"/>
                <w:color w:val="auto"/>
                <w:w w:val="93"/>
              </w:rPr>
              <w:t>As of</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0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August 31, 2010</w:t>
            </w:r>
          </w:p>
        </w:tc>
        <w:tc>
          <w:tcPr>
            <w:tcW w:w="1400" w:type="dxa"/>
            <w:vAlign w:val="bottom"/>
          </w:tcPr>
          <w:p>
            <w:pPr>
              <w:spacing w:after="0"/>
              <w:rPr>
                <w:sz w:val="20"/>
                <w:szCs w:val="20"/>
                <w:color w:val="auto"/>
              </w:rPr>
            </w:pPr>
          </w:p>
        </w:tc>
        <w:tc>
          <w:tcPr>
            <w:tcW w:w="26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4"/>
              </w:rPr>
              <w:t>May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Intangible assets, net</w:t>
            </w:r>
          </w:p>
        </w:tc>
        <w:tc>
          <w:tcPr>
            <w:tcW w:w="7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15,207</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14,042</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780" w:type="dxa"/>
            <w:vAlign w:val="bottom"/>
            <w:shd w:val="clear" w:color="auto" w:fill="EAF9E8"/>
          </w:tcPr>
          <w:p>
            <w:pPr>
              <w:spacing w:after="0"/>
              <w:rPr>
                <w:sz w:val="18"/>
                <w:szCs w:val="18"/>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1,048</w:t>
            </w:r>
          </w:p>
        </w:tc>
        <w:tc>
          <w:tcPr>
            <w:tcW w:w="14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1,016</w:t>
            </w:r>
          </w:p>
        </w:tc>
        <w:tc>
          <w:tcPr>
            <w:tcW w:w="7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7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930</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780" w:type="dxa"/>
            <w:vAlign w:val="bottom"/>
            <w:tcBorders>
              <w:bottom w:val="single" w:sz="8" w:color="auto"/>
            </w:tcBorders>
            <w:shd w:val="clear" w:color="auto" w:fill="EAF9E8"/>
          </w:tcPr>
          <w:p>
            <w:pPr>
              <w:spacing w:after="0"/>
              <w:rPr>
                <w:sz w:val="19"/>
                <w:szCs w:val="19"/>
                <w:color w:val="auto"/>
              </w:rPr>
            </w:pPr>
          </w:p>
        </w:tc>
        <w:tc>
          <w:tcPr>
            <w:tcW w:w="12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510</w:t>
            </w:r>
          </w:p>
        </w:tc>
        <w:tc>
          <w:tcPr>
            <w:tcW w:w="1400" w:type="dxa"/>
            <w:vAlign w:val="bottom"/>
            <w:tcBorders>
              <w:bottom w:val="single" w:sz="8" w:color="EAF9E8"/>
            </w:tcBorders>
            <w:shd w:val="clear" w:color="auto" w:fill="EAF9E8"/>
          </w:tcPr>
          <w:p>
            <w:pPr>
              <w:spacing w:after="0"/>
              <w:rPr>
                <w:sz w:val="19"/>
                <w:szCs w:val="19"/>
                <w:color w:val="auto"/>
              </w:rPr>
            </w:pPr>
          </w:p>
        </w:tc>
        <w:tc>
          <w:tcPr>
            <w:tcW w:w="760" w:type="dxa"/>
            <w:vAlign w:val="bottom"/>
            <w:tcBorders>
              <w:bottom w:val="single" w:sz="8" w:color="auto"/>
            </w:tcBorders>
            <w:shd w:val="clear" w:color="auto" w:fill="EAF9E8"/>
          </w:tcPr>
          <w:p>
            <w:pPr>
              <w:spacing w:after="0"/>
              <w:rPr>
                <w:sz w:val="19"/>
                <w:szCs w:val="19"/>
                <w:color w:val="auto"/>
              </w:rPr>
            </w:pP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526</w:t>
            </w:r>
          </w:p>
        </w:tc>
        <w:tc>
          <w:tcPr>
            <w:tcW w:w="7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17,695</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16,088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tcPr>
          <w:p>
            <w:pPr>
              <w:jc w:val="right"/>
              <w:ind w:right="750"/>
              <w:spacing w:after="0"/>
              <w:rPr>
                <w:sz w:val="20"/>
                <w:szCs w:val="20"/>
                <w:color w:val="auto"/>
              </w:rPr>
            </w:pPr>
            <w:r>
              <w:rPr>
                <w:rFonts w:ascii="Arial" w:cs="Arial" w:eastAsia="Arial" w:hAnsi="Arial"/>
                <w:sz w:val="18"/>
                <w:szCs w:val="18"/>
                <w:b w:val="1"/>
                <w:bCs w:val="1"/>
                <w:color w:val="auto"/>
                <w:w w:val="93"/>
              </w:rPr>
              <w:t>As of</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0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August 31, 2010</w:t>
            </w:r>
          </w:p>
        </w:tc>
        <w:tc>
          <w:tcPr>
            <w:tcW w:w="1400" w:type="dxa"/>
            <w:vAlign w:val="bottom"/>
          </w:tcPr>
          <w:p>
            <w:pPr>
              <w:spacing w:after="0"/>
              <w:rPr>
                <w:sz w:val="20"/>
                <w:szCs w:val="20"/>
                <w:color w:val="auto"/>
              </w:rPr>
            </w:pPr>
          </w:p>
        </w:tc>
        <w:tc>
          <w:tcPr>
            <w:tcW w:w="26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4"/>
              </w:rPr>
              <w:t>May 31, 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Goodwill</w:t>
            </w:r>
          </w:p>
        </w:tc>
        <w:tc>
          <w:tcPr>
            <w:tcW w:w="780" w:type="dxa"/>
            <w:vAlign w:val="bottom"/>
            <w:shd w:val="clear" w:color="auto" w:fill="EAF9E8"/>
          </w:tcPr>
          <w:p>
            <w:pPr>
              <w:spacing w:after="0"/>
              <w:rPr>
                <w:sz w:val="18"/>
                <w:szCs w:val="18"/>
                <w:color w:val="auto"/>
              </w:rPr>
            </w:pPr>
          </w:p>
        </w:tc>
        <w:tc>
          <w:tcPr>
            <w:tcW w:w="128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20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46,010</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42,804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780" w:type="dxa"/>
            <w:vAlign w:val="bottom"/>
            <w:shd w:val="clear" w:color="auto" w:fill="EAF9E8"/>
          </w:tcPr>
          <w:p>
            <w:pPr>
              <w:spacing w:after="0"/>
              <w:rPr>
                <w:sz w:val="18"/>
                <w:szCs w:val="18"/>
                <w:color w:val="auto"/>
              </w:rPr>
            </w:pPr>
          </w:p>
        </w:tc>
        <w:tc>
          <w:tcPr>
            <w:tcW w:w="12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900" w:type="dxa"/>
            <w:vAlign w:val="bottom"/>
            <w:gridSpan w:val="2"/>
            <w:shd w:val="clear" w:color="auto" w:fill="EAF9E8"/>
          </w:tcPr>
          <w:p>
            <w:pPr>
              <w:jc w:val="right"/>
              <w:ind w:righ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7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1,612</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780" w:type="dxa"/>
            <w:vAlign w:val="bottom"/>
            <w:tcBorders>
              <w:bottom w:val="single" w:sz="8" w:color="auto"/>
            </w:tcBorders>
            <w:shd w:val="clear" w:color="auto" w:fill="EAF9E8"/>
          </w:tcPr>
          <w:p>
            <w:pPr>
              <w:spacing w:after="0"/>
              <w:rPr>
                <w:sz w:val="19"/>
                <w:szCs w:val="19"/>
                <w:color w:val="auto"/>
              </w:rPr>
            </w:pPr>
          </w:p>
        </w:tc>
        <w:tc>
          <w:tcPr>
            <w:tcW w:w="12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EAF9E8"/>
            </w:tcBorders>
            <w:shd w:val="clear" w:color="auto" w:fill="EAF9E8"/>
          </w:tcPr>
          <w:p>
            <w:pPr>
              <w:spacing w:after="0"/>
              <w:rPr>
                <w:sz w:val="19"/>
                <w:szCs w:val="19"/>
                <w:color w:val="auto"/>
              </w:rPr>
            </w:pPr>
          </w:p>
        </w:tc>
        <w:tc>
          <w:tcPr>
            <w:tcW w:w="760" w:type="dxa"/>
            <w:vAlign w:val="bottom"/>
            <w:tcBorders>
              <w:bottom w:val="single" w:sz="8" w:color="auto"/>
            </w:tcBorders>
            <w:shd w:val="clear" w:color="auto" w:fill="EAF9E8"/>
          </w:tcPr>
          <w:p>
            <w:pPr>
              <w:spacing w:after="0"/>
              <w:rPr>
                <w:sz w:val="19"/>
                <w:szCs w:val="19"/>
                <w:color w:val="auto"/>
              </w:rPr>
            </w:pPr>
          </w:p>
        </w:tc>
        <w:tc>
          <w:tcPr>
            <w:tcW w:w="12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EAF9E8"/>
            </w:tcBorders>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47,622</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44,315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jc w:val="right"/>
              <w:ind w:right="790"/>
              <w:spacing w:after="0"/>
              <w:rPr>
                <w:sz w:val="20"/>
                <w:szCs w:val="20"/>
                <w:color w:val="auto"/>
              </w:rPr>
            </w:pPr>
            <w:r>
              <w:rPr>
                <w:rFonts w:ascii="Arial" w:cs="Arial" w:eastAsia="Arial" w:hAnsi="Arial"/>
                <w:sz w:val="18"/>
                <w:szCs w:val="18"/>
                <w:b w:val="1"/>
                <w:bCs w:val="1"/>
                <w:color w:val="auto"/>
                <w:w w:val="97"/>
              </w:rPr>
              <w:t>As of</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6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w w:val="88"/>
              </w:rPr>
              <w:t>As of</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August 31, 2010</w:t>
            </w:r>
          </w:p>
        </w:tc>
        <w:tc>
          <w:tcPr>
            <w:tcW w:w="1400" w:type="dxa"/>
            <w:vAlign w:val="bottom"/>
          </w:tcPr>
          <w:p>
            <w:pPr>
              <w:spacing w:after="0"/>
              <w:rPr>
                <w:sz w:val="20"/>
                <w:szCs w:val="20"/>
                <w:color w:val="auto"/>
              </w:rPr>
            </w:pPr>
          </w:p>
        </w:tc>
        <w:tc>
          <w:tcPr>
            <w:tcW w:w="272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2"/>
              </w:rPr>
              <w:t>May 31, 2010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8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Long-lived assets</w:t>
            </w:r>
          </w:p>
        </w:tc>
        <w:tc>
          <w:tcPr>
            <w:tcW w:w="780" w:type="dxa"/>
            <w:vAlign w:val="bottom"/>
            <w:shd w:val="clear" w:color="auto" w:fill="EAF9E8"/>
          </w:tcPr>
          <w:p>
            <w:pPr>
              <w:spacing w:after="0"/>
              <w:rPr>
                <w:sz w:val="18"/>
                <w:szCs w:val="18"/>
                <w:color w:val="auto"/>
              </w:rPr>
            </w:pPr>
          </w:p>
        </w:tc>
        <w:tc>
          <w:tcPr>
            <w:tcW w:w="1340" w:type="dxa"/>
            <w:vAlign w:val="bottom"/>
            <w:shd w:val="clear" w:color="auto" w:fill="EAF9E8"/>
          </w:tcPr>
          <w:p>
            <w:pPr>
              <w:spacing w:after="0"/>
              <w:rPr>
                <w:sz w:val="18"/>
                <w:szCs w:val="18"/>
                <w:color w:val="auto"/>
              </w:rPr>
            </w:pPr>
          </w:p>
        </w:tc>
        <w:tc>
          <w:tcPr>
            <w:tcW w:w="14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26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95,115</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91,040</w:t>
            </w: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780" w:type="dxa"/>
            <w:vAlign w:val="bottom"/>
            <w:shd w:val="clear" w:color="auto" w:fill="EAF9E8"/>
          </w:tcPr>
          <w:p>
            <w:pPr>
              <w:spacing w:after="0"/>
              <w:rPr>
                <w:sz w:val="18"/>
                <w:szCs w:val="18"/>
                <w:color w:val="auto"/>
              </w:rPr>
            </w:pPr>
          </w:p>
        </w:tc>
        <w:tc>
          <w:tcPr>
            <w:tcW w:w="1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3,724</w:t>
            </w:r>
          </w:p>
        </w:tc>
        <w:tc>
          <w:tcPr>
            <w:tcW w:w="1400" w:type="dxa"/>
            <w:vAlign w:val="bottom"/>
            <w:shd w:val="clear" w:color="auto" w:fill="EAF9E8"/>
          </w:tcPr>
          <w:p>
            <w:pPr>
              <w:spacing w:after="0"/>
              <w:rPr>
                <w:sz w:val="18"/>
                <w:szCs w:val="18"/>
                <w:color w:val="auto"/>
              </w:rPr>
            </w:pPr>
          </w:p>
        </w:tc>
        <w:tc>
          <w:tcPr>
            <w:tcW w:w="760" w:type="dxa"/>
            <w:vAlign w:val="bottom"/>
            <w:shd w:val="clear" w:color="auto" w:fill="EAF9E8"/>
          </w:tcPr>
          <w:p>
            <w:pPr>
              <w:spacing w:after="0"/>
              <w:rPr>
                <w:sz w:val="18"/>
                <w:szCs w:val="18"/>
                <w:color w:val="auto"/>
              </w:rPr>
            </w:pPr>
          </w:p>
        </w:tc>
        <w:tc>
          <w:tcPr>
            <w:tcW w:w="12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3,837</w:t>
            </w:r>
          </w:p>
        </w:tc>
        <w:tc>
          <w:tcPr>
            <w:tcW w:w="700" w:type="dxa"/>
            <w:vAlign w:val="bottom"/>
            <w:shd w:val="clear" w:color="auto" w:fill="EAF9E8"/>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7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5,548</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4,957</w:t>
            </w: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8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780" w:type="dxa"/>
            <w:vAlign w:val="bottom"/>
            <w:tcBorders>
              <w:bottom w:val="single" w:sz="8" w:color="auto"/>
            </w:tcBorders>
            <w:shd w:val="clear" w:color="auto" w:fill="EAF9E8"/>
          </w:tcPr>
          <w:p>
            <w:pPr>
              <w:spacing w:after="0"/>
              <w:rPr>
                <w:sz w:val="19"/>
                <w:szCs w:val="19"/>
                <w:color w:val="auto"/>
              </w:rPr>
            </w:pPr>
          </w:p>
        </w:tc>
        <w:tc>
          <w:tcPr>
            <w:tcW w:w="13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1,399</w:t>
            </w:r>
          </w:p>
        </w:tc>
        <w:tc>
          <w:tcPr>
            <w:tcW w:w="1400" w:type="dxa"/>
            <w:vAlign w:val="bottom"/>
            <w:tcBorders>
              <w:bottom w:val="single" w:sz="8" w:color="EAF9E8"/>
            </w:tcBorders>
            <w:shd w:val="clear" w:color="auto" w:fill="EAF9E8"/>
          </w:tcPr>
          <w:p>
            <w:pPr>
              <w:spacing w:after="0"/>
              <w:rPr>
                <w:sz w:val="19"/>
                <w:szCs w:val="19"/>
                <w:color w:val="auto"/>
              </w:rPr>
            </w:pPr>
          </w:p>
        </w:tc>
        <w:tc>
          <w:tcPr>
            <w:tcW w:w="760" w:type="dxa"/>
            <w:vAlign w:val="bottom"/>
            <w:tcBorders>
              <w:bottom w:val="single" w:sz="8" w:color="auto"/>
            </w:tcBorders>
            <w:shd w:val="clear" w:color="auto" w:fill="EAF9E8"/>
          </w:tcPr>
          <w:p>
            <w:pPr>
              <w:spacing w:after="0"/>
              <w:rPr>
                <w:sz w:val="19"/>
                <w:szCs w:val="19"/>
                <w:color w:val="auto"/>
              </w:rPr>
            </w:pPr>
          </w:p>
        </w:tc>
        <w:tc>
          <w:tcPr>
            <w:tcW w:w="126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550</w:t>
            </w:r>
          </w:p>
        </w:tc>
        <w:tc>
          <w:tcPr>
            <w:tcW w:w="700" w:type="dxa"/>
            <w:vAlign w:val="bottom"/>
            <w:tcBorders>
              <w:bottom w:val="single" w:sz="8" w:color="EAF9E8"/>
            </w:tcBorders>
            <w:shd w:val="clear" w:color="auto" w:fill="EAF9E8"/>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105,786</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100,384</w:t>
            </w: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1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-17-</w:t>
            </w:r>
          </w:p>
        </w:tc>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8"/>
                <w:szCs w:val="18"/>
                <w:b w:val="1"/>
                <w:bCs w:val="1"/>
                <w:color w:val="auto"/>
                <w:w w:val="99"/>
              </w:rPr>
              <w:t>For the three months ended August 31,</w:t>
            </w:r>
          </w:p>
        </w:tc>
        <w:tc>
          <w:tcPr>
            <w:tcW w:w="640" w:type="dxa"/>
            <w:vAlign w:val="bottom"/>
            <w:tcBorders>
              <w:bottom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jc w:val="right"/>
              <w:ind w:right="670"/>
              <w:spacing w:after="0"/>
              <w:rPr>
                <w:sz w:val="20"/>
                <w:szCs w:val="20"/>
                <w:color w:val="auto"/>
              </w:rPr>
            </w:pPr>
            <w:r>
              <w:rPr>
                <w:rFonts w:ascii="Arial" w:cs="Arial" w:eastAsia="Arial" w:hAnsi="Arial"/>
                <w:sz w:val="18"/>
                <w:szCs w:val="18"/>
                <w:b w:val="1"/>
                <w:bCs w:val="1"/>
                <w:color w:val="auto"/>
                <w:w w:val="89"/>
              </w:rPr>
              <w:t>2010</w:t>
            </w:r>
          </w:p>
        </w:tc>
        <w:tc>
          <w:tcPr>
            <w:tcW w:w="2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2009</w:t>
            </w: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24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Revenues by geographic region</w:t>
            </w:r>
          </w:p>
        </w:tc>
        <w:tc>
          <w:tcPr>
            <w:tcW w:w="74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14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640" w:type="dxa"/>
            <w:vAlign w:val="bottom"/>
            <w:shd w:val="clear" w:color="auto" w:fill="EAF9E8"/>
          </w:tcPr>
          <w:p>
            <w:pPr>
              <w:spacing w:after="0"/>
              <w:rPr>
                <w:sz w:val="18"/>
                <w:szCs w:val="18"/>
                <w:color w:val="auto"/>
              </w:rPr>
            </w:pPr>
          </w:p>
        </w:tc>
        <w:tc>
          <w:tcPr>
            <w:tcW w:w="700" w:type="dxa"/>
            <w:vAlign w:val="bottom"/>
            <w:shd w:val="clear" w:color="auto" w:fill="EAF9E8"/>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54,767</w:t>
            </w:r>
          </w:p>
        </w:tc>
        <w:tc>
          <w:tcPr>
            <w:tcW w:w="26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45,237</w:t>
            </w: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Europe</w:t>
            </w:r>
          </w:p>
        </w:tc>
        <w:tc>
          <w:tcPr>
            <w:tcW w:w="740" w:type="dxa"/>
            <w:vAlign w:val="bottom"/>
            <w:shd w:val="clear" w:color="auto" w:fill="EAF9E8"/>
          </w:tcPr>
          <w:p>
            <w:pPr>
              <w:spacing w:after="0"/>
              <w:rPr>
                <w:sz w:val="18"/>
                <w:szCs w:val="18"/>
                <w:color w:val="auto"/>
              </w:rPr>
            </w:pP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6,440</w:t>
            </w:r>
          </w:p>
        </w:tc>
        <w:tc>
          <w:tcPr>
            <w:tcW w:w="1420" w:type="dxa"/>
            <w:vAlign w:val="bottom"/>
            <w:shd w:val="clear" w:color="auto" w:fill="EAF9E8"/>
          </w:tcPr>
          <w:p>
            <w:pPr>
              <w:spacing w:after="0"/>
              <w:rPr>
                <w:sz w:val="18"/>
                <w:szCs w:val="18"/>
                <w:color w:val="auto"/>
              </w:rPr>
            </w:pPr>
          </w:p>
        </w:tc>
        <w:tc>
          <w:tcPr>
            <w:tcW w:w="124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6,387</w:t>
            </w:r>
          </w:p>
        </w:tc>
        <w:tc>
          <w:tcPr>
            <w:tcW w:w="700" w:type="dxa"/>
            <w:vAlign w:val="bottom"/>
            <w:shd w:val="clear" w:color="auto" w:fill="EAF9E8"/>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Other Americas</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4,853</w:t>
            </w: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2,926</w:t>
            </w: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24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Asia-Pacific</w:t>
            </w:r>
          </w:p>
        </w:tc>
        <w:tc>
          <w:tcPr>
            <w:tcW w:w="740" w:type="dxa"/>
            <w:vAlign w:val="bottom"/>
            <w:tcBorders>
              <w:bottom w:val="single" w:sz="8" w:color="auto"/>
            </w:tcBorders>
            <w:shd w:val="clear" w:color="auto" w:fill="EAF9E8"/>
          </w:tcPr>
          <w:p>
            <w:pPr>
              <w:spacing w:after="0"/>
              <w:rPr>
                <w:sz w:val="19"/>
                <w:szCs w:val="19"/>
                <w:color w:val="auto"/>
              </w:rPr>
            </w:pPr>
          </w:p>
        </w:tc>
        <w:tc>
          <w:tcPr>
            <w:tcW w:w="11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2,350</w:t>
            </w:r>
          </w:p>
        </w:tc>
        <w:tc>
          <w:tcPr>
            <w:tcW w:w="1420" w:type="dxa"/>
            <w:vAlign w:val="bottom"/>
            <w:tcBorders>
              <w:bottom w:val="single" w:sz="8" w:color="EAF9E8"/>
            </w:tcBorders>
            <w:shd w:val="clear" w:color="auto" w:fill="EAF9E8"/>
          </w:tcPr>
          <w:p>
            <w:pPr>
              <w:spacing w:after="0"/>
              <w:rPr>
                <w:sz w:val="19"/>
                <w:szCs w:val="19"/>
                <w:color w:val="auto"/>
              </w:rPr>
            </w:pPr>
          </w:p>
        </w:tc>
        <w:tc>
          <w:tcPr>
            <w:tcW w:w="1240" w:type="dxa"/>
            <w:vAlign w:val="bottom"/>
            <w:tcBorders>
              <w:bottom w:val="single" w:sz="8" w:color="auto"/>
            </w:tcBorders>
            <w:shd w:val="clear" w:color="auto" w:fill="EAF9E8"/>
          </w:tcPr>
          <w:p>
            <w:pPr>
              <w:spacing w:after="0"/>
              <w:rPr>
                <w:sz w:val="19"/>
                <w:szCs w:val="19"/>
                <w:color w:val="auto"/>
              </w:rPr>
            </w:pPr>
          </w:p>
        </w:tc>
        <w:tc>
          <w:tcPr>
            <w:tcW w:w="6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1,539</w:t>
            </w:r>
          </w:p>
        </w:tc>
        <w:tc>
          <w:tcPr>
            <w:tcW w:w="700" w:type="dxa"/>
            <w:vAlign w:val="bottom"/>
            <w:tcBorders>
              <w:bottom w:val="single" w:sz="8" w:color="EAF9E8"/>
            </w:tcBorders>
            <w:shd w:val="clear" w:color="auto" w:fill="EAF9E8"/>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68,410</w:t>
            </w:r>
          </w:p>
        </w:tc>
        <w:tc>
          <w:tcPr>
            <w:tcW w:w="26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56,089</w:t>
            </w: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11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color w:val="auto"/>
              </w:rPr>
              <w:t>-18-</w:t>
            </w: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Borders>
              <w:bottom w:val="single" w:sz="8" w:color="808080"/>
            </w:tcBorders>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9" w:name="page20"/>
    <w:bookmarkEnd w:id="19"/>
    <w:p>
      <w:pPr>
        <w:ind w:left="660"/>
        <w:spacing w:after="0"/>
        <w:tabs>
          <w:tab w:leader="none" w:pos="2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(“Securities Act”), and Section 21E of the Securities Exchange Act of 1934, as amended (“Exchange Act”). Forward-looking statements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our competitive position and the effects of competition, the projected growth of the industries in which we operate, the benefits and synergies to be obtained from our completed and any future acquisitions, and statements of m anagement’s goals and objectives, and other similar expressions concerning matters that are not historical facts. Words such as “may,” “should,” “could,” “would,” “predicts,” “potential,” “continue,” “expects,” “anticipates,” “future,” “intends,” “plans,” “believes,” “estimates,” “appears,” “projects” and similar expressions, as well as statements in the future tense, identify forward-looking statements. 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 management’s good faith belief with respect to future events, and is subject to risks and uncertainties that coul d cause actual performance or results to differ materially from those expressed in the statements. Important factors that could cause such differences include, but are not limited to the factors discussed under the “Risk Factors” section.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is a discussion and analysis of our financial condition and results of operations and should be read together with our condensed consolidated financial statements and related notes to the condensed consolidated financial statements included elsewhere in this Quarterly Report on Form 10-Q and our audited consolidated financial statements and related notes to the audited consolidated financial statements included in our Annual Report on Form 10-K. In this quarterly report, our fiscal years, which end on May 31, are identified according to the calendar year in which they end (e.g., the fiscal year ended May 31, 2010 is referred to as “fiscal 2010”), and unless otherwise specified or the context otherwise requires, “Mistras,” “the Company,” “we,” “us” and “our ” refer to Mistras Group, Inc. and its consolidated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 leading “one source” global provider of technology-enabled asset protection solutions used to evaluate the structural integrity of critical energy, industrial and public infrastructure. We combine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our customers’ ability to extend the useful life of their assets, increase productivity, minimize repair costs, comply with governmental safety and environmental regulations, manage risk and avoid catastrophic disasters. Given the role our services play i 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fossil and nuclear power, public infrastructure, chemicals, aerospace and defense, transportation, primary metals and metalworking, pharmaceuticals and food processing industries. During fiscal 2010, we provided our asset protection solutions to approximately 4,800 customers. As of August 31, 2010, we had approximately 2,400 employees, including 32 Ph.D.’s and more than 100 other degreed engineers and highly-skilled, certified technicians, in 74 offices across 15 countries. We have established long-term relationships as a critical solutions provider to many leading companies in our target markets. Our current principal market is the oil and gas industry, which accounted for approximately 61% and 63% of our revenues fo r the first quarter of fiscal 2011 and 2010, respectively.</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has, in general, increased, creating demand from which our entire industry has benefited. We have experienced compounded annual growth rate (CAGR) for revenue of 31% over the last three fiscal years, including the impact of acquisitions and currency fluctuations. During the same period, revenues from our customers in the oil and gas market, historically our largest target market, had a CAGR of 40%. All of our other target markets, collectively, had a CAGR of 19%. We believe further growth can be realized in all of our target markets. Concurrent with this growth, we have worked to build our infrastructure to profitably absorb additional growth and have made a number of small acquisitions in an effort to leverage our fixed costs, grow our base of experienced personnel, expand our technical capabilities and increase our geographical reach.</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successful and seamless integration of acquired companies. These acquisitions have provided us with additional products, technologies, resources and customers that have enhanced our sustainable competitive advantages over our competition.</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global economy continues to be fragile. Global financial markets continue to experience uncertainty, including severely diminished liquidity and credit availability, low consumer confidence, slow economic growth, persistently high unemployment rates, volatile currency exchange rates and continued uncertainty about economic stability. There may be further deterioration and volatility in the global economy, the global financial markets, and consumer confidence. However, we believe it also has allowed us to capitalize on this opportunity to selectively hire new talented individuals that otherwise might not have been available to us, to acquire and develop new technology in order to aggressively expand our proprietary portfolio of customized solutions, and to make acquisitions of complementary businesses at reasonable valuations. We be lieve we will be able to derive additional revenues from these strategic investments with favorable gross margins in future periods, which we believe would at least in part offset any further negative revenue impact we incur from the economic downturn during those periods.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First quarter of fiscal 2011 compared to first quarter of fiscal 2010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color w:val="auto"/>
                <w:w w:val="93"/>
              </w:rPr>
              <w:t>Our consolidated results of operations for the first quarter of fiscal 2011 and fiscal 2010 were as follows: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4"/>
              </w:rPr>
              <w:t>For the three months ended August 31,</w:t>
            </w: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74"/>
              </w:rPr>
              <w:t>thousands )</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Statement of Operations Data</w:t>
            </w: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Revenues</w:t>
            </w:r>
          </w:p>
        </w:tc>
        <w:tc>
          <w:tcPr>
            <w:tcW w:w="11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w w:val="94"/>
              </w:rPr>
              <w:t>68,410</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56,089</w:t>
            </w: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w w:val="94"/>
              </w:rPr>
              <w:t>44,668</w:t>
            </w:r>
          </w:p>
        </w:tc>
        <w:tc>
          <w:tcPr>
            <w:tcW w:w="2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36,468</w:t>
            </w: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w w:val="94"/>
              </w:rPr>
              <w:t>20,778</w:t>
            </w:r>
          </w:p>
        </w:tc>
        <w:tc>
          <w:tcPr>
            <w:tcW w:w="2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17,150</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w w:val="94"/>
              </w:rPr>
              <w:t>15,479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13,133</w:t>
            </w: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spacing w:after="0"/>
              <w:rPr>
                <w:sz w:val="20"/>
                <w:szCs w:val="20"/>
                <w:color w:val="auto"/>
              </w:rPr>
            </w:pPr>
            <w:r>
              <w:rPr>
                <w:rFonts w:ascii="Arial" w:cs="Arial" w:eastAsia="Arial" w:hAnsi="Arial"/>
                <w:sz w:val="18"/>
                <w:szCs w:val="18"/>
                <w:color w:val="auto"/>
              </w:rPr>
              <w:t>Research and engineering</w:t>
            </w: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1,178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r>
      <w:tr>
        <w:trPr>
          <w:trHeight w:val="223"/>
        </w:trPr>
        <w:tc>
          <w:tcPr>
            <w:tcW w:w="20" w:type="dxa"/>
            <w:vAlign w:val="bottom"/>
          </w:tcPr>
          <w:p>
            <w:pPr>
              <w:spacing w:after="0"/>
              <w:rPr>
                <w:sz w:val="19"/>
                <w:szCs w:val="19"/>
                <w:color w:val="auto"/>
              </w:rPr>
            </w:pPr>
          </w:p>
        </w:tc>
        <w:tc>
          <w:tcPr>
            <w:tcW w:w="7700" w:type="dxa"/>
            <w:vAlign w:val="bottom"/>
            <w:shd w:val="clear" w:color="auto" w:fill="EAF9E8"/>
          </w:tcPr>
          <w:p>
            <w:pPr>
              <w:spacing w:after="0"/>
              <w:rPr>
                <w:sz w:val="20"/>
                <w:szCs w:val="20"/>
                <w:color w:val="auto"/>
              </w:rPr>
            </w:pPr>
            <w:r>
              <w:rPr>
                <w:rFonts w:ascii="Arial" w:cs="Arial" w:eastAsia="Arial" w:hAnsi="Arial"/>
                <w:sz w:val="18"/>
                <w:szCs w:val="18"/>
                <w:color w:val="auto"/>
              </w:rPr>
              <w:t>Legal reserve</w:t>
            </w:r>
          </w:p>
        </w:tc>
        <w:tc>
          <w:tcPr>
            <w:tcW w:w="180" w:type="dxa"/>
            <w:vAlign w:val="bottom"/>
            <w:shd w:val="clear" w:color="auto" w:fill="EAF9E8"/>
          </w:tcPr>
          <w:p>
            <w:pPr>
              <w:spacing w:after="0"/>
              <w:rPr>
                <w:sz w:val="19"/>
                <w:szCs w:val="19"/>
                <w:color w:val="auto"/>
              </w:rPr>
            </w:pPr>
          </w:p>
        </w:tc>
        <w:tc>
          <w:tcPr>
            <w:tcW w:w="960" w:type="dxa"/>
            <w:vAlign w:val="bottom"/>
            <w:shd w:val="clear" w:color="auto" w:fill="EAF9E8"/>
          </w:tcPr>
          <w:p>
            <w:pPr>
              <w:spacing w:after="0"/>
              <w:rPr>
                <w:sz w:val="19"/>
                <w:szCs w:val="19"/>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440" w:type="dxa"/>
            <w:vAlign w:val="bottom"/>
            <w:shd w:val="clear" w:color="auto" w:fill="EAF9E8"/>
          </w:tcPr>
          <w:p>
            <w:pPr>
              <w:spacing w:after="0"/>
              <w:rPr>
                <w:sz w:val="19"/>
                <w:szCs w:val="19"/>
                <w:color w:val="auto"/>
              </w:rPr>
            </w:pPr>
          </w:p>
        </w:tc>
        <w:tc>
          <w:tcPr>
            <w:tcW w:w="1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(297)</w:t>
            </w:r>
          </w:p>
        </w:tc>
      </w:tr>
      <w:tr>
        <w:trPr>
          <w:trHeight w:val="216"/>
        </w:trPr>
        <w:tc>
          <w:tcPr>
            <w:tcW w:w="20" w:type="dxa"/>
            <w:vAlign w:val="bottom"/>
          </w:tcPr>
          <w:p>
            <w:pPr>
              <w:spacing w:after="0"/>
              <w:rPr>
                <w:sz w:val="18"/>
                <w:szCs w:val="18"/>
                <w:color w:val="auto"/>
              </w:rPr>
            </w:pPr>
          </w:p>
        </w:tc>
        <w:tc>
          <w:tcPr>
            <w:tcW w:w="7700" w:type="dxa"/>
            <w:vAlign w:val="bottom"/>
            <w:tcBorders>
              <w:top w:val="single" w:sz="8" w:color="EAF9E8"/>
            </w:tcBorders>
          </w:tcPr>
          <w:p>
            <w:pPr>
              <w:ind w:left="16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EAF9E8"/>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220" w:type="dxa"/>
            <w:vAlign w:val="bottom"/>
            <w:tcBorders>
              <w:top w:val="single" w:sz="8" w:color="EAF9E8"/>
            </w:tcBorders>
          </w:tcPr>
          <w:p>
            <w:pPr>
              <w:spacing w:after="0"/>
              <w:rPr>
                <w:sz w:val="18"/>
                <w:szCs w:val="18"/>
                <w:color w:val="auto"/>
              </w:rPr>
            </w:pPr>
          </w:p>
        </w:tc>
        <w:tc>
          <w:tcPr>
            <w:tcW w:w="220" w:type="dxa"/>
            <w:vAlign w:val="bottom"/>
            <w:tcBorders>
              <w:top w:val="single" w:sz="8" w:color="EAF9E8"/>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Borders>
              <w:top w:val="single" w:sz="8" w:color="EAF9E8"/>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1,064</w:t>
            </w: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Loss on extinguishment of long-term debt</w:t>
            </w:r>
          </w:p>
        </w:tc>
        <w:tc>
          <w:tcPr>
            <w:tcW w:w="1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before provision for income taxes and noncontrolling interest</w:t>
            </w: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2,626</w:t>
            </w:r>
          </w:p>
        </w:tc>
        <w:tc>
          <w:tcPr>
            <w:tcW w:w="2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1,553</w:t>
            </w: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EAF9E8"/>
          </w:tcPr>
          <w:p>
            <w:pPr>
              <w:spacing w:after="0"/>
              <w:rPr>
                <w:sz w:val="18"/>
                <w:szCs w:val="18"/>
                <w:color w:val="auto"/>
              </w:rPr>
            </w:pPr>
          </w:p>
        </w:tc>
        <w:tc>
          <w:tcPr>
            <w:tcW w:w="96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1,572</w:t>
            </w:r>
          </w:p>
        </w:tc>
        <w:tc>
          <w:tcPr>
            <w:tcW w:w="2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859</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 net of taxes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 attributable to common stockholders</w:t>
            </w:r>
          </w:p>
        </w:tc>
        <w:tc>
          <w:tcPr>
            <w:tcW w:w="1140" w:type="dxa"/>
            <w:vAlign w:val="bottom"/>
            <w:gridSpan w:val="2"/>
            <w:shd w:val="clear" w:color="auto" w:fill="EAF9E8"/>
          </w:tcPr>
          <w:p>
            <w:pPr>
              <w:jc w:val="right"/>
              <w:ind w:right="7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AF9E8"/>
          </w:tcPr>
          <w:p>
            <w:pPr>
              <w:jc w:val="right"/>
              <w:ind w:right="130"/>
              <w:spacing w:after="0"/>
              <w:rPr>
                <w:sz w:val="20"/>
                <w:szCs w:val="20"/>
                <w:color w:val="auto"/>
              </w:rPr>
            </w:pPr>
            <w:r>
              <w:rPr>
                <w:rFonts w:ascii="Arial" w:cs="Arial" w:eastAsia="Arial" w:hAnsi="Arial"/>
                <w:sz w:val="18"/>
                <w:szCs w:val="18"/>
                <w:color w:val="auto"/>
              </w:rPr>
              <w:t>1,592</w:t>
            </w:r>
          </w:p>
        </w:tc>
        <w:tc>
          <w:tcPr>
            <w:tcW w:w="6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815</w:t>
            </w:r>
          </w:p>
        </w:tc>
      </w:tr>
      <w:tr>
        <w:trPr>
          <w:trHeight w:val="20"/>
        </w:trPr>
        <w:tc>
          <w:tcPr>
            <w:tcW w:w="20" w:type="dxa"/>
            <w:vAlign w:val="bottom"/>
          </w:tcPr>
          <w:p>
            <w:pPr>
              <w:spacing w:after="0" w:line="20" w:lineRule="exact"/>
              <w:rPr>
                <w:sz w:val="1"/>
                <w:szCs w:val="1"/>
                <w:color w:val="auto"/>
              </w:rPr>
            </w:pPr>
          </w:p>
        </w:tc>
        <w:tc>
          <w:tcPr>
            <w:tcW w:w="7700" w:type="dxa"/>
            <w:vAlign w:val="bottom"/>
            <w:tcBorders>
              <w:top w:val="single" w:sz="8" w:color="EAF9E8"/>
            </w:tcBorders>
            <w:shd w:val="clear" w:color="auto" w:fill="EAF9E8"/>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EBITDA</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and Adjusted EBITDA</w:t>
      </w:r>
      <w:r>
        <w:rPr>
          <w:rFonts w:ascii="Arial" w:cs="Arial" w:eastAsia="Arial" w:hAnsi="Arial"/>
          <w:sz w:val="25"/>
          <w:szCs w:val="25"/>
          <w:color w:val="auto"/>
          <w:vertAlign w:val="superscript"/>
        </w:rPr>
        <w:t>1</w:t>
      </w:r>
      <w:r>
        <w:rPr>
          <w:rFonts w:ascii="Arial" w:cs="Arial" w:eastAsia="Arial" w:hAnsi="Arial"/>
          <w:sz w:val="18"/>
          <w:szCs w:val="18"/>
          <w:color w:val="auto"/>
        </w:rPr>
        <w:t>, non-GAAP measures explained below, for the first quarter of fiscal 2011 and fiscal 2010 were as follows: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52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4"/>
              </w:rPr>
              <w:t>For the three months ended August 31,</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AF9E8"/>
          </w:tcPr>
          <w:p>
            <w:pPr>
              <w:spacing w:after="0"/>
              <w:rPr>
                <w:sz w:val="20"/>
                <w:szCs w:val="20"/>
                <w:color w:val="auto"/>
              </w:rPr>
            </w:pPr>
            <w:r>
              <w:rPr>
                <w:rFonts w:ascii="Arial" w:cs="Arial" w:eastAsia="Arial" w:hAnsi="Arial"/>
                <w:sz w:val="18"/>
                <w:szCs w:val="18"/>
                <w:b w:val="1"/>
                <w:bCs w:val="1"/>
                <w:color w:val="auto"/>
              </w:rPr>
              <w:t>EBITDA and Adjusted EBITDA data</w:t>
            </w:r>
          </w:p>
        </w:tc>
        <w:tc>
          <w:tcPr>
            <w:tcW w:w="250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1380" w:type="dxa"/>
            <w:vAlign w:val="bottom"/>
            <w:gridSpan w:val="4"/>
            <w:shd w:val="clear" w:color="auto" w:fill="EAF9E8"/>
          </w:tcPr>
          <w:p>
            <w:pPr>
              <w:jc w:val="right"/>
              <w:ind w:right="120"/>
              <w:spacing w:after="0"/>
              <w:rPr>
                <w:sz w:val="20"/>
                <w:szCs w:val="20"/>
                <w:color w:val="auto"/>
              </w:rPr>
            </w:pPr>
            <w:r>
              <w:rPr>
                <w:rFonts w:ascii="Arial" w:cs="Arial" w:eastAsia="Arial" w:hAnsi="Arial"/>
                <w:sz w:val="18"/>
                <w:szCs w:val="18"/>
                <w:b w:val="1"/>
                <w:bCs w:val="1"/>
                <w:color w:val="auto"/>
                <w:w w:val="99"/>
              </w:rPr>
              <w:t>(in thousands)</w:t>
            </w:r>
          </w:p>
        </w:tc>
        <w:tc>
          <w:tcPr>
            <w:tcW w:w="10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income</w:t>
            </w:r>
          </w:p>
        </w:tc>
        <w:tc>
          <w:tcPr>
            <w:tcW w:w="35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1,592</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r>
      <w:tr>
        <w:trPr>
          <w:trHeight w:val="216"/>
        </w:trPr>
        <w:tc>
          <w:tcPr>
            <w:tcW w:w="20" w:type="dxa"/>
            <w:vAlign w:val="bottom"/>
          </w:tcPr>
          <w:p>
            <w:pPr>
              <w:spacing w:after="0"/>
              <w:rPr>
                <w:sz w:val="18"/>
                <w:szCs w:val="18"/>
                <w:color w:val="auto"/>
              </w:rPr>
            </w:pPr>
          </w:p>
        </w:tc>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w:t>
            </w:r>
          </w:p>
        </w:tc>
        <w:tc>
          <w:tcPr>
            <w:tcW w:w="250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7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1,064</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1,054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r>
      <w:tr>
        <w:trPr>
          <w:trHeight w:val="223"/>
        </w:trPr>
        <w:tc>
          <w:tcPr>
            <w:tcW w:w="20" w:type="dxa"/>
            <w:vAlign w:val="bottom"/>
          </w:tcPr>
          <w:p>
            <w:pPr>
              <w:spacing w:after="0"/>
              <w:rPr>
                <w:sz w:val="19"/>
                <w:szCs w:val="19"/>
                <w:color w:val="auto"/>
              </w:rPr>
            </w:pPr>
          </w:p>
        </w:tc>
        <w:tc>
          <w:tcPr>
            <w:tcW w:w="538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8"/>
                <w:szCs w:val="18"/>
                <w:color w:val="auto"/>
              </w:rPr>
              <w:t>Depreciation and amortization</w:t>
            </w:r>
          </w:p>
        </w:tc>
        <w:tc>
          <w:tcPr>
            <w:tcW w:w="2500" w:type="dxa"/>
            <w:vAlign w:val="bottom"/>
            <w:tcBorders>
              <w:bottom w:val="single" w:sz="8" w:color="EAF9E8"/>
            </w:tcBorders>
            <w:shd w:val="clear" w:color="auto" w:fill="EAF9E8"/>
          </w:tcPr>
          <w:p>
            <w:pPr>
              <w:spacing w:after="0"/>
              <w:rPr>
                <w:sz w:val="19"/>
                <w:szCs w:val="19"/>
                <w:color w:val="auto"/>
              </w:rPr>
            </w:pPr>
          </w:p>
        </w:tc>
        <w:tc>
          <w:tcPr>
            <w:tcW w:w="1000" w:type="dxa"/>
            <w:vAlign w:val="bottom"/>
            <w:tcBorders>
              <w:bottom w:val="single" w:sz="8" w:color="auto"/>
            </w:tcBorders>
            <w:shd w:val="clear" w:color="auto" w:fill="EAF9E8"/>
          </w:tcPr>
          <w:p>
            <w:pPr>
              <w:spacing w:after="0"/>
              <w:rPr>
                <w:sz w:val="19"/>
                <w:szCs w:val="19"/>
                <w:color w:val="auto"/>
              </w:rPr>
            </w:pPr>
          </w:p>
        </w:tc>
        <w:tc>
          <w:tcPr>
            <w:tcW w:w="5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4,142</w:t>
            </w:r>
          </w:p>
        </w:tc>
        <w:tc>
          <w:tcPr>
            <w:tcW w:w="220" w:type="dxa"/>
            <w:vAlign w:val="bottom"/>
            <w:tcBorders>
              <w:bottom w:val="single" w:sz="8" w:color="EAF9E8"/>
            </w:tcBorders>
            <w:shd w:val="clear" w:color="auto" w:fill="EAF9E8"/>
          </w:tcPr>
          <w:p>
            <w:pPr>
              <w:spacing w:after="0"/>
              <w:rPr>
                <w:sz w:val="19"/>
                <w:szCs w:val="19"/>
                <w:color w:val="auto"/>
              </w:rPr>
            </w:pPr>
          </w:p>
        </w:tc>
        <w:tc>
          <w:tcPr>
            <w:tcW w:w="220" w:type="dxa"/>
            <w:vAlign w:val="bottom"/>
            <w:tcBorders>
              <w:bottom w:val="single" w:sz="8" w:color="EAF9E8"/>
            </w:tcBorders>
            <w:shd w:val="clear" w:color="auto" w:fill="EAF9E8"/>
          </w:tcPr>
          <w:p>
            <w:pPr>
              <w:spacing w:after="0"/>
              <w:rPr>
                <w:sz w:val="19"/>
                <w:szCs w:val="19"/>
                <w:color w:val="auto"/>
              </w:rPr>
            </w:pPr>
          </w:p>
        </w:tc>
        <w:tc>
          <w:tcPr>
            <w:tcW w:w="440" w:type="dxa"/>
            <w:vAlign w:val="bottom"/>
            <w:tcBorders>
              <w:bottom w:val="single" w:sz="8" w:color="auto"/>
            </w:tcBorders>
            <w:shd w:val="clear" w:color="auto" w:fill="EAF9E8"/>
          </w:tcPr>
          <w:p>
            <w:pPr>
              <w:spacing w:after="0"/>
              <w:rPr>
                <w:sz w:val="19"/>
                <w:szCs w:val="19"/>
                <w:color w:val="auto"/>
              </w:rPr>
            </w:pPr>
          </w:p>
        </w:tc>
        <w:tc>
          <w:tcPr>
            <w:tcW w:w="10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Borders>
              <w:bottom w:val="single" w:sz="8" w:color="EAF9E8"/>
            </w:tcBorders>
            <w:shd w:val="clear" w:color="auto" w:fill="EAF9E8"/>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EBITDA</w:t>
            </w:r>
          </w:p>
        </w:tc>
        <w:tc>
          <w:tcPr>
            <w:tcW w:w="35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7,478</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6,089</w:t>
            </w:r>
          </w:p>
        </w:tc>
      </w:tr>
      <w:tr>
        <w:trPr>
          <w:trHeight w:val="216"/>
        </w:trPr>
        <w:tc>
          <w:tcPr>
            <w:tcW w:w="20" w:type="dxa"/>
            <w:vAlign w:val="bottom"/>
          </w:tcPr>
          <w:p>
            <w:pPr>
              <w:spacing w:after="0"/>
              <w:rPr>
                <w:sz w:val="18"/>
                <w:szCs w:val="18"/>
                <w:color w:val="auto"/>
              </w:rPr>
            </w:pPr>
          </w:p>
        </w:tc>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Legal reserve</w:t>
            </w:r>
          </w:p>
        </w:tc>
        <w:tc>
          <w:tcPr>
            <w:tcW w:w="250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7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(297)</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Large customer bankruptcy</w:t>
            </w:r>
          </w:p>
        </w:tc>
        <w:tc>
          <w:tcPr>
            <w:tcW w:w="2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r>
      <w:tr>
        <w:trPr>
          <w:trHeight w:val="216"/>
        </w:trPr>
        <w:tc>
          <w:tcPr>
            <w:tcW w:w="20" w:type="dxa"/>
            <w:vAlign w:val="bottom"/>
          </w:tcPr>
          <w:p>
            <w:pPr>
              <w:spacing w:after="0"/>
              <w:rPr>
                <w:sz w:val="18"/>
                <w:szCs w:val="18"/>
                <w:color w:val="auto"/>
              </w:rPr>
            </w:pPr>
          </w:p>
        </w:tc>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Stock compensation expense</w:t>
            </w:r>
          </w:p>
        </w:tc>
        <w:tc>
          <w:tcPr>
            <w:tcW w:w="2500" w:type="dxa"/>
            <w:vAlign w:val="bottom"/>
            <w:shd w:val="clear" w:color="auto" w:fill="EAF9E8"/>
          </w:tcPr>
          <w:p>
            <w:pPr>
              <w:spacing w:after="0"/>
              <w:rPr>
                <w:sz w:val="18"/>
                <w:szCs w:val="18"/>
                <w:color w:val="auto"/>
              </w:rPr>
            </w:pPr>
          </w:p>
        </w:tc>
        <w:tc>
          <w:tcPr>
            <w:tcW w:w="1000" w:type="dxa"/>
            <w:vAlign w:val="bottom"/>
            <w:shd w:val="clear" w:color="auto" w:fill="EAF9E8"/>
          </w:tcPr>
          <w:p>
            <w:pPr>
              <w:spacing w:after="0"/>
              <w:rPr>
                <w:sz w:val="18"/>
                <w:szCs w:val="18"/>
                <w:color w:val="auto"/>
              </w:rPr>
            </w:pPr>
          </w:p>
        </w:tc>
        <w:tc>
          <w:tcPr>
            <w:tcW w:w="7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729</w:t>
            </w:r>
          </w:p>
        </w:tc>
        <w:tc>
          <w:tcPr>
            <w:tcW w:w="220" w:type="dxa"/>
            <w:vAlign w:val="bottom"/>
            <w:shd w:val="clear" w:color="auto" w:fill="EAF9E8"/>
          </w:tcPr>
          <w:p>
            <w:pPr>
              <w:spacing w:after="0"/>
              <w:rPr>
                <w:sz w:val="18"/>
                <w:szCs w:val="18"/>
                <w:color w:val="auto"/>
              </w:rPr>
            </w:pPr>
          </w:p>
        </w:tc>
        <w:tc>
          <w:tcPr>
            <w:tcW w:w="4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250</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5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380" w:type="dxa"/>
            <w:vAlign w:val="bottom"/>
            <w:shd w:val="clear" w:color="auto" w:fill="EAF9E8"/>
          </w:tcPr>
          <w:p>
            <w:pPr>
              <w:spacing w:after="0"/>
              <w:rPr>
                <w:sz w:val="20"/>
                <w:szCs w:val="20"/>
                <w:color w:val="auto"/>
              </w:rPr>
            </w:pPr>
            <w:r>
              <w:rPr>
                <w:rFonts w:ascii="Arial" w:cs="Arial" w:eastAsia="Arial" w:hAnsi="Arial"/>
                <w:sz w:val="18"/>
                <w:szCs w:val="18"/>
                <w:color w:val="auto"/>
              </w:rPr>
              <w:t>Adjusted EBITDA</w:t>
            </w:r>
          </w:p>
        </w:tc>
        <w:tc>
          <w:tcPr>
            <w:tcW w:w="3500" w:type="dxa"/>
            <w:vAlign w:val="bottom"/>
            <w:gridSpan w:val="2"/>
            <w:shd w:val="clear" w:color="auto" w:fill="EAF9E8"/>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8,457</w:t>
            </w:r>
          </w:p>
        </w:tc>
        <w:tc>
          <w:tcPr>
            <w:tcW w:w="660" w:type="dxa"/>
            <w:vAlign w:val="bottom"/>
            <w:gridSpan w:val="2"/>
            <w:shd w:val="clear" w:color="auto" w:fill="EAF9E8"/>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6,978</w:t>
            </w: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EAF9E8"/>
            </w:tcBorders>
            <w:shd w:val="clear" w:color="auto" w:fill="EAF9E8"/>
          </w:tcPr>
          <w:p>
            <w:pPr>
              <w:spacing w:after="0" w:line="20" w:lineRule="exact"/>
              <w:rPr>
                <w:sz w:val="1"/>
                <w:szCs w:val="1"/>
                <w:color w:val="auto"/>
              </w:rPr>
            </w:pPr>
          </w:p>
        </w:tc>
        <w:tc>
          <w:tcPr>
            <w:tcW w:w="2500" w:type="dxa"/>
            <w:vAlign w:val="bottom"/>
            <w:tcBorders>
              <w:top w:val="single" w:sz="8" w:color="EAF9E8"/>
            </w:tcBorders>
            <w:shd w:val="clear" w:color="auto" w:fill="EAF9E8"/>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662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1" w:lineRule="exact"/>
        <w:rPr>
          <w:sz w:val="20"/>
          <w:szCs w:val="20"/>
          <w:color w:val="auto"/>
        </w:rPr>
      </w:pPr>
    </w:p>
    <w:p>
      <w:pPr>
        <w:jc w:val="both"/>
        <w:ind w:firstLine="8"/>
        <w:spacing w:after="0" w:line="235" w:lineRule="auto"/>
        <w:tabs>
          <w:tab w:leader="none" w:pos="1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EBITDA and Adjusted EBITDA are performance measures used by management that are not calculated in accordance with U.S. generally accepted accounting principles (GAAP). EBITDA is defined in this Quarterly Report as net income plus: interest expense, provision for income taxes and depreciation and amortization. Adjusted EBITDA is defined in this Quarterly Report as net income plus: interest expense, provision for income taxes, depreciation and amortization, stock-based compensation expense, certain acquisition related costs and certain one-time and generally non-recurring items (which items are described in the next paragraph and the reconciliation table below).</w:t>
      </w:r>
    </w:p>
    <w:p>
      <w:pPr>
        <w:spacing w:after="0" w:line="20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off which to base executive and employee incentive compensation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investors and other users of our financial statements benefit from the presentation of adjusted EBITDA in evaluating our operating performance because it provides an additional tool to compare our operating performance on a consistent basis and measure underlying trends and results in our business. Adjusted EBITDA removes the impact of certain items that management believes do not directly reflect our core operations. For instance, Adjusted EBITDA generally excludes interest expense, taxes and depreciation, amortization, each of which can vary substantially from company to company depending upon accounting methods and the book value and age of assets, capital structure, capital investment cycles and the method by which assets were acquired. It also eliminates stock-based compensation, which is generally a non-cash expense an d is excluded by management when evaluating the underlying performance of our business operations.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taxes, but we generally incur significant U.S. federal, state and foreign income taxes each year and the provision for income taxes is a necessary cost. Adjusted EBITDA should not be considered in isolation or as a substitute for analyzing our results as reported under U.S. generally accepted accounting principles.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were $68.4 million for the first quarter of fiscal 2011 compared to $56.1 million for the first quarter of fiscal 2010.</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August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2"/>
              </w:rPr>
              <w:t>thousands)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55,282</w:t>
            </w: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45,702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5,310</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3,625</w:t>
            </w:r>
          </w:p>
        </w:tc>
        <w:tc>
          <w:tcPr>
            <w:tcW w:w="8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2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(1,222)</w:t>
            </w:r>
          </w:p>
        </w:tc>
        <w:tc>
          <w:tcPr>
            <w:tcW w:w="1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(989)</w:t>
            </w:r>
          </w:p>
        </w:tc>
      </w:tr>
      <w:tr>
        <w:trPr>
          <w:trHeight w:val="27"/>
        </w:trPr>
        <w:tc>
          <w:tcPr>
            <w:tcW w:w="20" w:type="dxa"/>
            <w:vAlign w:val="bottom"/>
          </w:tcPr>
          <w:p>
            <w:pPr>
              <w:spacing w:after="0"/>
              <w:rPr>
                <w:sz w:val="2"/>
                <w:szCs w:val="2"/>
                <w:color w:val="auto"/>
              </w:rPr>
            </w:pPr>
          </w:p>
        </w:tc>
        <w:tc>
          <w:tcPr>
            <w:tcW w:w="6320" w:type="dxa"/>
            <w:vAlign w:val="bottom"/>
            <w:tcBorders>
              <w:right w:val="single" w:sz="8" w:color="EAF9E8"/>
            </w:tcBorders>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EAF9E8"/>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68,410</w:t>
            </w: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56,089</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estimate our growth rates for our first quarter of fiscal 2011 and 2010 are as follows: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2" w:name="page23"/>
    <w:bookmarkEnd w:id="22"/>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89"/>
              </w:rPr>
              <w:t>For the 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left="690"/>
              <w:spacing w:after="0"/>
              <w:rPr>
                <w:sz w:val="20"/>
                <w:szCs w:val="20"/>
                <w:color w:val="auto"/>
              </w:rPr>
            </w:pPr>
            <w:r>
              <w:rPr>
                <w:rFonts w:ascii="Arial" w:cs="Arial" w:eastAsia="Arial" w:hAnsi="Arial"/>
                <w:sz w:val="18"/>
                <w:szCs w:val="18"/>
                <w:b w:val="1"/>
                <w:bCs w:val="1"/>
                <w:color w:val="auto"/>
                <w:w w:val="89"/>
              </w:rPr>
              <w:t>August 31,</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EAF9E8"/>
          </w:tcPr>
          <w:p>
            <w:pPr>
              <w:spacing w:after="0"/>
              <w:rPr>
                <w:sz w:val="20"/>
                <w:szCs w:val="20"/>
                <w:color w:val="auto"/>
              </w:rPr>
            </w:pPr>
            <w:r>
              <w:rPr>
                <w:rFonts w:ascii="Arial" w:cs="Arial" w:eastAsia="Arial" w:hAnsi="Arial"/>
                <w:sz w:val="18"/>
                <w:szCs w:val="18"/>
                <w:color w:val="auto"/>
              </w:rPr>
              <w:t>Revenue growth</w:t>
            </w:r>
          </w:p>
        </w:tc>
        <w:tc>
          <w:tcPr>
            <w:tcW w:w="204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12,321</w:t>
            </w:r>
          </w:p>
        </w:tc>
        <w:tc>
          <w:tcPr>
            <w:tcW w:w="340" w:type="dxa"/>
            <w:vAlign w:val="bottom"/>
            <w:shd w:val="clear" w:color="auto" w:fill="EAF9E8"/>
          </w:tcPr>
          <w:p>
            <w:pPr>
              <w:spacing w:after="0"/>
              <w:rPr>
                <w:sz w:val="18"/>
                <w:szCs w:val="18"/>
                <w:color w:val="auto"/>
              </w:rPr>
            </w:pPr>
          </w:p>
        </w:tc>
        <w:tc>
          <w:tcPr>
            <w:tcW w:w="480" w:type="dxa"/>
            <w:vAlign w:val="bottom"/>
            <w:gridSpan w:val="2"/>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9,092</w:t>
            </w: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 Growth over prior year</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EAF9E8"/>
          </w:tcPr>
          <w:p>
            <w:pPr>
              <w:spacing w:after="0"/>
              <w:rPr>
                <w:sz w:val="18"/>
                <w:szCs w:val="18"/>
                <w:color w:val="auto"/>
              </w:rPr>
            </w:pPr>
          </w:p>
        </w:tc>
        <w:tc>
          <w:tcPr>
            <w:tcW w:w="17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1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8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Comprised of:</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AF9E8"/>
          </w:tcPr>
          <w:p>
            <w:pPr>
              <w:spacing w:after="0"/>
              <w:rPr>
                <w:sz w:val="20"/>
                <w:szCs w:val="20"/>
                <w:color w:val="auto"/>
              </w:rPr>
            </w:pPr>
            <w:r>
              <w:rPr>
                <w:rFonts w:ascii="Arial" w:cs="Arial" w:eastAsia="Arial" w:hAnsi="Arial"/>
                <w:sz w:val="18"/>
                <w:szCs w:val="18"/>
                <w:color w:val="auto"/>
              </w:rPr>
              <w:t>% of organic growth</w:t>
            </w:r>
          </w:p>
        </w:tc>
        <w:tc>
          <w:tcPr>
            <w:tcW w:w="17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 of acquisition growth</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AF9E8"/>
          </w:tcPr>
          <w:p>
            <w:pPr>
              <w:spacing w:after="0"/>
              <w:rPr>
                <w:sz w:val="20"/>
                <w:szCs w:val="20"/>
                <w:color w:val="auto"/>
              </w:rPr>
            </w:pPr>
            <w:r>
              <w:rPr>
                <w:rFonts w:ascii="Arial" w:cs="Arial" w:eastAsia="Arial" w:hAnsi="Arial"/>
                <w:sz w:val="18"/>
                <w:szCs w:val="18"/>
                <w:color w:val="auto"/>
              </w:rPr>
              <w:t>% foreign exchange decrease</w:t>
            </w:r>
          </w:p>
        </w:tc>
        <w:tc>
          <w:tcPr>
            <w:tcW w:w="1740" w:type="dxa"/>
            <w:vAlign w:val="bottom"/>
            <w:shd w:val="clear" w:color="auto" w:fill="EAF9E8"/>
          </w:tcPr>
          <w:p>
            <w:pPr>
              <w:spacing w:after="0"/>
              <w:rPr>
                <w:sz w:val="18"/>
                <w:szCs w:val="18"/>
                <w:color w:val="auto"/>
              </w:rPr>
            </w:pPr>
          </w:p>
        </w:tc>
        <w:tc>
          <w:tcPr>
            <w:tcW w:w="300" w:type="dxa"/>
            <w:vAlign w:val="bottom"/>
            <w:shd w:val="clear" w:color="auto" w:fill="EAF9E8"/>
          </w:tcPr>
          <w:p>
            <w:pPr>
              <w:spacing w:after="0"/>
              <w:rPr>
                <w:sz w:val="18"/>
                <w:szCs w:val="18"/>
                <w:color w:val="auto"/>
              </w:rPr>
            </w:pPr>
          </w:p>
        </w:tc>
        <w:tc>
          <w:tcPr>
            <w:tcW w:w="14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shd w:val="clear" w:color="auto" w:fill="EAF9E8"/>
          </w:tcPr>
          <w:p>
            <w:pPr>
              <w:spacing w:after="0"/>
              <w:rPr>
                <w:sz w:val="2"/>
                <w:szCs w:val="2"/>
                <w:color w:val="auto"/>
              </w:rPr>
            </w:pPr>
          </w:p>
        </w:tc>
        <w:tc>
          <w:tcPr>
            <w:tcW w:w="1740" w:type="dxa"/>
            <w:vAlign w:val="bottom"/>
            <w:shd w:val="clear" w:color="auto" w:fill="EAF9E8"/>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$12.3 million, or 22%, for the first quarter of fiscal 2011 compared to the first quarter of fiscal 2010 as a result of growth in all our segments. For the first quarter of fiscal 2011 and the first quarter of fiscal 2010, we estimate that our organic growth rate, as compared to growth driven by acquisitions, was approximately 15% and 11%, respectively. This organic growth was the result of continued demand for our asset protection solutions, including growth from new and existing customers. In the first quarter of fiscal 2011, we estimate that growth from acquisitions was approximately $4.4 million, or approximately 8%, compared to approximately $5.7 million, or approximately 12%, in the first quarter of fiscal 2010. We completed two acquisitions in the first quarter of fiscal 2011 and two acquisitions in the first quarter of fiscal 2010, further increasing our capabilities and adding to our base of qualified technicians.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Despite the prolonged downturn in the global economy, we continued to experience growth in many of our target markets in the first quarter of fiscal 2011 as compared to the first quarter of fiscal 2010. The largest dollar increase was attributable to customers in the oil and gas market which was achieved globally on several new and existing projects, including an increase in our portfolio of “run and maintain” outsourced contracts and new work, some of which were obtained through our acquisitions. Overall the oil and gas market provided approximately 61% and 63% of our total revenues for the first quarter of fiscal 2011 and 2010, respectively. We also experienced high growth in several of our other target markets, including chemical, fossil and nuclear power. These increases were partially offset by declines in aerospace an d infrastructure markets. Our largest customer accounted for approximately 18% and 22% of our revenues in the first quarter of fiscal 2011 and 2010, respectively. No other customer accounted for more than 8% of our revenues in the first quarter of fiscal 2011.</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Our gross profit was $20.8 million and increased $3.6 million, or 21% in the first quarter of fiscal 2011 compared to $17.2 million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2010. As a percentage of revenues, our gross profit and its components are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20" w:type="dxa"/>
            <w:vAlign w:val="bottom"/>
            <w:gridSpan w:val="5"/>
          </w:tcPr>
          <w:p>
            <w:pPr>
              <w:jc w:val="center"/>
              <w:ind w:left="370"/>
              <w:spacing w:after="0"/>
              <w:rPr>
                <w:sz w:val="20"/>
                <w:szCs w:val="20"/>
                <w:color w:val="auto"/>
              </w:rPr>
            </w:pPr>
            <w:r>
              <w:rPr>
                <w:rFonts w:ascii="Arial" w:cs="Arial" w:eastAsia="Arial" w:hAnsi="Arial"/>
                <w:sz w:val="18"/>
                <w:szCs w:val="18"/>
                <w:b w:val="1"/>
                <w:bCs w:val="1"/>
                <w:color w:val="auto"/>
                <w:w w:val="89"/>
              </w:rPr>
              <w:t>For the three months ended</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right="290"/>
              <w:spacing w:after="0"/>
              <w:rPr>
                <w:sz w:val="20"/>
                <w:szCs w:val="20"/>
                <w:color w:val="auto"/>
              </w:rPr>
            </w:pPr>
            <w:r>
              <w:rPr>
                <w:rFonts w:ascii="Arial" w:cs="Arial" w:eastAsia="Arial" w:hAnsi="Arial"/>
                <w:sz w:val="18"/>
                <w:szCs w:val="18"/>
                <w:b w:val="1"/>
                <w:bCs w:val="1"/>
                <w:color w:val="auto"/>
                <w:w w:val="89"/>
              </w:rPr>
              <w:t>August 31,</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82"/>
              </w:rPr>
              <w:t>thousand)</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spacing w:after="0"/>
              <w:rPr>
                <w:sz w:val="20"/>
                <w:szCs w:val="20"/>
                <w:color w:val="auto"/>
              </w:rPr>
            </w:pPr>
            <w:r>
              <w:rPr>
                <w:rFonts w:ascii="Arial" w:cs="Arial" w:eastAsia="Arial" w:hAnsi="Arial"/>
                <w:sz w:val="18"/>
                <w:szCs w:val="18"/>
                <w:color w:val="auto"/>
              </w:rPr>
              <w:t>Gross profit</w:t>
            </w:r>
          </w:p>
        </w:tc>
        <w:tc>
          <w:tcPr>
            <w:tcW w:w="1980" w:type="dxa"/>
            <w:vAlign w:val="bottom"/>
            <w:gridSpan w:val="2"/>
            <w:shd w:val="clear" w:color="auto" w:fill="EAF9E8"/>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20,778</w:t>
            </w:r>
          </w:p>
        </w:tc>
        <w:tc>
          <w:tcPr>
            <w:tcW w:w="340" w:type="dxa"/>
            <w:vAlign w:val="bottom"/>
            <w:shd w:val="clear" w:color="auto" w:fill="EAF9E8"/>
          </w:tcPr>
          <w:p>
            <w:pPr>
              <w:spacing w:after="0"/>
              <w:rPr>
                <w:sz w:val="18"/>
                <w:szCs w:val="18"/>
                <w:color w:val="auto"/>
              </w:rPr>
            </w:pPr>
          </w:p>
        </w:tc>
        <w:tc>
          <w:tcPr>
            <w:tcW w:w="1040" w:type="dxa"/>
            <w:vAlign w:val="bottom"/>
            <w:gridSpan w:val="2"/>
            <w:shd w:val="clear" w:color="auto" w:fill="EAF9E8"/>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17,150</w:t>
            </w: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AF9E8"/>
          </w:tcPr>
          <w:p>
            <w:pPr>
              <w:spacing w:after="0"/>
              <w:rPr>
                <w:sz w:val="20"/>
                <w:szCs w:val="20"/>
                <w:color w:val="auto"/>
              </w:rPr>
            </w:pPr>
            <w:r>
              <w:rPr>
                <w:rFonts w:ascii="Arial" w:cs="Arial" w:eastAsia="Arial" w:hAnsi="Arial"/>
                <w:sz w:val="18"/>
                <w:szCs w:val="18"/>
                <w:color w:val="auto"/>
              </w:rPr>
              <w:t>Gross profit % comprised of:</w:t>
            </w:r>
          </w:p>
        </w:tc>
        <w:tc>
          <w:tcPr>
            <w:tcW w:w="108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54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rPr>
              <w:t>Revenues</w:t>
            </w: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gridSpan w:val="2"/>
          </w:tcPr>
          <w:p>
            <w:pPr>
              <w:jc w:val="right"/>
              <w:ind w:right="110"/>
              <w:spacing w:after="0" w:line="201" w:lineRule="exact"/>
              <w:rPr>
                <w:sz w:val="20"/>
                <w:szCs w:val="20"/>
                <w:color w:val="auto"/>
              </w:rPr>
            </w:pPr>
            <w:r>
              <w:rPr>
                <w:rFonts w:ascii="Arial" w:cs="Arial" w:eastAsia="Arial" w:hAnsi="Arial"/>
                <w:sz w:val="18"/>
                <w:szCs w:val="18"/>
                <w:color w:val="auto"/>
              </w:rPr>
              <w:t>100.0%</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65.3%</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AF9E8"/>
          </w:tcPr>
          <w:p>
            <w:pPr>
              <w:spacing w:after="0"/>
              <w:rPr>
                <w:sz w:val="20"/>
                <w:szCs w:val="20"/>
                <w:color w:val="auto"/>
              </w:rPr>
            </w:pPr>
            <w:r>
              <w:rPr>
                <w:rFonts w:ascii="Arial" w:cs="Arial" w:eastAsia="Arial" w:hAnsi="Arial"/>
                <w:sz w:val="18"/>
                <w:szCs w:val="18"/>
                <w:color w:val="auto"/>
              </w:rPr>
              <w:t>Depreciation</w:t>
            </w:r>
          </w:p>
        </w:tc>
        <w:tc>
          <w:tcPr>
            <w:tcW w:w="108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11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EAF9E8"/>
          </w:tcPr>
          <w:p>
            <w:pPr>
              <w:spacing w:after="0"/>
              <w:rPr>
                <w:sz w:val="18"/>
                <w:szCs w:val="18"/>
                <w:color w:val="auto"/>
              </w:rPr>
            </w:pPr>
          </w:p>
        </w:tc>
        <w:tc>
          <w:tcPr>
            <w:tcW w:w="900" w:type="dxa"/>
            <w:vAlign w:val="bottom"/>
            <w:shd w:val="clear" w:color="auto" w:fill="EAF9E8"/>
          </w:tcPr>
          <w:p>
            <w:pPr>
              <w:spacing w:after="0"/>
              <w:rPr>
                <w:sz w:val="18"/>
                <w:szCs w:val="18"/>
                <w:color w:val="auto"/>
              </w:rPr>
            </w:pPr>
          </w:p>
        </w:tc>
        <w:tc>
          <w:tcPr>
            <w:tcW w:w="7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shd w:val="clear" w:color="auto" w:fill="EAF9E8"/>
          </w:tcPr>
          <w:p>
            <w:pPr>
              <w:spacing w:after="0"/>
              <w:rPr>
                <w:sz w:val="2"/>
                <w:szCs w:val="2"/>
                <w:color w:val="auto"/>
              </w:rPr>
            </w:pPr>
          </w:p>
        </w:tc>
        <w:tc>
          <w:tcPr>
            <w:tcW w:w="1080" w:type="dxa"/>
            <w:vAlign w:val="bottom"/>
            <w:shd w:val="clear" w:color="auto" w:fill="EAF9E8"/>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shd w:val="clear" w:color="auto" w:fill="EAF9E8"/>
          </w:tcPr>
          <w:p>
            <w:pPr>
              <w:spacing w:after="0"/>
              <w:rPr>
                <w:sz w:val="2"/>
                <w:szCs w:val="2"/>
                <w:color w:val="auto"/>
              </w:rPr>
            </w:pPr>
          </w:p>
        </w:tc>
        <w:tc>
          <w:tcPr>
            <w:tcW w:w="140" w:type="dxa"/>
            <w:vAlign w:val="bottom"/>
            <w:shd w:val="clear" w:color="auto" w:fill="EAF9E8"/>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80" w:type="dxa"/>
            <w:vAlign w:val="bottom"/>
            <w:shd w:val="clear" w:color="auto" w:fill="EAF9E8"/>
          </w:tcPr>
          <w:p>
            <w:pPr>
              <w:spacing w:after="0"/>
              <w:rPr>
                <w:sz w:val="20"/>
                <w:szCs w:val="20"/>
                <w:color w:val="auto"/>
              </w:rPr>
            </w:pPr>
            <w:r>
              <w:rPr>
                <w:rFonts w:ascii="Arial" w:cs="Arial" w:eastAsia="Arial" w:hAnsi="Arial"/>
                <w:sz w:val="18"/>
                <w:szCs w:val="18"/>
                <w:color w:val="auto"/>
              </w:rPr>
              <w:t>Gross profit % decrease from prior year quarter</w:t>
            </w:r>
          </w:p>
        </w:tc>
        <w:tc>
          <w:tcPr>
            <w:tcW w:w="1080" w:type="dxa"/>
            <w:vAlign w:val="bottom"/>
            <w:shd w:val="clear" w:color="auto" w:fill="EAF9E8"/>
          </w:tcPr>
          <w:p>
            <w:pPr>
              <w:spacing w:after="0"/>
              <w:rPr>
                <w:sz w:val="20"/>
                <w:szCs w:val="20"/>
                <w:color w:val="auto"/>
              </w:rPr>
            </w:pPr>
          </w:p>
        </w:tc>
        <w:tc>
          <w:tcPr>
            <w:tcW w:w="900" w:type="dxa"/>
            <w:vAlign w:val="bottom"/>
            <w:shd w:val="clear" w:color="auto" w:fill="EAF9E8"/>
          </w:tcPr>
          <w:p>
            <w:pPr>
              <w:spacing w:after="0"/>
              <w:rPr>
                <w:sz w:val="20"/>
                <w:szCs w:val="20"/>
                <w:color w:val="auto"/>
              </w:rPr>
            </w:pPr>
          </w:p>
        </w:tc>
        <w:tc>
          <w:tcPr>
            <w:tcW w:w="88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EAF9E8"/>
          </w:tcPr>
          <w:p>
            <w:pPr>
              <w:spacing w:after="0"/>
              <w:rPr>
                <w:sz w:val="20"/>
                <w:szCs w:val="20"/>
                <w:color w:val="auto"/>
              </w:rPr>
            </w:pPr>
          </w:p>
        </w:tc>
        <w:tc>
          <w:tcPr>
            <w:tcW w:w="900" w:type="dxa"/>
            <w:vAlign w:val="bottom"/>
            <w:shd w:val="clear" w:color="auto" w:fill="EAF9E8"/>
          </w:tcPr>
          <w:p>
            <w:pPr>
              <w:spacing w:after="0"/>
              <w:rPr>
                <w:sz w:val="20"/>
                <w:szCs w:val="20"/>
                <w:color w:val="auto"/>
              </w:rPr>
            </w:pPr>
          </w:p>
        </w:tc>
        <w:tc>
          <w:tcPr>
            <w:tcW w:w="7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EAF9E8"/>
            </w:tcBorders>
            <w:shd w:val="clear" w:color="auto" w:fill="EAF9E8"/>
          </w:tcPr>
          <w:p>
            <w:pPr>
              <w:spacing w:after="0" w:line="20" w:lineRule="exact"/>
              <w:rPr>
                <w:sz w:val="1"/>
                <w:szCs w:val="1"/>
                <w:color w:val="auto"/>
              </w:rPr>
            </w:pPr>
          </w:p>
        </w:tc>
        <w:tc>
          <w:tcPr>
            <w:tcW w:w="1080" w:type="dxa"/>
            <w:vAlign w:val="bottom"/>
            <w:tcBorders>
              <w:top w:val="single" w:sz="8" w:color="EAF9E8"/>
            </w:tcBorders>
            <w:shd w:val="clear" w:color="auto" w:fill="EAF9E8"/>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gross profit by segment for the first quarter of fiscal 2011and 2010, was as follows: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3" w:name="page24"/>
    <w:bookmarkEnd w:id="23"/>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August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(in</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72"/>
              </w:rPr>
              <w:t>thousands)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15,001</w:t>
            </w: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12,528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2,569</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1,688</w:t>
            </w:r>
          </w:p>
        </w:tc>
        <w:tc>
          <w:tcPr>
            <w:tcW w:w="8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2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5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(112)</w:t>
            </w:r>
          </w:p>
        </w:tc>
      </w:tr>
      <w:tr>
        <w:trPr>
          <w:trHeight w:val="27"/>
        </w:trPr>
        <w:tc>
          <w:tcPr>
            <w:tcW w:w="20" w:type="dxa"/>
            <w:vAlign w:val="bottom"/>
          </w:tcPr>
          <w:p>
            <w:pPr>
              <w:spacing w:after="0"/>
              <w:rPr>
                <w:sz w:val="2"/>
                <w:szCs w:val="2"/>
                <w:color w:val="auto"/>
              </w:rPr>
            </w:pPr>
          </w:p>
        </w:tc>
        <w:tc>
          <w:tcPr>
            <w:tcW w:w="6320" w:type="dxa"/>
            <w:vAlign w:val="bottom"/>
            <w:tcBorders>
              <w:right w:val="single" w:sz="8" w:color="EAF9E8"/>
            </w:tcBorders>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EAF9E8"/>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20,778</w:t>
            </w: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17,150</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percentage of revenues, our gross profit was approximately 30% for each of the first quarter of fiscal 2011 and the first quarter of fiscal 2010. Cost of revenues, excluding depreciation, as a percentage of revenues was approximately 65% in each of the first quarter of fiscal 2011 and the first quarter of fiscal 2010. Depreciation expense included in the determination of gross profit for the first quarter of fiscal years 2011 and 2010 was $3.0 million, or 4% of revenues, and $2.5 million, or 4% of revenues, respectively.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our increase in revenues for the first quarter of fiscal 2011, our gross profit as a percentage of revenues remained fairly consistent at approximately 30% as compared to the first quarter of fiscal 2010. While overall gross profit as a percentage of segment revenues remained fairly consistent, we incurred a slight decrease in gross profit percentage in the Services segment that was primarily attributable to sales derived from several new contracts, which drove market share growth but were competitive from a pricing perspective in the short term. Historically, by introducing more advanced NDT tools to new customers, margin enhancement follows. This slight decrease was offset by improved efficiencies in our utilization rates when compared to the first quarter of fiscal 2010. In addition, our Products and Systems segment&amp; #8217;s gross profit percentage increased slightly as a result of an increase in sales volume of its products, which generally yield higher margins.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by segment for the first quarter of fiscal 2011 and 2010, was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Three months ended</w:t>
            </w:r>
          </w:p>
        </w:tc>
      </w:tr>
      <w:tr>
        <w:trPr>
          <w:trHeight w:val="241"/>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9"/>
              </w:rPr>
              <w:t>August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30"/>
              <w:spacing w:after="0" w:line="198" w:lineRule="exact"/>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ind w:right="330"/>
              <w:spacing w:after="0" w:line="198" w:lineRule="exact"/>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88"/>
              </w:rPr>
              <w:t>(in thousands)</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00" w:type="dxa"/>
            <w:vAlign w:val="bottom"/>
            <w:shd w:val="clear" w:color="auto" w:fill="EAF9E8"/>
          </w:tcPr>
          <w:p>
            <w:pPr>
              <w:spacing w:after="0"/>
              <w:rPr>
                <w:sz w:val="18"/>
                <w:szCs w:val="18"/>
                <w:color w:val="auto"/>
              </w:rPr>
            </w:pPr>
          </w:p>
        </w:tc>
        <w:tc>
          <w:tcPr>
            <w:tcW w:w="80" w:type="dxa"/>
            <w:vAlign w:val="bottom"/>
            <w:shd w:val="clear" w:color="auto" w:fill="EAF9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3,848</w:t>
            </w: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3,232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Products and Systems</w:t>
            </w:r>
          </w:p>
        </w:tc>
        <w:tc>
          <w:tcPr>
            <w:tcW w:w="240" w:type="dxa"/>
            <w:vAlign w:val="bottom"/>
            <w:shd w:val="clear" w:color="auto" w:fill="EAF9E8"/>
          </w:tcPr>
          <w:p>
            <w:pPr>
              <w:spacing w:after="0"/>
              <w:rPr>
                <w:sz w:val="18"/>
                <w:szCs w:val="18"/>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Corporate and eliminations</w:t>
            </w:r>
          </w:p>
        </w:tc>
        <w:tc>
          <w:tcPr>
            <w:tcW w:w="240" w:type="dxa"/>
            <w:vAlign w:val="bottom"/>
            <w:shd w:val="clear" w:color="auto" w:fill="EAF9E8"/>
          </w:tcPr>
          <w:p>
            <w:pPr>
              <w:spacing w:after="0"/>
              <w:rPr>
                <w:sz w:val="18"/>
                <w:szCs w:val="18"/>
                <w:color w:val="auto"/>
              </w:rPr>
            </w:pPr>
          </w:p>
        </w:tc>
        <w:tc>
          <w:tcPr>
            <w:tcW w:w="11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(2,351)</w:t>
            </w:r>
          </w:p>
        </w:tc>
        <w:tc>
          <w:tcPr>
            <w:tcW w:w="160" w:type="dxa"/>
            <w:vAlign w:val="bottom"/>
            <w:shd w:val="clear" w:color="auto" w:fill="EAF9E8"/>
          </w:tcPr>
          <w:p>
            <w:pPr>
              <w:spacing w:after="0"/>
              <w:rPr>
                <w:sz w:val="18"/>
                <w:szCs w:val="18"/>
                <w:color w:val="auto"/>
              </w:rPr>
            </w:pPr>
          </w:p>
        </w:tc>
        <w:tc>
          <w:tcPr>
            <w:tcW w:w="380" w:type="dxa"/>
            <w:vAlign w:val="bottom"/>
            <w:shd w:val="clear" w:color="auto" w:fill="EAF9E8"/>
          </w:tcPr>
          <w:p>
            <w:pPr>
              <w:spacing w:after="0"/>
              <w:rPr>
                <w:sz w:val="18"/>
                <w:szCs w:val="18"/>
                <w:color w:val="auto"/>
              </w:rPr>
            </w:pPr>
          </w:p>
        </w:tc>
        <w:tc>
          <w:tcPr>
            <w:tcW w:w="8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(1,638)</w:t>
            </w:r>
          </w:p>
        </w:tc>
      </w:tr>
      <w:tr>
        <w:trPr>
          <w:trHeight w:val="27"/>
        </w:trPr>
        <w:tc>
          <w:tcPr>
            <w:tcW w:w="20" w:type="dxa"/>
            <w:vAlign w:val="bottom"/>
          </w:tcPr>
          <w:p>
            <w:pPr>
              <w:spacing w:after="0"/>
              <w:rPr>
                <w:sz w:val="2"/>
                <w:szCs w:val="2"/>
                <w:color w:val="auto"/>
              </w:rPr>
            </w:pPr>
          </w:p>
        </w:tc>
        <w:tc>
          <w:tcPr>
            <w:tcW w:w="6320" w:type="dxa"/>
            <w:vAlign w:val="bottom"/>
            <w:tcBorders>
              <w:right w:val="single" w:sz="8" w:color="EAF9E8"/>
            </w:tcBorders>
            <w:shd w:val="clear" w:color="auto" w:fill="EAF9E8"/>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EAF9E8"/>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3,316</w:t>
            </w:r>
          </w:p>
        </w:tc>
        <w:tc>
          <w:tcPr>
            <w:tcW w:w="2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2,786</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income from operations of $3.3 million for the first quarter of fiscal 2011 increased $0.5 million, or 19%, compared to the first quarter of fiscal 2010. As a percentage of revenues, our income from operations was 5% in the first quarter of fiscal 2011 and fiscal 2010.</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percentage of revenues, selling, general and administrative expenses for the first quarter of fiscal 2011 were 23%, consistent with the first quarter of fiscal 2010. Our selling, general and administrative expenses for the first quarter of fiscal 2011 increased approximately $2.3 million, or 18%, over the first quarter of fiscal 2010, primarily due to the cost of additional infrastructure to support our growth, including new locations obtained through our acquisitions. Our recent acquisitions accounted for approximately $0.5 million of this increase. Stock compensation costs increased approximately $0.5 million in the first quarter of fiscal 2011 over the first quarter of fiscal 2010. Other increases in our selling, general and administrative expenses included higher compensation and benefit expenses over the previous year attribu ted to normal salary increases, as well as our investment in additional management and corporate staff. A significant portion of these increases (as well as other increases in cost of revenues) supported our development of new and existing centers of excellence. Our professional fees increased in the first quarter of fiscal 2011, which related primarily to increased costs associated with operating as a publicly traded company, including Sarbanes-Oxley Act compliance. These increases were offset by decreases in professional fees related to our IPO in 2009 and our provision for bad debts. Income from operations was also impacted by a legal provision of $0.3 million in the quarter as compared to a reversal of a legal provision in the first quarter of 2010. Depreciation and amortization included in the determination of income from operations for the first quarter of fiscal 2011 and the first quarter of fiscal 2010 was $1.2 million, or 2% of revenues, and $1.0 million, or 2% of revenues, respectively.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$0.7 million and $1.1 million for the first quarter of fiscal 2011 and the first quarter of fiscal 2010,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the first quarter of fiscal 2011 interest expense related directly to our repayment of approximately $66.4 million in borrowings in October 2009, which was the primary use of the net proceeds we received from our initial public offering. In each of the three months ended August 31, 2010 and 2009, we incurred additional expense related to the market rate adjustments to our interest rate swaps, as the fixed rate on these swaps was higher than market rates during both annual periods. The total interest expense adjustments for these swap arrangements in each of the first quarter of fiscal 2011 and the first quart er of fiscal 2010 was approximately $0.1 million.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loss (income) attributable to noncontrolling interests, net of taxes. </w:t>
      </w:r>
      <w:r>
        <w:rPr>
          <w:rFonts w:ascii="Arial" w:cs="Arial" w:eastAsia="Arial" w:hAnsi="Arial"/>
          <w:sz w:val="18"/>
          <w:szCs w:val="18"/>
          <w:color w:val="auto"/>
        </w:rPr>
        <w:t>The decrease in net income attributable to noncontrolling interests relates primarily to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net income from Diapac, our subsidiary in Russia, and the net loss incurred by IPS, our recently acquired subsidiary in France, offset by an increase in net income of our Brazilian subsidiary, PASA.</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effective income tax rate was approximately 40% for the first quarter of fiscal 2011 compared to approximately 45% for fiscal 2010.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was primarily due to the impact of permanent tax differences and an adjustment to our liabilities related to uncertain tax provisions offset by higher state taxes and U.S. federal taxes on our foreign profits.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income attributable to common shareholders </w:t>
      </w:r>
      <w:r>
        <w:rPr>
          <w:rFonts w:ascii="Arial" w:cs="Arial" w:eastAsia="Arial" w:hAnsi="Arial"/>
          <w:sz w:val="18"/>
          <w:szCs w:val="18"/>
          <w:color w:val="auto"/>
        </w:rPr>
        <w:t>Net income attributable to common shareholders for the first quarter of fiscal 2011 was $1.6 million, or 2%</w:t>
      </w:r>
      <w:r>
        <w:rPr>
          <w:rFonts w:ascii="Arial" w:cs="Arial" w:eastAsia="Arial" w:hAnsi="Arial"/>
          <w:sz w:val="18"/>
          <w:szCs w:val="18"/>
          <w:i w:val="1"/>
          <w:iCs w:val="1"/>
          <w:color w:val="auto"/>
        </w:rPr>
        <w:t xml:space="preserve"> </w:t>
      </w:r>
      <w:r>
        <w:rPr>
          <w:rFonts w:ascii="Arial" w:cs="Arial" w:eastAsia="Arial" w:hAnsi="Arial"/>
          <w:sz w:val="18"/>
          <w:szCs w:val="18"/>
          <w:color w:val="auto"/>
        </w:rPr>
        <w:t>of our revenues, which is greater than our net income attributable to common shareholders for the first quarter of fiscal 2010, which was $0.8 million, or 1% of revenues. This increase in net income was primarily the result of our revenue growth and lower interest expense, offset by higher selling, general and administrative expense and research and engineering expenses.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 Table</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20" w:type="dxa"/>
            <w:vAlign w:val="bottom"/>
            <w:gridSpan w:val="2"/>
          </w:tcPr>
          <w:p>
            <w:pPr>
              <w:spacing w:after="0"/>
              <w:rPr>
                <w:sz w:val="20"/>
                <w:szCs w:val="20"/>
                <w:color w:val="auto"/>
              </w:rPr>
            </w:pPr>
            <w:r>
              <w:rPr>
                <w:rFonts w:ascii="Arial" w:cs="Arial" w:eastAsia="Arial" w:hAnsi="Arial"/>
                <w:sz w:val="18"/>
                <w:szCs w:val="18"/>
                <w:color w:val="auto"/>
              </w:rPr>
              <w:t>Our cash flows are summarized in the table below:</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84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rPr>
              <w:t>For the 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August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w w:val="76"/>
              </w:rPr>
              <w:t>thousands)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color w:val="auto"/>
              </w:rPr>
              <w:t>Net cash provided by (used in):</w:t>
            </w:r>
          </w:p>
        </w:tc>
        <w:tc>
          <w:tcPr>
            <w:tcW w:w="96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240" w:type="dxa"/>
            <w:vAlign w:val="bottom"/>
            <w:shd w:val="clear" w:color="auto" w:fill="EAF9E8"/>
          </w:tcPr>
          <w:p>
            <w:pPr>
              <w:spacing w:after="0"/>
              <w:rPr>
                <w:sz w:val="18"/>
                <w:szCs w:val="18"/>
                <w:color w:val="auto"/>
              </w:rPr>
            </w:pP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5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960" w:type="dxa"/>
            <w:vAlign w:val="bottom"/>
          </w:tcPr>
          <w:p>
            <w:pPr>
              <w:jc w:val="right"/>
              <w:ind w:right="83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50"/>
              <w:spacing w:after="0"/>
              <w:rPr>
                <w:sz w:val="20"/>
                <w:szCs w:val="20"/>
                <w:color w:val="auto"/>
              </w:rPr>
            </w:pPr>
            <w:r>
              <w:rPr>
                <w:rFonts w:ascii="Arial" w:cs="Arial" w:eastAsia="Arial" w:hAnsi="Arial"/>
                <w:sz w:val="18"/>
                <w:szCs w:val="18"/>
                <w:color w:val="auto"/>
              </w:rPr>
              <w:t>8,281</w:t>
            </w:r>
          </w:p>
        </w:tc>
        <w:tc>
          <w:tcPr>
            <w:tcW w:w="11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w w:val="98"/>
              </w:rPr>
              <w:t>(7,240)</w:t>
            </w: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6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89"/>
              </w:rPr>
              <w:t>(15,358)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960" w:type="dxa"/>
            <w:vAlign w:val="bottom"/>
          </w:tcPr>
          <w:p>
            <w:pPr>
              <w:spacing w:after="0"/>
              <w:rPr>
                <w:sz w:val="18"/>
                <w:szCs w:val="18"/>
                <w:color w:val="auto"/>
              </w:rPr>
            </w:pP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w w:val="98"/>
              </w:rPr>
              <w:t>(3,101)</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shd w:val="clear" w:color="auto" w:fill="EAF9E8"/>
          </w:tcPr>
          <w:p>
            <w:pPr>
              <w:spacing w:after="0"/>
              <w:rPr>
                <w:sz w:val="18"/>
                <w:szCs w:val="18"/>
                <w:color w:val="auto"/>
              </w:rPr>
            </w:pPr>
          </w:p>
        </w:tc>
        <w:tc>
          <w:tcPr>
            <w:tcW w:w="760" w:type="dxa"/>
            <w:vAlign w:val="bottom"/>
            <w:gridSpan w:val="2"/>
            <w:shd w:val="clear" w:color="auto" w:fill="EAF9E8"/>
          </w:tcPr>
          <w:p>
            <w:pPr>
              <w:jc w:val="right"/>
              <w:ind w:right="9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EAF9E8"/>
          </w:tcPr>
          <w:p>
            <w:pPr>
              <w:spacing w:after="0"/>
              <w:rPr>
                <w:sz w:val="18"/>
                <w:szCs w:val="18"/>
                <w:color w:val="auto"/>
              </w:rPr>
            </w:pPr>
          </w:p>
        </w:tc>
        <w:tc>
          <w:tcPr>
            <w:tcW w:w="920" w:type="dxa"/>
            <w:vAlign w:val="bottom"/>
            <w:shd w:val="clear" w:color="auto" w:fill="EAF9E8"/>
          </w:tcPr>
          <w:p>
            <w:pPr>
              <w:spacing w:after="0"/>
              <w:rPr>
                <w:sz w:val="18"/>
                <w:szCs w:val="18"/>
                <w:color w:val="auto"/>
              </w:rPr>
            </w:pPr>
          </w:p>
        </w:tc>
        <w:tc>
          <w:tcPr>
            <w:tcW w:w="66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Borders>
              <w:right w:val="single" w:sz="8" w:color="EAF9E8"/>
            </w:tcBorders>
            <w:shd w:val="clear" w:color="auto" w:fill="EAF9E8"/>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200" w:type="dxa"/>
            <w:vAlign w:val="bottom"/>
            <w:shd w:val="clear" w:color="auto" w:fill="EAF9E8"/>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960" w:type="dxa"/>
            <w:vAlign w:val="bottom"/>
          </w:tcPr>
          <w:p>
            <w:pPr>
              <w:jc w:val="right"/>
              <w:ind w:right="83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90"/>
              <w:spacing w:after="0"/>
              <w:rPr>
                <w:sz w:val="20"/>
                <w:szCs w:val="20"/>
                <w:color w:val="auto"/>
              </w:rPr>
            </w:pPr>
            <w:r>
              <w:rPr>
                <w:rFonts w:ascii="Arial" w:cs="Arial" w:eastAsia="Arial" w:hAnsi="Arial"/>
                <w:sz w:val="18"/>
                <w:szCs w:val="18"/>
                <w:color w:val="auto"/>
                <w:w w:val="98"/>
              </w:rPr>
              <w:t>(2,182)</w:t>
            </w:r>
          </w:p>
        </w:tc>
        <w:tc>
          <w:tcPr>
            <w:tcW w:w="11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August 31, 2010, cash provided by our operating activities was $8.3 million, an increase of $2.8 million from the comparable period of fiscal 2010. Positive operating cash flow was primarily attributable to net income of $1.6 million and $1.7 million of cash provided by a decrease in our working capital, which primarily related to collections of our trade accounts receivable.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three months ended August 31, 2010, cash used in investing activities was $7.2 million compared to $15.4 million from the comparable period of fiscal 2010. Cash purchases of property, plant and equipment were $1.9 million and were primarily related to equipment used by our technicians. Cash used in investing activities also included our acquisition of two asset protection businesses for cash payments aggregating $5.3 million.</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August 31, 2009, cash used in investing activities was $15.4 million and included cash purchases of property, plant and equipment of $1.4 million and our acquisition of two asset protection businesses for cash payments aggregating $14.0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was $3.1 million for the three months ended August 31, 2010, and related primarily to repayments of capital lease obligations and long-term debt. For the three months ended August 31, 2009 net cash provided by financing activities of $10.4 million resulted from the refinancing of our former credit facility in July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Exchange Rate on Changes on Cash and Cash Equivalents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each of the three months ended August 31, 2010 and 2009, the effect of exchange rate changes on our cash and cash equivalents was $0.1 million and $0.2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August 31, 2010, we had cash and cash equivalents totaling $13.9 million and $55.0 million available to us under our revolving credit facility. We finance our operations primarily through our net income, bank borrowings and capital lease financing. We believe these sources are sufficient to fund our capital expenditures, debt maturities and other business needs.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22, 2009, we entered into our current credit agreement with Bank of America, N.A., JPMorgan Chase Bank, N.A., TD Bank, N.A. and Capital One, N.A., which provided for a $25.0 million term loan and a $55.0 million secured revolving credit facility. The proceeds from this transaction were used to repay the outstanding indebtedness from our former credit facility and to fund acquisitions.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2009, we repaid the outstanding principal balance of the term loan and the outstanding balance of the revolving credit facility using the proceeds from our initial public offering. Credit extended under the term loan may not be re-borrowed under the current credit agreement. Credit extended under the revolving credit facility may be re-borrowed at any time. Borrowings made under the revolving credit facility are payable on July 21, 2012. In December 2009, we signed an amendment to our current credit agreement that, among other things, adjusted certain affirmative and negative covenants including delivery of financial statements, the minimum consolidated debt service coverage ratio, the procedures for obtaining lender approval in acquisitions and the removal of the minimum EBITDA requirement.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amended agreement, borrowings under the credit agreement bear interest at the LIBOR or base rate, at our option, plus an applicable LIBOR margin ranging from 1.75% to 3.25%, or base rate margin ranging from -0.50% to 0.50%, and a market disruption increase of between 0.0% and 1.0%, if the lenders determine it to be applicable.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credit agreement also contains financial and other covenants limiting our ability to, among other things, create liens, make investments and certain capital expenditures, incur more indebtedness, merge or consolidate, acquire other companies, make dispositions of property, pay dividends and make distributions to stockholders, enter into a new line of business, enter into transactions with affiliates and enter into burdensome agreements. The agreement’s financial covenants require us to maintain a minimum debt service coverage ratio, and a funded debt leverage ratio, all as defined in the credit agreement. There is a provision in the credit facility that requires us to repay 25% of the immediately preceding fiscal year’s “free cash flow” if our ratio of “funded debt” to EBITDA, as defined in the c redit agreement, is greater than a specified amount on or before October 1 each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At August 31, 2010, we were in compliance with the terms of the credit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of cash</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expect our future sources of cash to include cash flow from operations, cash borrowed under our revolving credit facility and cash borrowed from leasing companies to purchase equipment and fleet service vehicles. Our revolving credit facility is available for cash advances required for working capital and for letters of credit to support our operations. To meet our short-and long-term liquidity requirements, we expect primarily to rely on cash generated from our operating activities. We are currently funding our acquisitions through our available cash, borrowings under our revolving credit facility when necessary, and seller notes. We may also obtain capital through the issuance of debt or equity securities, or a combination of both.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uses of cash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future uses of cash will primarily be for acquisitions, international expansion,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but generally only do so with a high degree of certainty about related customer orders and pricing. In addition, we have a certain amount of replacement equipment, including our fleet vehicles. We historically spend approximately 4% to 5% of our total revenues on capital expenditures, excluding acquisitions, and expect to fund these expenditures through a combination of cash and lease financing.</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anticipated acquisitions may also require capital. For example, we have completed three acquisitions in fiscal 2011 with an initial cash outlay of approximately $16.8 million, of which approximately $5.0 million was funded by our credit facility. This includes one acquisition completed in October 2010. In some cases, additional equipment will be needed to upgrade the capabilities of these acquired companies. In addition, our future acquisition and capital spending may increase as we aggressively pursue growth opportunities. Other investments in infrastructure, training and software may also be required to match our growth, but we plan to continue using a disciplined approach to building our business. In addition, we will use cash to fund our operating leases, capital leases and long-term debt repayment and various other obliga tions, including the commitments discussed in the table below, as they arise.</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will also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or public or private equity or debt financings. We also may need to raise additional funds in the event we determine in the future to effect one or more acquisitions of businesses, tech nologies or products that will complement our existing operations. In the event additional funding is required, we may not be able to obtain bank credit arrangements or effect an equity or debt financing on terms acceptable to us or at all.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quarter of fiscal 2011,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foreign currency exposure related to our operations in foreign locations where the functional currency is not the U.S. dollar. This foreign currency exposure, particularly the Euro, British Pound Sterling (GBP), Brazilian Real, Russian Ruble, Japanese Yen and the Indian Rupee, arises primarily from the translation of our foreign subsidiaries’ financial statements into U.S. dollars. For example, a portion of our annual sales and operating costs are denominated in GBP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For our foreign subsidiaries, assets and liabilities are translated at period ending rates of exchange. Translation adjustments for the assets and liability accounts are included in accumulated other comprehensive income in stockholders’ equity (deficit). We had approximately $0.2 million of foreign currency translation losses in other comprehensive income for the first three months of fiscal 2011. We do not currently enter into forward exchange contracts to hedge exposures denominated in foreign currencies. We may consider entering into hedging or forward exchange contracts in the future.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interest rate on our revolving credit facility is variable. Accordingly, to the extent that we borrow under this facility, we are exposed to the risks associated with increases in interest rates under the facility.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two interest rate swap contracts whereby we would receive or pay an amount equal to the difference between a fixed rate and LIBOR on a quarterly basis in order to reduce our exposure to interest rate fluctuations. All gains and losses are recognized as an adjustment to interest expense and the combined fair values are recorded in other liabilities on the consolidated balance sheet. At August 31, 2010, we had one interest rate swap contract outstanding with a notional amount of $8.0 million.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had cash and cash equivalents of $13.9 million at August 31, 2010. These amounts are held for working capital purposes and were invested primarily in short-term interest-bearing accounts. Due to the short-term nature of these investments, we believe that we do not have any material exposure to changes in the fair value of our investment portfolio as a result of changes in interest rates. Declines in interest rates, however, will reduce future investment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principal executive and financial officers, does not expect that our disclosure controls and procedures or our internal control over financial reporting will prevent or detect all errors and all fraud. A control system, no matter how well designed or operated, can provide only reasonable, not absolute, assurance that the objectives of the control system are met. The design of our control system reflects the fact that there are resource constraints and the benefits of such controls must be considered relative to their costs. Further, because of the inherent limitations in all control systems, no evaluation of controls can provide absolute assurance that all control failures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Projections of management’s assessments of the current effectiveness of our disclosure controls and procedures and its internal control over financial reporting are subject to risks. However, our disclosure controls and procedures are designed to provide reasonable assurance that the objectives of our control system are met.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the end of the period covered by this report, an evaluation was carried out under the supervision and with the participation of our management, including our Chief Executive Officer (“CEO”) and our Chief Financial Officer (“CFO”), of the effectiveness of the design and operation of our disclosure controls and procedures (as defined in Rules 13a-15(e) and 15d-15(e) under the Exchange Act). This evaluation included consideration of the various processes carried out under the direction of our disclosure committee in an effort to ensure that information required to be disclosed in our SEC reports is recorded, processed, summarized and reported within the time periods specified by the SEC. This evaluation also considered the work completed relating to our compliance efforts with regards to the requirements of S ection 404 of the Sarbanes-Oxley Act of 2002.</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this evaluation, our CEO and CFO concluded that, as of August 31, 2010, our disclosure controls and procedures were operating effectively to ensure that the information required to be disclosed in our SEC reports is recorded, processed, summarized and reported within the requisite time periods and that such information is accumulated and communicated to management, including our CEO and CFO, as appropriate, to allow timely decisions regarding required disclosure.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regularly review and evaluate the design and effectiveness of our disclosure controls and procedures and internal controls over financial reporting on an ongoing basis and to improve these controls and procedures over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Rules 13a-13(f) and 15d-15(f) of the Exchange Act) that have materially affected or are reasonably likely to materially affect our internal control over financial reporting during the first quarter of fiscal 2011.</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the financial statements included in this report for a description of legal proceedings involving us.</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under the “Risk Factors” section included in our Annual Report on Form 10-K, filed with the SEC on August 17, 2010. There have been no material changes to the risk factors previously disclosed in the Annual Report.</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800" w:hanging="652"/>
        <w:spacing w:after="0" w:line="501" w:lineRule="auto"/>
        <w:tabs>
          <w:tab w:leader="none" w:pos="267"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260" w:hanging="252"/>
        <w:spacing w:after="0"/>
        <w:tabs>
          <w:tab w:leader="none" w:pos="2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Proceeds from Public Offering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60" w:right="8280" w:hanging="652"/>
        <w:spacing w:after="0" w:line="501" w:lineRule="auto"/>
        <w:tabs>
          <w:tab w:leader="none" w:pos="257"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Repurchases of Our Equity Securities </w:t>
      </w:r>
      <w:r>
        <w:rPr>
          <w:rFonts w:ascii="Arial" w:cs="Arial" w:eastAsia="Arial" w:hAnsi="Arial"/>
          <w:sz w:val="18"/>
          <w:szCs w:val="18"/>
          <w:color w:val="auto"/>
        </w:rPr>
        <w:t>None.</w:t>
      </w:r>
    </w:p>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on Page 31 of this report, and incorporated herein by reference.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MISTRAS GROUP, INC.</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w:t>
      </w:r>
      <w:r>
        <w:rPr>
          <w:rFonts w:ascii="Arial" w:cs="Arial" w:eastAsia="Arial" w:hAnsi="Arial"/>
          <w:sz w:val="11"/>
          <w:szCs w:val="11"/>
          <w:color w:val="auto"/>
        </w:rPr>
        <w:t>RANCIS</w:t>
      </w:r>
      <w:r>
        <w:rPr>
          <w:rFonts w:ascii="Arial" w:cs="Arial" w:eastAsia="Arial" w:hAnsi="Arial"/>
          <w:sz w:val="16"/>
          <w:szCs w:val="16"/>
          <w:color w:val="auto"/>
        </w:rPr>
        <w:t xml:space="preserve"> T. J</w:t>
      </w:r>
      <w:r>
        <w:rPr>
          <w:rFonts w:ascii="Arial" w:cs="Arial" w:eastAsia="Arial" w:hAnsi="Arial"/>
          <w:sz w:val="11"/>
          <w:szCs w:val="11"/>
          <w:color w:val="auto"/>
        </w:rPr>
        <w:t>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Francis T. Joyce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7"/>
          <w:szCs w:val="17"/>
          <w:i w:val="1"/>
          <w:iCs w:val="1"/>
          <w:color w:val="auto"/>
        </w:rPr>
        <w:t>(Principal financial officer and duly authorized officer)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2010</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20" w:type="dxa"/>
            <w:vAlign w:val="bottom"/>
          </w:tcPr>
          <w:p>
            <w:pPr>
              <w:ind w:left="272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580" w:type="dxa"/>
            <w:vAlign w:val="bottom"/>
          </w:tcPr>
          <w:p>
            <w:pPr>
              <w:spacing w:after="0"/>
              <w:rPr>
                <w:sz w:val="24"/>
                <w:szCs w:val="24"/>
                <w:color w:val="auto"/>
              </w:rPr>
            </w:pPr>
          </w:p>
        </w:tc>
        <w:tc>
          <w:tcPr>
            <w:tcW w:w="9120" w:type="dxa"/>
            <w:vAlign w:val="bottom"/>
            <w:tcBorders>
              <w:bottom w:val="single" w:sz="8" w:color="auto"/>
            </w:tcBorders>
          </w:tcPr>
          <w:p>
            <w:pPr>
              <w:ind w:left="412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w w:val="98"/>
              </w:rPr>
              <w:t>Amendment to Employment Agreement, dated July 14, 2010 between Sotirios J. Vahaviolos and Mistras Group, Inc.</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Compensation Plan for Non-Employee Directors (July 2010)</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31.1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31.2</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32.1</w:t>
            </w:r>
          </w:p>
        </w:tc>
        <w:tc>
          <w:tcPr>
            <w:tcW w:w="9700" w:type="dxa"/>
            <w:vAlign w:val="bottom"/>
            <w:gridSpan w:val="2"/>
          </w:tcPr>
          <w:p>
            <w:pPr>
              <w:ind w:left="58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81"/>
        </w:trPr>
        <w:tc>
          <w:tcPr>
            <w:tcW w:w="1720" w:type="dxa"/>
            <w:vAlign w:val="bottom"/>
          </w:tcPr>
          <w:p>
            <w:pPr>
              <w:spacing w:after="0"/>
              <w:rPr>
                <w:sz w:val="24"/>
                <w:szCs w:val="24"/>
                <w:color w:val="auto"/>
              </w:rPr>
            </w:pPr>
          </w:p>
        </w:tc>
        <w:tc>
          <w:tcPr>
            <w:tcW w:w="9700" w:type="dxa"/>
            <w:vAlign w:val="bottom"/>
            <w:gridSpan w:val="2"/>
          </w:tcPr>
          <w:p>
            <w:pPr>
              <w:ind w:left="3840"/>
              <w:spacing w:after="0"/>
              <w:rPr>
                <w:sz w:val="20"/>
                <w:szCs w:val="20"/>
                <w:color w:val="auto"/>
              </w:rPr>
            </w:pPr>
            <w:r>
              <w:rPr>
                <w:rFonts w:ascii="Arial" w:cs="Arial" w:eastAsia="Arial" w:hAnsi="Arial"/>
                <w:sz w:val="18"/>
                <w:szCs w:val="18"/>
                <w:color w:val="auto"/>
              </w:rPr>
              <w:t>-31-</w:t>
            </w:r>
          </w:p>
        </w:tc>
      </w:tr>
      <w:tr>
        <w:trPr>
          <w:trHeight w:val="105"/>
        </w:trPr>
        <w:tc>
          <w:tcPr>
            <w:tcW w:w="17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Employment Agreement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Amendment (“Amendment”), dated July 14, 2010, to the Employment Agreement (the “Agreement”), dated as of September 1, 2009, between Mistras Group, Inc. (the “Company”) and Sotirios J. Vahaviolos (“Mr. Vahaviolos”). Capitalized terms not otherwise defined in this Amendment shall have the meanings ascribed to them in the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and Mr. Vahaviolos entered into the Agreement, which provides for an initial Term of two years, expiring on August 31, 2011, with renewal provisions as provided in the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Mr. Vahaviolos desire to change the original two year Term of the Agreement to a four year Term.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 Agreement</w:t>
      </w:r>
    </w:p>
    <w:p>
      <w:pPr>
        <w:spacing w:after="0" w:line="229" w:lineRule="exact"/>
        <w:rPr>
          <w:sz w:val="20"/>
          <w:szCs w:val="20"/>
          <w:color w:val="auto"/>
        </w:rPr>
      </w:pPr>
    </w:p>
    <w:p>
      <w:pPr>
        <w:ind w:left="1000" w:hanging="344"/>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first sentence of Section 1.1 of the Agreement is hereby amended by replacing the date “August 31, 2011” with the date “August 31, 2013.”</w:t>
      </w:r>
    </w:p>
    <w:p>
      <w:pPr>
        <w:spacing w:after="0" w:line="248" w:lineRule="exact"/>
        <w:rPr>
          <w:rFonts w:ascii="Arial" w:cs="Arial" w:eastAsia="Arial" w:hAnsi="Arial"/>
          <w:sz w:val="16"/>
          <w:szCs w:val="16"/>
          <w:color w:val="auto"/>
        </w:rPr>
      </w:pPr>
    </w:p>
    <w:p>
      <w:pPr>
        <w:ind w:right="200" w:firstLine="656"/>
        <w:spacing w:after="0" w:line="277" w:lineRule="auto"/>
        <w:tabs>
          <w:tab w:leader="none" w:pos="9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Amendment is being made pursuant to Section 19 of the Agreement and, except as expressly modified by this Amendment, all terms and conditions of the Agreement shall remain in full force and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 Keefe</w:t>
            </w:r>
          </w:p>
        </w:tc>
      </w:tr>
      <w:tr>
        <w:trPr>
          <w:trHeight w:val="202"/>
        </w:trPr>
        <w:tc>
          <w:tcPr>
            <w:tcW w:w="9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Michael C. Keefe</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spacing w:after="0"/>
              <w:rPr>
                <w:sz w:val="20"/>
                <w:szCs w:val="20"/>
                <w:color w:val="auto"/>
              </w:rPr>
            </w:pPr>
            <w:r>
              <w:rPr>
                <w:rFonts w:ascii="Arial" w:cs="Arial" w:eastAsia="Arial" w:hAnsi="Arial"/>
                <w:sz w:val="18"/>
                <w:szCs w:val="18"/>
                <w:color w:val="auto"/>
              </w:rPr>
              <w:t>Executive Vice President, General</w:t>
            </w:r>
          </w:p>
        </w:tc>
      </w:tr>
      <w:tr>
        <w:trPr>
          <w:trHeight w:val="230"/>
        </w:trPr>
        <w:tc>
          <w:tcPr>
            <w:tcW w:w="9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Counsel and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3019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301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9140" w:type="dxa"/>
            <w:vAlign w:val="bottom"/>
          </w:tcPr>
          <w:p>
            <w:pPr>
              <w:ind w:left="8200"/>
              <w:spacing w:after="0"/>
              <w:rPr>
                <w:sz w:val="20"/>
                <w:szCs w:val="20"/>
                <w:color w:val="auto"/>
              </w:rPr>
            </w:pPr>
            <w:r>
              <w:rPr>
                <w:rFonts w:ascii="Arial" w:cs="Arial" w:eastAsia="Arial" w:hAnsi="Arial"/>
                <w:sz w:val="18"/>
                <w:szCs w:val="18"/>
                <w:b w:val="1"/>
                <w:bCs w:val="1"/>
                <w:color w:val="auto"/>
                <w:w w:val="91"/>
              </w:rPr>
              <w:t>Exhibit 10.2</w:t>
            </w:r>
          </w:p>
        </w:tc>
      </w:tr>
      <w:tr>
        <w:trPr>
          <w:trHeight w:val="418"/>
        </w:trPr>
        <w:tc>
          <w:tcPr>
            <w:tcW w:w="2280" w:type="dxa"/>
            <w:vAlign w:val="bottom"/>
          </w:tcPr>
          <w:p>
            <w:pPr>
              <w:spacing w:after="0"/>
              <w:rPr>
                <w:sz w:val="24"/>
                <w:szCs w:val="24"/>
                <w:color w:val="auto"/>
              </w:rPr>
            </w:pPr>
          </w:p>
        </w:tc>
        <w:tc>
          <w:tcPr>
            <w:tcW w:w="9140" w:type="dxa"/>
            <w:vAlign w:val="bottom"/>
          </w:tcPr>
          <w:p>
            <w:pPr>
              <w:jc w:val="center"/>
              <w:ind w:right="2190"/>
              <w:spacing w:after="0"/>
              <w:rPr>
                <w:sz w:val="20"/>
                <w:szCs w:val="20"/>
                <w:color w:val="auto"/>
              </w:rPr>
            </w:pPr>
            <w:r>
              <w:rPr>
                <w:rFonts w:ascii="Arial" w:cs="Arial" w:eastAsia="Arial" w:hAnsi="Arial"/>
                <w:sz w:val="18"/>
                <w:szCs w:val="18"/>
                <w:color w:val="auto"/>
                <w:w w:val="93"/>
              </w:rPr>
              <w:t>Mistras Group, Inc.</w:t>
            </w:r>
          </w:p>
        </w:tc>
      </w:tr>
      <w:tr>
        <w:trPr>
          <w:trHeight w:val="216"/>
        </w:trPr>
        <w:tc>
          <w:tcPr>
            <w:tcW w:w="2280" w:type="dxa"/>
            <w:vAlign w:val="bottom"/>
          </w:tcPr>
          <w:p>
            <w:pPr>
              <w:spacing w:after="0"/>
              <w:rPr>
                <w:sz w:val="18"/>
                <w:szCs w:val="18"/>
                <w:color w:val="auto"/>
              </w:rPr>
            </w:pPr>
          </w:p>
        </w:tc>
        <w:tc>
          <w:tcPr>
            <w:tcW w:w="9140" w:type="dxa"/>
            <w:vAlign w:val="bottom"/>
          </w:tcPr>
          <w:p>
            <w:pPr>
              <w:jc w:val="center"/>
              <w:ind w:right="2170"/>
              <w:spacing w:after="0"/>
              <w:rPr>
                <w:sz w:val="20"/>
                <w:szCs w:val="20"/>
                <w:color w:val="auto"/>
              </w:rPr>
            </w:pPr>
            <w:r>
              <w:rPr>
                <w:rFonts w:ascii="Arial" w:cs="Arial" w:eastAsia="Arial" w:hAnsi="Arial"/>
                <w:sz w:val="18"/>
                <w:szCs w:val="18"/>
                <w:color w:val="auto"/>
                <w:w w:val="91"/>
              </w:rPr>
              <w:t>Compensation Plan for Non-Employee Directors</w:t>
            </w:r>
          </w:p>
        </w:tc>
      </w:tr>
      <w:tr>
        <w:trPr>
          <w:trHeight w:val="230"/>
        </w:trPr>
        <w:tc>
          <w:tcPr>
            <w:tcW w:w="2280" w:type="dxa"/>
            <w:vAlign w:val="bottom"/>
          </w:tcPr>
          <w:p>
            <w:pPr>
              <w:spacing w:after="0"/>
              <w:rPr>
                <w:sz w:val="20"/>
                <w:szCs w:val="20"/>
                <w:color w:val="auto"/>
              </w:rPr>
            </w:pPr>
          </w:p>
        </w:tc>
        <w:tc>
          <w:tcPr>
            <w:tcW w:w="9140" w:type="dxa"/>
            <w:vAlign w:val="bottom"/>
          </w:tcPr>
          <w:p>
            <w:pPr>
              <w:jc w:val="center"/>
              <w:ind w:right="2190"/>
              <w:spacing w:after="0"/>
              <w:rPr>
                <w:sz w:val="20"/>
                <w:szCs w:val="20"/>
                <w:color w:val="auto"/>
              </w:rPr>
            </w:pPr>
            <w:r>
              <w:rPr>
                <w:rFonts w:ascii="Arial" w:cs="Arial" w:eastAsia="Arial" w:hAnsi="Arial"/>
                <w:sz w:val="18"/>
                <w:szCs w:val="18"/>
                <w:color w:val="auto"/>
                <w:w w:val="90"/>
              </w:rPr>
              <w:t>July 2010</w:t>
            </w:r>
          </w:p>
        </w:tc>
      </w:tr>
      <w:tr>
        <w:trPr>
          <w:trHeight w:val="432"/>
        </w:trPr>
        <w:tc>
          <w:tcPr>
            <w:tcW w:w="2280" w:type="dxa"/>
            <w:vAlign w:val="bottom"/>
          </w:tcPr>
          <w:p>
            <w:pPr>
              <w:spacing w:after="0"/>
              <w:rPr>
                <w:sz w:val="20"/>
                <w:szCs w:val="20"/>
                <w:color w:val="auto"/>
              </w:rPr>
            </w:pPr>
            <w:r>
              <w:rPr>
                <w:rFonts w:ascii="Arial" w:cs="Arial" w:eastAsia="Arial" w:hAnsi="Arial"/>
                <w:sz w:val="18"/>
                <w:szCs w:val="18"/>
                <w:color w:val="auto"/>
              </w:rPr>
              <w:t>Eligible Participants:</w:t>
            </w:r>
          </w:p>
        </w:tc>
        <w:tc>
          <w:tcPr>
            <w:tcW w:w="9140" w:type="dxa"/>
            <w:vAlign w:val="bottom"/>
          </w:tcPr>
          <w:p>
            <w:pPr>
              <w:ind w:left="600"/>
              <w:spacing w:after="0"/>
              <w:rPr>
                <w:sz w:val="20"/>
                <w:szCs w:val="20"/>
                <w:color w:val="auto"/>
              </w:rPr>
            </w:pPr>
            <w:r>
              <w:rPr>
                <w:rFonts w:ascii="Arial" w:cs="Arial" w:eastAsia="Arial" w:hAnsi="Arial"/>
                <w:sz w:val="18"/>
                <w:szCs w:val="18"/>
                <w:color w:val="auto"/>
              </w:rPr>
              <w:t>Members of the Mistras Group Board of Directors who are not employees of the Company</w:t>
            </w:r>
          </w:p>
        </w:tc>
      </w:tr>
      <w:tr>
        <w:trPr>
          <w:trHeight w:val="432"/>
        </w:trPr>
        <w:tc>
          <w:tcPr>
            <w:tcW w:w="2280" w:type="dxa"/>
            <w:vAlign w:val="bottom"/>
          </w:tcPr>
          <w:p>
            <w:pPr>
              <w:spacing w:after="0"/>
              <w:rPr>
                <w:sz w:val="20"/>
                <w:szCs w:val="20"/>
                <w:color w:val="auto"/>
              </w:rPr>
            </w:pPr>
            <w:r>
              <w:rPr>
                <w:rFonts w:ascii="Arial" w:cs="Arial" w:eastAsia="Arial" w:hAnsi="Arial"/>
                <w:sz w:val="18"/>
                <w:szCs w:val="18"/>
                <w:color w:val="auto"/>
              </w:rPr>
              <w:t>Annual Retainer:</w:t>
            </w:r>
          </w:p>
        </w:tc>
        <w:tc>
          <w:tcPr>
            <w:tcW w:w="9140" w:type="dxa"/>
            <w:vAlign w:val="bottom"/>
          </w:tcPr>
          <w:p>
            <w:pPr>
              <w:ind w:left="600"/>
              <w:spacing w:after="0"/>
              <w:rPr>
                <w:sz w:val="20"/>
                <w:szCs w:val="20"/>
                <w:color w:val="auto"/>
              </w:rPr>
            </w:pPr>
            <w:r>
              <w:rPr>
                <w:rFonts w:ascii="Arial" w:cs="Arial" w:eastAsia="Arial" w:hAnsi="Arial"/>
                <w:sz w:val="18"/>
                <w:szCs w:val="18"/>
                <w:color w:val="auto"/>
                <w:w w:val="93"/>
              </w:rPr>
              <w:t>$20,000 per year, payable quarterly at the beginning of each fiscal quarter, beginning the first quarter of fiscal 2011</w:t>
            </w:r>
          </w:p>
        </w:tc>
      </w:tr>
      <w:tr>
        <w:trPr>
          <w:trHeight w:val="418"/>
        </w:trPr>
        <w:tc>
          <w:tcPr>
            <w:tcW w:w="2280" w:type="dxa"/>
            <w:vAlign w:val="bottom"/>
          </w:tcPr>
          <w:p>
            <w:pPr>
              <w:spacing w:after="0"/>
              <w:rPr>
                <w:sz w:val="20"/>
                <w:szCs w:val="20"/>
                <w:color w:val="auto"/>
              </w:rPr>
            </w:pPr>
            <w:r>
              <w:rPr>
                <w:rFonts w:ascii="Arial" w:cs="Arial" w:eastAsia="Arial" w:hAnsi="Arial"/>
                <w:sz w:val="18"/>
                <w:szCs w:val="18"/>
                <w:color w:val="auto"/>
              </w:rPr>
              <w:t>Committee Chair Fees:</w:t>
            </w:r>
          </w:p>
        </w:tc>
        <w:tc>
          <w:tcPr>
            <w:tcW w:w="9140" w:type="dxa"/>
            <w:vAlign w:val="bottom"/>
          </w:tcPr>
          <w:p>
            <w:pPr>
              <w:ind w:left="600"/>
              <w:spacing w:after="0"/>
              <w:rPr>
                <w:sz w:val="20"/>
                <w:szCs w:val="20"/>
                <w:color w:val="auto"/>
              </w:rPr>
            </w:pPr>
            <w:r>
              <w:rPr>
                <w:rFonts w:ascii="Arial" w:cs="Arial" w:eastAsia="Arial" w:hAnsi="Arial"/>
                <w:sz w:val="18"/>
                <w:szCs w:val="18"/>
                <w:color w:val="auto"/>
                <w:w w:val="93"/>
              </w:rPr>
              <w:t>Each Committee Chairperson shall receive the following annual fees, which shall be paid quarterly with the annual</w:t>
            </w:r>
          </w:p>
        </w:tc>
      </w:tr>
      <w:tr>
        <w:trPr>
          <w:trHeight w:val="216"/>
        </w:trPr>
        <w:tc>
          <w:tcPr>
            <w:tcW w:w="2280" w:type="dxa"/>
            <w:vAlign w:val="bottom"/>
          </w:tcPr>
          <w:p>
            <w:pPr>
              <w:spacing w:after="0"/>
              <w:rPr>
                <w:sz w:val="18"/>
                <w:szCs w:val="18"/>
                <w:color w:val="auto"/>
              </w:rPr>
            </w:pPr>
          </w:p>
        </w:tc>
        <w:tc>
          <w:tcPr>
            <w:tcW w:w="9140" w:type="dxa"/>
            <w:vAlign w:val="bottom"/>
          </w:tcPr>
          <w:p>
            <w:pPr>
              <w:ind w:left="600"/>
              <w:spacing w:after="0"/>
              <w:rPr>
                <w:sz w:val="20"/>
                <w:szCs w:val="20"/>
                <w:color w:val="auto"/>
              </w:rPr>
            </w:pPr>
            <w:r>
              <w:rPr>
                <w:rFonts w:ascii="Arial" w:cs="Arial" w:eastAsia="Arial" w:hAnsi="Arial"/>
                <w:sz w:val="18"/>
                <w:szCs w:val="18"/>
                <w:color w:val="auto"/>
              </w:rPr>
              <w:t>retainer:</w:t>
            </w:r>
          </w:p>
        </w:tc>
      </w:tr>
      <w:tr>
        <w:trPr>
          <w:trHeight w:val="216"/>
        </w:trPr>
        <w:tc>
          <w:tcPr>
            <w:tcW w:w="2280" w:type="dxa"/>
            <w:vAlign w:val="bottom"/>
          </w:tcPr>
          <w:p>
            <w:pPr>
              <w:spacing w:after="0"/>
              <w:rPr>
                <w:sz w:val="18"/>
                <w:szCs w:val="18"/>
                <w:color w:val="auto"/>
              </w:rPr>
            </w:pPr>
          </w:p>
        </w:tc>
        <w:tc>
          <w:tcPr>
            <w:tcW w:w="9140" w:type="dxa"/>
            <w:vAlign w:val="bottom"/>
          </w:tcPr>
          <w:p>
            <w:pPr>
              <w:ind w:left="600"/>
              <w:spacing w:after="0"/>
              <w:rPr>
                <w:sz w:val="20"/>
                <w:szCs w:val="20"/>
                <w:color w:val="auto"/>
              </w:rPr>
            </w:pPr>
            <w:r>
              <w:rPr>
                <w:rFonts w:ascii="Arial" w:cs="Arial" w:eastAsia="Arial" w:hAnsi="Arial"/>
                <w:sz w:val="18"/>
                <w:szCs w:val="18"/>
                <w:color w:val="auto"/>
              </w:rPr>
              <w:t>Audit Committee: $10,000</w:t>
            </w:r>
          </w:p>
        </w:tc>
      </w:tr>
      <w:tr>
        <w:trPr>
          <w:trHeight w:val="216"/>
        </w:trPr>
        <w:tc>
          <w:tcPr>
            <w:tcW w:w="2280" w:type="dxa"/>
            <w:vAlign w:val="bottom"/>
          </w:tcPr>
          <w:p>
            <w:pPr>
              <w:spacing w:after="0"/>
              <w:rPr>
                <w:sz w:val="18"/>
                <w:szCs w:val="18"/>
                <w:color w:val="auto"/>
              </w:rPr>
            </w:pPr>
          </w:p>
        </w:tc>
        <w:tc>
          <w:tcPr>
            <w:tcW w:w="9140" w:type="dxa"/>
            <w:vAlign w:val="bottom"/>
          </w:tcPr>
          <w:p>
            <w:pPr>
              <w:ind w:left="600"/>
              <w:spacing w:after="0"/>
              <w:rPr>
                <w:sz w:val="20"/>
                <w:szCs w:val="20"/>
                <w:color w:val="auto"/>
              </w:rPr>
            </w:pPr>
            <w:r>
              <w:rPr>
                <w:rFonts w:ascii="Arial" w:cs="Arial" w:eastAsia="Arial" w:hAnsi="Arial"/>
                <w:sz w:val="18"/>
                <w:szCs w:val="18"/>
                <w:color w:val="auto"/>
              </w:rPr>
              <w:t>Compensation Committee: $7,500</w:t>
            </w:r>
          </w:p>
        </w:tc>
      </w:tr>
      <w:tr>
        <w:trPr>
          <w:trHeight w:val="230"/>
        </w:trPr>
        <w:tc>
          <w:tcPr>
            <w:tcW w:w="2280" w:type="dxa"/>
            <w:vAlign w:val="bottom"/>
          </w:tcPr>
          <w:p>
            <w:pPr>
              <w:spacing w:after="0"/>
              <w:rPr>
                <w:sz w:val="20"/>
                <w:szCs w:val="20"/>
                <w:color w:val="auto"/>
              </w:rPr>
            </w:pPr>
          </w:p>
        </w:tc>
        <w:tc>
          <w:tcPr>
            <w:tcW w:w="9140" w:type="dxa"/>
            <w:vAlign w:val="bottom"/>
          </w:tcPr>
          <w:p>
            <w:pPr>
              <w:ind w:left="600"/>
              <w:spacing w:after="0"/>
              <w:rPr>
                <w:sz w:val="20"/>
                <w:szCs w:val="20"/>
                <w:color w:val="auto"/>
              </w:rPr>
            </w:pPr>
            <w:r>
              <w:rPr>
                <w:rFonts w:ascii="Arial" w:cs="Arial" w:eastAsia="Arial" w:hAnsi="Arial"/>
                <w:sz w:val="18"/>
                <w:szCs w:val="18"/>
                <w:color w:val="auto"/>
              </w:rPr>
              <w:t>Corporate Governance Committee: $7,500</w:t>
            </w:r>
          </w:p>
        </w:tc>
      </w:tr>
      <w:tr>
        <w:trPr>
          <w:trHeight w:val="418"/>
        </w:trPr>
        <w:tc>
          <w:tcPr>
            <w:tcW w:w="2280" w:type="dxa"/>
            <w:vAlign w:val="bottom"/>
          </w:tcPr>
          <w:p>
            <w:pPr>
              <w:spacing w:after="0"/>
              <w:rPr>
                <w:sz w:val="20"/>
                <w:szCs w:val="20"/>
                <w:color w:val="auto"/>
              </w:rPr>
            </w:pPr>
            <w:r>
              <w:rPr>
                <w:rFonts w:ascii="Arial" w:cs="Arial" w:eastAsia="Arial" w:hAnsi="Arial"/>
                <w:sz w:val="18"/>
                <w:szCs w:val="18"/>
                <w:color w:val="auto"/>
              </w:rPr>
              <w:t>Annual Equity Award:</w:t>
            </w:r>
          </w:p>
        </w:tc>
        <w:tc>
          <w:tcPr>
            <w:tcW w:w="9140" w:type="dxa"/>
            <w:vAlign w:val="bottom"/>
          </w:tcPr>
          <w:p>
            <w:pPr>
              <w:ind w:left="600"/>
              <w:spacing w:after="0"/>
              <w:rPr>
                <w:sz w:val="20"/>
                <w:szCs w:val="20"/>
                <w:color w:val="auto"/>
              </w:rPr>
            </w:pPr>
            <w:r>
              <w:rPr>
                <w:rFonts w:ascii="Arial" w:cs="Arial" w:eastAsia="Arial" w:hAnsi="Arial"/>
                <w:sz w:val="18"/>
                <w:szCs w:val="18"/>
                <w:color w:val="auto"/>
                <w:w w:val="92"/>
              </w:rPr>
              <w:t>$20,000 of restricted stock award under the Mistras 2009 Long-Term Incentive Plan (“LTIP”), to be issued in the first</w:t>
            </w:r>
          </w:p>
        </w:tc>
      </w:tr>
      <w:tr>
        <w:trPr>
          <w:trHeight w:val="216"/>
        </w:trPr>
        <w:tc>
          <w:tcPr>
            <w:tcW w:w="2280" w:type="dxa"/>
            <w:vAlign w:val="bottom"/>
          </w:tcPr>
          <w:p>
            <w:pPr>
              <w:spacing w:after="0"/>
              <w:rPr>
                <w:sz w:val="18"/>
                <w:szCs w:val="18"/>
                <w:color w:val="auto"/>
              </w:rPr>
            </w:pPr>
          </w:p>
        </w:tc>
        <w:tc>
          <w:tcPr>
            <w:tcW w:w="9140" w:type="dxa"/>
            <w:vAlign w:val="bottom"/>
          </w:tcPr>
          <w:p>
            <w:pPr>
              <w:ind w:left="600"/>
              <w:spacing w:after="0"/>
              <w:rPr>
                <w:sz w:val="20"/>
                <w:szCs w:val="20"/>
                <w:color w:val="auto"/>
              </w:rPr>
            </w:pPr>
            <w:r>
              <w:rPr>
                <w:rFonts w:ascii="Arial" w:cs="Arial" w:eastAsia="Arial" w:hAnsi="Arial"/>
                <w:sz w:val="18"/>
                <w:szCs w:val="18"/>
                <w:color w:val="auto"/>
                <w:w w:val="94"/>
              </w:rPr>
              <w:t>fiscal quarter. The number of shares shall be based upon the fair market value of Mistras common stock as of the</w:t>
            </w:r>
          </w:p>
        </w:tc>
      </w:tr>
      <w:tr>
        <w:trPr>
          <w:trHeight w:val="216"/>
        </w:trPr>
        <w:tc>
          <w:tcPr>
            <w:tcW w:w="2280" w:type="dxa"/>
            <w:vAlign w:val="bottom"/>
          </w:tcPr>
          <w:p>
            <w:pPr>
              <w:spacing w:after="0"/>
              <w:rPr>
                <w:sz w:val="18"/>
                <w:szCs w:val="18"/>
                <w:color w:val="auto"/>
              </w:rPr>
            </w:pPr>
          </w:p>
        </w:tc>
        <w:tc>
          <w:tcPr>
            <w:tcW w:w="9140" w:type="dxa"/>
            <w:vAlign w:val="bottom"/>
          </w:tcPr>
          <w:p>
            <w:pPr>
              <w:ind w:left="600"/>
              <w:spacing w:after="0"/>
              <w:rPr>
                <w:sz w:val="20"/>
                <w:szCs w:val="20"/>
                <w:color w:val="auto"/>
              </w:rPr>
            </w:pPr>
            <w:r>
              <w:rPr>
                <w:rFonts w:ascii="Arial" w:cs="Arial" w:eastAsia="Arial" w:hAnsi="Arial"/>
                <w:sz w:val="18"/>
                <w:szCs w:val="18"/>
                <w:color w:val="auto"/>
                <w:w w:val="90"/>
              </w:rPr>
              <w:t>grant date, in accordance with the LTIP. The shares shall vest 25% per year on each anniversary date of the award. If</w:t>
            </w:r>
          </w:p>
        </w:tc>
      </w:tr>
      <w:tr>
        <w:trPr>
          <w:trHeight w:val="216"/>
        </w:trPr>
        <w:tc>
          <w:tcPr>
            <w:tcW w:w="2280" w:type="dxa"/>
            <w:vAlign w:val="bottom"/>
          </w:tcPr>
          <w:p>
            <w:pPr>
              <w:spacing w:after="0"/>
              <w:rPr>
                <w:sz w:val="18"/>
                <w:szCs w:val="18"/>
                <w:color w:val="auto"/>
              </w:rPr>
            </w:pPr>
          </w:p>
        </w:tc>
        <w:tc>
          <w:tcPr>
            <w:tcW w:w="9140" w:type="dxa"/>
            <w:vAlign w:val="bottom"/>
          </w:tcPr>
          <w:p>
            <w:pPr>
              <w:ind w:left="600"/>
              <w:spacing w:after="0"/>
              <w:rPr>
                <w:sz w:val="20"/>
                <w:szCs w:val="20"/>
                <w:color w:val="auto"/>
              </w:rPr>
            </w:pPr>
            <w:r>
              <w:rPr>
                <w:rFonts w:ascii="Arial" w:cs="Arial" w:eastAsia="Arial" w:hAnsi="Arial"/>
                <w:sz w:val="18"/>
                <w:szCs w:val="18"/>
                <w:color w:val="auto"/>
                <w:w w:val="90"/>
              </w:rPr>
              <w:t>a director is elected to the Board after the grant, the director will receive a pro rata award based upon number quarters</w:t>
            </w:r>
          </w:p>
        </w:tc>
      </w:tr>
      <w:tr>
        <w:trPr>
          <w:trHeight w:val="230"/>
        </w:trPr>
        <w:tc>
          <w:tcPr>
            <w:tcW w:w="2280" w:type="dxa"/>
            <w:vAlign w:val="bottom"/>
          </w:tcPr>
          <w:p>
            <w:pPr>
              <w:spacing w:after="0"/>
              <w:rPr>
                <w:sz w:val="20"/>
                <w:szCs w:val="20"/>
                <w:color w:val="auto"/>
              </w:rPr>
            </w:pPr>
          </w:p>
        </w:tc>
        <w:tc>
          <w:tcPr>
            <w:tcW w:w="9140" w:type="dxa"/>
            <w:vAlign w:val="bottom"/>
          </w:tcPr>
          <w:p>
            <w:pPr>
              <w:ind w:left="600"/>
              <w:spacing w:after="0"/>
              <w:rPr>
                <w:sz w:val="20"/>
                <w:szCs w:val="20"/>
                <w:color w:val="auto"/>
              </w:rPr>
            </w:pPr>
            <w:r>
              <w:rPr>
                <w:rFonts w:ascii="Arial" w:cs="Arial" w:eastAsia="Arial" w:hAnsi="Arial"/>
                <w:sz w:val="18"/>
                <w:szCs w:val="18"/>
                <w:color w:val="auto"/>
              </w:rPr>
              <w:t>remaining in the fiscal year.</w:t>
            </w:r>
          </w:p>
        </w:tc>
      </w:tr>
      <w:tr>
        <w:trPr>
          <w:trHeight w:val="618"/>
        </w:trPr>
        <w:tc>
          <w:tcPr>
            <w:tcW w:w="2280" w:type="dxa"/>
            <w:vAlign w:val="bottom"/>
            <w:tcBorders>
              <w:bottom w:val="single" w:sz="8" w:color="808080"/>
            </w:tcBorders>
          </w:tcPr>
          <w:p>
            <w:pPr>
              <w:spacing w:after="0"/>
              <w:rPr>
                <w:sz w:val="24"/>
                <w:szCs w:val="24"/>
                <w:color w:val="auto"/>
              </w:rPr>
            </w:pPr>
          </w:p>
        </w:tc>
        <w:tc>
          <w:tcPr>
            <w:tcW w:w="9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585"/>
        <w:spacing w:after="0" w:line="264"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585"/>
        <w:spacing w:after="0" w:line="264"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hanging="585"/>
        <w:spacing w:after="0" w:line="308" w:lineRule="auto"/>
        <w:tabs>
          <w:tab w:leader="none" w:pos="11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60" w:hanging="585"/>
        <w:spacing w:after="0" w:line="264"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85"/>
        <w:spacing w:after="0" w:line="308" w:lineRule="auto"/>
        <w:tabs>
          <w:tab w:leader="none" w:pos="11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hanging="585"/>
        <w:spacing w:after="0" w:line="277" w:lineRule="auto"/>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2010</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14605</wp:posOffset>
            </wp:positionV>
            <wp:extent cx="292417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24175" cy="1714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Sotirios J. Vahaviolos</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 Francis T. Joyce, certify that:</w:t>
      </w:r>
    </w:p>
    <w:p>
      <w:pPr>
        <w:spacing w:after="0" w:line="225"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585"/>
        <w:spacing w:after="0" w:line="264"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585"/>
        <w:spacing w:after="0" w:line="264"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hanging="585"/>
        <w:spacing w:after="0" w:line="308" w:lineRule="auto"/>
        <w:tabs>
          <w:tab w:leader="none" w:pos="11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60" w:hanging="585"/>
        <w:spacing w:after="0" w:line="264"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85"/>
        <w:spacing w:after="0" w:line="308" w:lineRule="auto"/>
        <w:tabs>
          <w:tab w:leader="none" w:pos="11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hanging="585"/>
        <w:spacing w:after="0" w:line="277"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2010</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14605</wp:posOffset>
            </wp:positionV>
            <wp:extent cx="292417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24175" cy="1714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Francis T. Joyce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August 31, 2010 (the “Report”), fully complies with the requirements of Section 13(a) of the Securities Exchange Act of 1934 and that the information contained in such report fairly presents, in all material respects, the financial condition and results of operations of the Company. This written statement is being furnished to the Securities and Exchange Commission as an exhibit to the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13, 2010</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14605</wp:posOffset>
            </wp:positionV>
            <wp:extent cx="292417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24175" cy="1714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Sotirios J. Vahaviolos</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14605</wp:posOffset>
            </wp:positionV>
            <wp:extent cx="292417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24175" cy="1714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Francis T. Joyce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Mistra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decimal"/>
      <w:start w:val="6"/>
    </w:lvl>
  </w:abstractNum>
  <w:abstractNum w:abstractNumId="7">
    <w:nsid w:val="140E0F76"/>
    <w:multiLevelType w:val="hybridMultilevel"/>
    <w:lvl w:ilvl="0">
      <w:lvlJc w:val="left"/>
      <w:lvlText w:val="%1."/>
      <w:numFmt w:val="decimal"/>
      <w:start w:val="10"/>
    </w:lvl>
  </w:abstractNum>
  <w:abstractNum w:abstractNumId="8">
    <w:nsid w:val="3352255A"/>
    <w:multiLevelType w:val="hybridMultilevel"/>
    <w:lvl w:ilvl="0">
      <w:lvlJc w:val="left"/>
      <w:lvlText w:val="%1."/>
      <w:numFmt w:val="decimal"/>
      <w:start w:val="11"/>
    </w:lvl>
  </w:abstractNum>
  <w:abstractNum w:abstractNumId="9">
    <w:nsid w:val="109CF92E"/>
    <w:multiLevelType w:val="hybridMultilevel"/>
    <w:lvl w:ilvl="0">
      <w:lvlJc w:val="left"/>
      <w:lvlText w:val="%1."/>
      <w:numFmt w:val="decimal"/>
      <w:start w:val="12"/>
    </w:lvl>
  </w:abstractNum>
  <w:abstractNum w:abstractNumId="10">
    <w:nsid w:val="DED7263"/>
    <w:multiLevelType w:val="hybridMultilevel"/>
    <w:lvl w:ilvl="0">
      <w:lvlJc w:val="left"/>
      <w:lvlText w:val="%1."/>
      <w:numFmt w:val="decimal"/>
      <w:start w:val="13"/>
    </w:lvl>
  </w:abstractNum>
  <w:abstractNum w:abstractNumId="11">
    <w:nsid w:val="7FDCC233"/>
    <w:multiLevelType w:val="hybridMultilevel"/>
    <w:lvl w:ilvl="0">
      <w:lvlJc w:val="left"/>
      <w:lvlText w:val="1"/>
      <w:numFmt w:val="bullet"/>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3"/>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2019-12-11T06:36:02Z</dcterms:created>
  <dcterms:modified xsi:type="dcterms:W3CDTF">2019-12-11T06:36:02Z</dcterms:modified>
</cp:coreProperties>
</file>