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3"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34290</wp:posOffset>
            </wp:positionV>
            <wp:extent cx="31629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3420" w:type="dxa"/>
        <w:tblCellMar>
          <w:top w:w="0" w:type="dxa"/>
          <w:left w:w="0" w:type="dxa"/>
          <w:bottom w:w="0" w:type="dxa"/>
          <w:right w:w="0" w:type="dxa"/>
        </w:tblCellMar>
      </w:tblPr>
      <w:tr>
        <w:trPr>
          <w:trHeight w:val="234"/>
        </w:trPr>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2960" w:type="dxa"/>
            <w:vAlign w:val="bottom"/>
          </w:tcPr>
          <w:p>
            <w:pPr>
              <w:jc w:val="center"/>
              <w:ind w:right="50"/>
              <w:spacing w:after="0"/>
              <w:rPr>
                <w:sz w:val="20"/>
                <w:szCs w:val="20"/>
                <w:color w:val="auto"/>
              </w:rPr>
            </w:pPr>
            <w:r>
              <w:rPr>
                <w:rFonts w:ascii="Arial" w:cs="Arial" w:eastAsia="Arial" w:hAnsi="Arial"/>
                <w:sz w:val="18"/>
                <w:szCs w:val="18"/>
                <w:i w:val="1"/>
                <w:iCs w:val="1"/>
                <w:color w:val="auto"/>
                <w:w w:val="93"/>
              </w:rPr>
              <w:t>(State or other jurisdiction of</w:t>
            </w:r>
          </w:p>
        </w:tc>
        <w:tc>
          <w:tcPr>
            <w:tcW w:w="146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960" w:type="dxa"/>
            <w:vAlign w:val="bottom"/>
          </w:tcPr>
          <w:p>
            <w:pPr>
              <w:jc w:val="center"/>
              <w:ind w:right="50"/>
              <w:spacing w:after="0"/>
              <w:rPr>
                <w:sz w:val="20"/>
                <w:szCs w:val="20"/>
                <w:color w:val="auto"/>
              </w:rPr>
            </w:pPr>
            <w:r>
              <w:rPr>
                <w:rFonts w:ascii="Arial" w:cs="Arial" w:eastAsia="Arial" w:hAnsi="Arial"/>
                <w:sz w:val="18"/>
                <w:szCs w:val="18"/>
                <w:i w:val="1"/>
                <w:iCs w:val="1"/>
                <w:color w:val="auto"/>
                <w:w w:val="94"/>
              </w:rPr>
              <w:t>incorporation or organization)</w:t>
            </w:r>
          </w:p>
        </w:tc>
        <w:tc>
          <w:tcPr>
            <w:tcW w:w="1460" w:type="dxa"/>
            <w:vAlign w:val="bottom"/>
          </w:tcPr>
          <w:p>
            <w:pPr>
              <w:jc w:val="center"/>
              <w:ind w:left="50"/>
              <w:spacing w:after="0"/>
              <w:rPr>
                <w:sz w:val="20"/>
                <w:szCs w:val="20"/>
                <w:color w:val="auto"/>
              </w:rPr>
            </w:pPr>
            <w:r>
              <w:rPr>
                <w:rFonts w:ascii="Arial" w:cs="Arial" w:eastAsia="Arial" w:hAnsi="Arial"/>
                <w:sz w:val="18"/>
                <w:szCs w:val="18"/>
                <w:i w:val="1"/>
                <w:iCs w:val="1"/>
                <w:color w:val="auto"/>
                <w:w w:val="94"/>
              </w:rPr>
              <w:t>Identification No.)</w:t>
            </w:r>
          </w:p>
        </w:tc>
      </w:tr>
      <w:tr>
        <w:trPr>
          <w:trHeight w:val="540"/>
        </w:trPr>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195 Clarksville Road</w:t>
            </w:r>
          </w:p>
        </w:tc>
        <w:tc>
          <w:tcPr>
            <w:tcW w:w="1460" w:type="dxa"/>
            <w:vAlign w:val="bottom"/>
          </w:tcPr>
          <w:p>
            <w:pPr>
              <w:spacing w:after="0"/>
              <w:rPr>
                <w:sz w:val="24"/>
                <w:szCs w:val="24"/>
                <w:color w:val="auto"/>
              </w:rPr>
            </w:pPr>
          </w:p>
        </w:tc>
      </w:tr>
      <w:tr>
        <w:trPr>
          <w:trHeight w:val="270"/>
        </w:trPr>
        <w:tc>
          <w:tcPr>
            <w:tcW w:w="2960" w:type="dxa"/>
            <w:vAlign w:val="bottom"/>
          </w:tcPr>
          <w:p>
            <w:pPr>
              <w:ind w:left="60"/>
              <w:spacing w:after="0"/>
              <w:rPr>
                <w:sz w:val="20"/>
                <w:szCs w:val="20"/>
                <w:color w:val="auto"/>
              </w:rPr>
            </w:pPr>
            <w:r>
              <w:rPr>
                <w:rFonts w:ascii="Arial" w:cs="Arial" w:eastAsia="Arial" w:hAnsi="Arial"/>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2960" w:type="dxa"/>
            <w:vAlign w:val="bottom"/>
          </w:tcPr>
          <w:p>
            <w:pPr>
              <w:jc w:val="center"/>
              <w:ind w:right="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1"/>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256"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57785</wp:posOffset>
            </wp:positionV>
            <wp:extent cx="31629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45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0"/>
              </w:rPr>
              <w:t>Title of each class</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88"/>
              </w:rPr>
              <w:t>Name of each exchange on which registered</w:t>
            </w:r>
          </w:p>
        </w:tc>
      </w:tr>
      <w:tr>
        <w:trPr>
          <w:trHeight w:val="27"/>
        </w:trPr>
        <w:tc>
          <w:tcPr>
            <w:tcW w:w="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Common Stock, $0.01 par value</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MG</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320" w:type="dxa"/>
        <w:tblCellMar>
          <w:top w:w="0" w:type="dxa"/>
          <w:left w:w="0" w:type="dxa"/>
          <w:bottom w:w="0" w:type="dxa"/>
          <w:right w:w="0" w:type="dxa"/>
        </w:tblCellMar>
      </w:tblPr>
      <w:tr>
        <w:trPr>
          <w:trHeight w:val="21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00" w:type="dxa"/>
            <w:vAlign w:val="bottom"/>
          </w:tcPr>
          <w:p>
            <w:pPr>
              <w:ind w:left="400"/>
              <w:spacing w:after="0"/>
              <w:rPr>
                <w:sz w:val="20"/>
                <w:szCs w:val="20"/>
                <w:color w:val="auto"/>
              </w:rPr>
            </w:pPr>
            <w:r>
              <w:rPr>
                <w:rFonts w:ascii="Arial" w:cs="Arial" w:eastAsia="Arial" w:hAnsi="Arial"/>
                <w:sz w:val="18"/>
                <w:szCs w:val="18"/>
                <w:color w:val="auto"/>
              </w:rPr>
              <w:t>o</w:t>
            </w:r>
          </w:p>
        </w:tc>
        <w:tc>
          <w:tcPr>
            <w:tcW w:w="4480" w:type="dxa"/>
            <w:vAlign w:val="bottom"/>
          </w:tcPr>
          <w:p>
            <w:pPr>
              <w:ind w:left="2040"/>
              <w:spacing w:after="0"/>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10"/>
              <w:spacing w:after="0"/>
              <w:rPr>
                <w:sz w:val="20"/>
                <w:szCs w:val="20"/>
                <w:color w:val="auto"/>
              </w:rPr>
            </w:pPr>
            <w:r>
              <w:rPr>
                <w:rFonts w:ascii="Arial" w:cs="Arial" w:eastAsia="Arial" w:hAnsi="Arial"/>
                <w:sz w:val="18"/>
                <w:szCs w:val="18"/>
                <w:color w:val="auto"/>
                <w:w w:val="88"/>
              </w:rPr>
              <w:t>x</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400"/>
              <w:spacing w:after="0"/>
              <w:rPr>
                <w:sz w:val="20"/>
                <w:szCs w:val="20"/>
                <w:color w:val="auto"/>
              </w:rPr>
            </w:pPr>
            <w:r>
              <w:rPr>
                <w:rFonts w:ascii="Arial" w:cs="Arial" w:eastAsia="Arial" w:hAnsi="Arial"/>
                <w:sz w:val="18"/>
                <w:szCs w:val="18"/>
                <w:color w:val="auto"/>
              </w:rPr>
              <w:t>o</w:t>
            </w:r>
          </w:p>
        </w:tc>
        <w:tc>
          <w:tcPr>
            <w:tcW w:w="448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1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229"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2020, the registrant had 29,110,362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ectPr>
          <w:pgSz w:w="11900" w:h="16838" w:orient="portrait"/>
          <w:cols w:equalWidth="0" w:num="2">
            <w:col w:w="9540" w:space="720"/>
            <w:col w:w="980"/>
          </w:cols>
          <w:pgMar w:left="320" w:top="125"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16"/>
        </w:trPr>
        <w:tc>
          <w:tcPr>
            <w:tcW w:w="10520" w:type="dxa"/>
            <w:vAlign w:val="bottom"/>
            <w:gridSpan w:val="1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I—FINANCIAL INFORMATION</w:t>
              </w:r>
            </w:hyperlink>
          </w:p>
        </w:tc>
        <w:tc>
          <w:tcPr>
            <w:tcW w:w="660" w:type="dxa"/>
            <w:vAlign w:val="bottom"/>
          </w:tcPr>
          <w:p>
            <w:pPr>
              <w:spacing w:after="0"/>
              <w:rPr>
                <w:sz w:val="18"/>
                <w:szCs w:val="18"/>
                <w:color w:val="auto"/>
              </w:rPr>
            </w:pPr>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r>
      <w:tr>
        <w:trPr>
          <w:trHeight w:val="45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E32E1"/>
              </w:rPr>
            </w:pPr>
            <w:hyperlink w:anchor="page4">
              <w:r>
                <w:rPr>
                  <w:rFonts w:ascii="Arial" w:cs="Arial" w:eastAsia="Arial" w:hAnsi="Arial"/>
                  <w:sz w:val="18"/>
                  <w:szCs w:val="18"/>
                  <w:color w:val="0E32E1"/>
                </w:rPr>
                <w:t xml:space="preserve">Condensed Consolidated Balance Sheets as of </w:t>
              </w:r>
            </w:hyperlink>
            <w:r>
              <w:rPr>
                <w:rFonts w:ascii="Arial" w:cs="Arial" w:eastAsia="Arial" w:hAnsi="Arial"/>
                <w:sz w:val="18"/>
                <w:szCs w:val="18"/>
                <w:color w:val="0E32E1"/>
              </w:rPr>
              <w:t xml:space="preserve">June 30, 2020 </w:t>
            </w:r>
            <w:r>
              <w:rPr>
                <w:rFonts w:ascii="Arial" w:cs="Arial" w:eastAsia="Arial" w:hAnsi="Arial"/>
                <w:sz w:val="18"/>
                <w:szCs w:val="18"/>
                <w:u w:val="single" w:color="auto"/>
                <w:color w:val="0E32E1"/>
              </w:rPr>
              <w:t xml:space="preserve">(unaudited) </w:t>
            </w:r>
            <w:hyperlink w:anchor="page4">
              <w:r>
                <w:rPr>
                  <w:rFonts w:ascii="Arial" w:cs="Arial" w:eastAsia="Arial" w:hAnsi="Arial"/>
                  <w:sz w:val="18"/>
                  <w:szCs w:val="18"/>
                  <w:u w:val="single" w:color="auto"/>
                  <w:color w:val="0E32E1"/>
                </w:rPr>
                <w:t>and December 31,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240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80"/>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E32E1"/>
                <w:w w:val="92"/>
              </w:rPr>
            </w:pPr>
            <w:hyperlink w:anchor="page4">
              <w:r>
                <w:rPr>
                  <w:rFonts w:ascii="Arial" w:cs="Arial" w:eastAsia="Arial" w:hAnsi="Arial"/>
                  <w:sz w:val="18"/>
                  <w:szCs w:val="18"/>
                  <w:u w:val="single" w:color="auto"/>
                  <w:color w:val="0E32E1"/>
                  <w:w w:val="92"/>
                </w:rPr>
                <w:t>Unaudited Condensed Consolidated Statements of Income (Loss) for the</w:t>
              </w:r>
              <w:r>
                <w:rPr>
                  <w:rFonts w:ascii="Arial" w:cs="Arial" w:eastAsia="Arial" w:hAnsi="Arial"/>
                  <w:sz w:val="18"/>
                  <w:szCs w:val="18"/>
                  <w:color w:val="0E32E1"/>
                  <w:w w:val="92"/>
                </w:rPr>
                <w:t xml:space="preserve"> </w:t>
              </w:r>
            </w:hyperlink>
            <w:r>
              <w:rPr>
                <w:rFonts w:ascii="Arial" w:cs="Arial" w:eastAsia="Arial" w:hAnsi="Arial"/>
                <w:sz w:val="18"/>
                <w:szCs w:val="18"/>
                <w:color w:val="0E32E1"/>
                <w:w w:val="92"/>
              </w:rPr>
              <w:t xml:space="preserve">three and six months ended June 30, 2020 </w:t>
            </w:r>
            <w:hyperlink w:anchor="page4">
              <w:r>
                <w:rPr>
                  <w:rFonts w:ascii="Arial" w:cs="Arial" w:eastAsia="Arial" w:hAnsi="Arial"/>
                  <w:sz w:val="18"/>
                  <w:szCs w:val="18"/>
                  <w:u w:val="single" w:color="auto"/>
                  <w:color w:val="0E32E1"/>
                  <w:w w:val="92"/>
                </w:rPr>
                <w:t>and</w:t>
              </w:r>
            </w:hyperlink>
          </w:p>
        </w:tc>
        <w:tc>
          <w:tcPr>
            <w:tcW w:w="660" w:type="dxa"/>
            <w:vAlign w:val="bottom"/>
          </w:tcPr>
          <w:p>
            <w:pPr>
              <w:spacing w:after="0"/>
              <w:rPr>
                <w:sz w:val="24"/>
                <w:szCs w:val="24"/>
                <w:color w:val="auto"/>
              </w:rPr>
            </w:pPr>
          </w:p>
        </w:tc>
      </w:tr>
      <w:tr>
        <w:trPr>
          <w:trHeight w:val="156"/>
        </w:trPr>
        <w:tc>
          <w:tcPr>
            <w:tcW w:w="1620" w:type="dxa"/>
            <w:vAlign w:val="bottom"/>
          </w:tcPr>
          <w:p>
            <w:pPr>
              <w:spacing w:after="0"/>
              <w:rPr>
                <w:sz w:val="13"/>
                <w:szCs w:val="13"/>
                <w:color w:val="auto"/>
              </w:rPr>
            </w:pPr>
          </w:p>
        </w:tc>
        <w:tc>
          <w:tcPr>
            <w:tcW w:w="1020" w:type="dxa"/>
            <w:vAlign w:val="bottom"/>
            <w:tcBorders>
              <w:bottom w:val="single" w:sz="8" w:color="0E32E1"/>
            </w:tcBorders>
            <w:gridSpan w:val="4"/>
          </w:tcPr>
          <w:p>
            <w:pPr>
              <w:spacing w:after="0" w:line="156" w:lineRule="exact"/>
              <w:rPr>
                <w:sz w:val="20"/>
                <w:szCs w:val="20"/>
                <w:color w:val="auto"/>
              </w:rPr>
            </w:pPr>
            <w:r>
              <w:rPr>
                <w:rFonts w:ascii="Arial" w:cs="Arial" w:eastAsia="Arial" w:hAnsi="Arial"/>
                <w:sz w:val="18"/>
                <w:szCs w:val="18"/>
                <w:color w:val="0E32E1"/>
                <w:w w:val="87"/>
              </w:rPr>
              <w:t>June 30, 2019</w:t>
            </w:r>
          </w:p>
        </w:tc>
        <w:tc>
          <w:tcPr>
            <w:tcW w:w="4260" w:type="dxa"/>
            <w:vAlign w:val="bottom"/>
            <w:gridSpan w:val="5"/>
          </w:tcPr>
          <w:p>
            <w:pPr>
              <w:spacing w:after="0"/>
              <w:rPr>
                <w:sz w:val="13"/>
                <w:szCs w:val="13"/>
                <w:color w:val="auto"/>
              </w:rPr>
            </w:pPr>
          </w:p>
        </w:tc>
        <w:tc>
          <w:tcPr>
            <w:tcW w:w="1120" w:type="dxa"/>
            <w:vAlign w:val="bottom"/>
            <w:tcBorders>
              <w:top w:val="single" w:sz="8" w:color="0E32E1"/>
            </w:tcBorders>
          </w:tcPr>
          <w:p>
            <w:pPr>
              <w:spacing w:after="0"/>
              <w:rPr>
                <w:sz w:val="13"/>
                <w:szCs w:val="13"/>
                <w:color w:val="auto"/>
              </w:rPr>
            </w:pPr>
          </w:p>
        </w:tc>
        <w:tc>
          <w:tcPr>
            <w:tcW w:w="980" w:type="dxa"/>
            <w:vAlign w:val="bottom"/>
            <w:tcBorders>
              <w:top w:val="single" w:sz="8" w:color="0E32E1"/>
            </w:tcBorders>
          </w:tcPr>
          <w:p>
            <w:pPr>
              <w:spacing w:after="0"/>
              <w:rPr>
                <w:sz w:val="13"/>
                <w:szCs w:val="13"/>
                <w:color w:val="auto"/>
              </w:rPr>
            </w:pPr>
          </w:p>
        </w:tc>
        <w:tc>
          <w:tcPr>
            <w:tcW w:w="36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6"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r>
      <w:tr>
        <w:trPr>
          <w:trHeight w:val="47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E32E1"/>
                <w:w w:val="90"/>
              </w:rPr>
            </w:pPr>
            <w:hyperlink w:anchor="page5">
              <w:r>
                <w:rPr>
                  <w:rFonts w:ascii="Arial" w:cs="Arial" w:eastAsia="Arial" w:hAnsi="Arial"/>
                  <w:sz w:val="18"/>
                  <w:szCs w:val="18"/>
                  <w:u w:val="single" w:color="auto"/>
                  <w:color w:val="0E32E1"/>
                  <w:w w:val="90"/>
                </w:rPr>
                <w:t>Unaudited Condensed Consolidated Statements of Comprehensive Income (Loss) for the</w:t>
              </w:r>
              <w:r>
                <w:rPr>
                  <w:rFonts w:ascii="Arial" w:cs="Arial" w:eastAsia="Arial" w:hAnsi="Arial"/>
                  <w:sz w:val="18"/>
                  <w:szCs w:val="18"/>
                  <w:color w:val="0E32E1"/>
                  <w:w w:val="90"/>
                </w:rPr>
                <w:t xml:space="preserve"> </w:t>
              </w:r>
            </w:hyperlink>
            <w:r>
              <w:rPr>
                <w:rFonts w:ascii="Arial" w:cs="Arial" w:eastAsia="Arial" w:hAnsi="Arial"/>
                <w:sz w:val="18"/>
                <w:szCs w:val="18"/>
                <w:color w:val="0E32E1"/>
                <w:w w:val="90"/>
              </w:rPr>
              <w:t>three and six months ended June</w:t>
            </w:r>
          </w:p>
        </w:tc>
        <w:tc>
          <w:tcPr>
            <w:tcW w:w="660" w:type="dxa"/>
            <w:vAlign w:val="bottom"/>
          </w:tcPr>
          <w:p>
            <w:pPr>
              <w:spacing w:after="0"/>
              <w:rPr>
                <w:sz w:val="24"/>
                <w:szCs w:val="24"/>
                <w:color w:val="auto"/>
              </w:rPr>
            </w:pPr>
          </w:p>
        </w:tc>
      </w:tr>
      <w:tr>
        <w:trPr>
          <w:trHeight w:val="156"/>
        </w:trPr>
        <w:tc>
          <w:tcPr>
            <w:tcW w:w="1620" w:type="dxa"/>
            <w:vAlign w:val="bottom"/>
          </w:tcPr>
          <w:p>
            <w:pPr>
              <w:spacing w:after="0"/>
              <w:rPr>
                <w:sz w:val="13"/>
                <w:szCs w:val="13"/>
                <w:color w:val="auto"/>
              </w:rPr>
            </w:pPr>
          </w:p>
        </w:tc>
        <w:tc>
          <w:tcPr>
            <w:tcW w:w="6400" w:type="dxa"/>
            <w:vAlign w:val="bottom"/>
            <w:gridSpan w:val="10"/>
          </w:tcPr>
          <w:p>
            <w:pPr>
              <w:spacing w:after="0" w:line="156" w:lineRule="exact"/>
              <w:rPr>
                <w:rFonts w:ascii="Arial" w:cs="Arial" w:eastAsia="Arial" w:hAnsi="Arial"/>
                <w:sz w:val="18"/>
                <w:szCs w:val="18"/>
                <w:color w:val="0E32E1"/>
              </w:rPr>
            </w:pPr>
            <w:r>
              <w:rPr>
                <w:rFonts w:ascii="Arial" w:cs="Arial" w:eastAsia="Arial" w:hAnsi="Arial"/>
                <w:sz w:val="18"/>
                <w:szCs w:val="18"/>
                <w:color w:val="0E32E1"/>
              </w:rPr>
              <w:t xml:space="preserve">30, 2020 </w:t>
            </w:r>
            <w:hyperlink w:anchor="page5">
              <w:r>
                <w:rPr>
                  <w:rFonts w:ascii="Arial" w:cs="Arial" w:eastAsia="Arial" w:hAnsi="Arial"/>
                  <w:sz w:val="18"/>
                  <w:szCs w:val="18"/>
                  <w:u w:val="single" w:color="auto"/>
                  <w:color w:val="0E32E1"/>
                </w:rPr>
                <w:t xml:space="preserve">and </w:t>
              </w:r>
            </w:hyperlink>
            <w:r>
              <w:rPr>
                <w:rFonts w:ascii="Arial" w:cs="Arial" w:eastAsia="Arial" w:hAnsi="Arial"/>
                <w:sz w:val="18"/>
                <w:szCs w:val="18"/>
                <w:color w:val="0E32E1"/>
              </w:rPr>
              <w:t>June 30, 2019</w:t>
            </w:r>
          </w:p>
        </w:tc>
        <w:tc>
          <w:tcPr>
            <w:tcW w:w="980" w:type="dxa"/>
            <w:vAlign w:val="bottom"/>
            <w:tcBorders>
              <w:top w:val="single" w:sz="8" w:color="0E32E1"/>
            </w:tcBorders>
          </w:tcPr>
          <w:p>
            <w:pPr>
              <w:spacing w:after="0"/>
              <w:rPr>
                <w:sz w:val="13"/>
                <w:szCs w:val="13"/>
                <w:color w:val="auto"/>
              </w:rPr>
            </w:pPr>
          </w:p>
        </w:tc>
        <w:tc>
          <w:tcPr>
            <w:tcW w:w="36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gridSpan w:val="2"/>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shd w:val="clear" w:color="auto" w:fill="0E32E1"/>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7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E32E1"/>
                <w:w w:val="91"/>
              </w:rPr>
            </w:pPr>
            <w:hyperlink w:anchor="page6">
              <w:r>
                <w:rPr>
                  <w:rFonts w:ascii="Arial" w:cs="Arial" w:eastAsia="Arial" w:hAnsi="Arial"/>
                  <w:sz w:val="18"/>
                  <w:szCs w:val="18"/>
                  <w:u w:val="single" w:color="auto"/>
                  <w:color w:val="0E32E1"/>
                  <w:w w:val="91"/>
                </w:rPr>
                <w:t>Unaudited Condensed Consolidated Statements of Equity for the</w:t>
              </w:r>
              <w:r>
                <w:rPr>
                  <w:rFonts w:ascii="Arial" w:cs="Arial" w:eastAsia="Arial" w:hAnsi="Arial"/>
                  <w:sz w:val="18"/>
                  <w:szCs w:val="18"/>
                  <w:color w:val="0E32E1"/>
                  <w:w w:val="91"/>
                </w:rPr>
                <w:t xml:space="preserve"> </w:t>
              </w:r>
            </w:hyperlink>
            <w:r>
              <w:rPr>
                <w:rFonts w:ascii="Arial" w:cs="Arial" w:eastAsia="Arial" w:hAnsi="Arial"/>
                <w:sz w:val="18"/>
                <w:szCs w:val="18"/>
                <w:color w:val="0E32E1"/>
                <w:w w:val="91"/>
              </w:rPr>
              <w:t xml:space="preserve">three and six months ended June 30, 2020 </w:t>
            </w:r>
            <w:hyperlink w:anchor="page6">
              <w:r>
                <w:rPr>
                  <w:rFonts w:ascii="Arial" w:cs="Arial" w:eastAsia="Arial" w:hAnsi="Arial"/>
                  <w:sz w:val="18"/>
                  <w:szCs w:val="18"/>
                  <w:u w:val="single" w:color="auto"/>
                  <w:color w:val="0E32E1"/>
                  <w:w w:val="91"/>
                </w:rPr>
                <w:t xml:space="preserve">and </w:t>
              </w:r>
            </w:hyperlink>
            <w:r>
              <w:rPr>
                <w:rFonts w:ascii="Arial" w:cs="Arial" w:eastAsia="Arial" w:hAnsi="Arial"/>
                <w:sz w:val="18"/>
                <w:szCs w:val="18"/>
                <w:color w:val="0E32E1"/>
                <w:w w:val="91"/>
              </w:rPr>
              <w:t>June 30,</w:t>
            </w:r>
          </w:p>
        </w:tc>
        <w:tc>
          <w:tcPr>
            <w:tcW w:w="660" w:type="dxa"/>
            <w:vAlign w:val="bottom"/>
          </w:tcPr>
          <w:p>
            <w:pPr>
              <w:spacing w:after="0"/>
              <w:rPr>
                <w:sz w:val="24"/>
                <w:szCs w:val="24"/>
                <w:color w:val="auto"/>
              </w:rPr>
            </w:pPr>
          </w:p>
        </w:tc>
      </w:tr>
      <w:tr>
        <w:trPr>
          <w:trHeight w:val="156"/>
        </w:trPr>
        <w:tc>
          <w:tcPr>
            <w:tcW w:w="1620" w:type="dxa"/>
            <w:vAlign w:val="bottom"/>
          </w:tcPr>
          <w:p>
            <w:pPr>
              <w:spacing w:after="0"/>
              <w:rPr>
                <w:sz w:val="13"/>
                <w:szCs w:val="13"/>
                <w:color w:val="auto"/>
              </w:rPr>
            </w:pPr>
          </w:p>
        </w:tc>
        <w:tc>
          <w:tcPr>
            <w:tcW w:w="640" w:type="dxa"/>
            <w:vAlign w:val="bottom"/>
            <w:gridSpan w:val="2"/>
          </w:tcPr>
          <w:p>
            <w:pPr>
              <w:spacing w:after="0" w:line="156" w:lineRule="exact"/>
              <w:rPr>
                <w:sz w:val="20"/>
                <w:szCs w:val="20"/>
                <w:color w:val="auto"/>
              </w:rPr>
            </w:pPr>
            <w:r>
              <w:rPr>
                <w:rFonts w:ascii="Arial" w:cs="Arial" w:eastAsia="Arial" w:hAnsi="Arial"/>
                <w:sz w:val="18"/>
                <w:szCs w:val="18"/>
                <w:color w:val="0E32E1"/>
              </w:rPr>
              <w:t>2019</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Borders>
              <w:top w:val="single" w:sz="8" w:color="0E32E1"/>
            </w:tcBorders>
          </w:tcPr>
          <w:p>
            <w:pPr>
              <w:spacing w:after="0"/>
              <w:rPr>
                <w:sz w:val="13"/>
                <w:szCs w:val="13"/>
                <w:color w:val="auto"/>
              </w:rPr>
            </w:pPr>
          </w:p>
        </w:tc>
        <w:tc>
          <w:tcPr>
            <w:tcW w:w="200" w:type="dxa"/>
            <w:vAlign w:val="bottom"/>
            <w:tcBorders>
              <w:top w:val="single" w:sz="8" w:color="0E32E1"/>
            </w:tcBorders>
          </w:tcPr>
          <w:p>
            <w:pPr>
              <w:spacing w:after="0"/>
              <w:rPr>
                <w:sz w:val="13"/>
                <w:szCs w:val="13"/>
                <w:color w:val="auto"/>
              </w:rPr>
            </w:pPr>
          </w:p>
        </w:tc>
        <w:tc>
          <w:tcPr>
            <w:tcW w:w="1120" w:type="dxa"/>
            <w:vAlign w:val="bottom"/>
            <w:tcBorders>
              <w:top w:val="single" w:sz="8" w:color="0E32E1"/>
            </w:tcBorders>
          </w:tcPr>
          <w:p>
            <w:pPr>
              <w:spacing w:after="0"/>
              <w:rPr>
                <w:sz w:val="13"/>
                <w:szCs w:val="13"/>
                <w:color w:val="auto"/>
              </w:rPr>
            </w:pPr>
          </w:p>
        </w:tc>
        <w:tc>
          <w:tcPr>
            <w:tcW w:w="980" w:type="dxa"/>
            <w:vAlign w:val="bottom"/>
            <w:tcBorders>
              <w:top w:val="single" w:sz="8" w:color="0E32E1"/>
            </w:tcBorders>
          </w:tcPr>
          <w:p>
            <w:pPr>
              <w:spacing w:after="0"/>
              <w:rPr>
                <w:sz w:val="13"/>
                <w:szCs w:val="13"/>
                <w:color w:val="auto"/>
              </w:rPr>
            </w:pPr>
          </w:p>
        </w:tc>
        <w:tc>
          <w:tcPr>
            <w:tcW w:w="360" w:type="dxa"/>
            <w:vAlign w:val="bottom"/>
            <w:tcBorders>
              <w:top w:val="single" w:sz="8" w:color="0E32E1"/>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380" w:type="dxa"/>
            <w:vAlign w:val="bottom"/>
            <w:tcBorders>
              <w:top w:val="single" w:sz="8" w:color="0E32E1"/>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6"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0"/>
        </w:trPr>
        <w:tc>
          <w:tcPr>
            <w:tcW w:w="16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7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E32E1"/>
                <w:w w:val="90"/>
              </w:rPr>
            </w:pPr>
            <w:hyperlink w:anchor="page7">
              <w:r>
                <w:rPr>
                  <w:rFonts w:ascii="Arial" w:cs="Arial" w:eastAsia="Arial" w:hAnsi="Arial"/>
                  <w:sz w:val="18"/>
                  <w:szCs w:val="18"/>
                  <w:u w:val="single" w:color="auto"/>
                  <w:color w:val="0E32E1"/>
                  <w:w w:val="90"/>
                </w:rPr>
                <w:t>Unaudited Condensed Consolidated Statements of Cash Flows for the</w:t>
              </w:r>
              <w:r>
                <w:rPr>
                  <w:rFonts w:ascii="Arial" w:cs="Arial" w:eastAsia="Arial" w:hAnsi="Arial"/>
                  <w:sz w:val="18"/>
                  <w:szCs w:val="18"/>
                  <w:color w:val="0E32E1"/>
                  <w:w w:val="90"/>
                </w:rPr>
                <w:t xml:space="preserve"> </w:t>
              </w:r>
            </w:hyperlink>
            <w:r>
              <w:rPr>
                <w:rFonts w:ascii="Arial" w:cs="Arial" w:eastAsia="Arial" w:hAnsi="Arial"/>
                <w:sz w:val="18"/>
                <w:szCs w:val="18"/>
                <w:color w:val="0E32E1"/>
                <w:w w:val="90"/>
              </w:rPr>
              <w:t xml:space="preserve">six months ended June 30, 2020 </w:t>
            </w:r>
            <w:hyperlink w:anchor="page7">
              <w:r>
                <w:rPr>
                  <w:rFonts w:ascii="Arial" w:cs="Arial" w:eastAsia="Arial" w:hAnsi="Arial"/>
                  <w:sz w:val="18"/>
                  <w:szCs w:val="18"/>
                  <w:u w:val="single" w:color="auto"/>
                  <w:color w:val="0E32E1"/>
                  <w:w w:val="90"/>
                </w:rPr>
                <w:t xml:space="preserve">and </w:t>
              </w:r>
            </w:hyperlink>
            <w:r>
              <w:rPr>
                <w:rFonts w:ascii="Arial" w:cs="Arial" w:eastAsia="Arial" w:hAnsi="Arial"/>
                <w:sz w:val="18"/>
                <w:szCs w:val="18"/>
                <w:color w:val="0E32E1"/>
                <w:w w:val="90"/>
              </w:rPr>
              <w:t>June 30, 2019</w:t>
            </w:r>
          </w:p>
        </w:tc>
        <w:tc>
          <w:tcPr>
            <w:tcW w:w="6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r>
      <w:tr>
        <w:trPr>
          <w:trHeight w:val="520"/>
        </w:trPr>
        <w:tc>
          <w:tcPr>
            <w:tcW w:w="1620" w:type="dxa"/>
            <w:vAlign w:val="bottom"/>
          </w:tcPr>
          <w:p>
            <w:pPr>
              <w:spacing w:after="0"/>
              <w:rPr>
                <w:sz w:val="24"/>
                <w:szCs w:val="24"/>
                <w:color w:val="auto"/>
              </w:rPr>
            </w:pPr>
          </w:p>
        </w:tc>
        <w:tc>
          <w:tcPr>
            <w:tcW w:w="5080" w:type="dxa"/>
            <w:vAlign w:val="bottom"/>
            <w:gridSpan w:val="8"/>
          </w:tcPr>
          <w:p>
            <w:pPr>
              <w:spacing w:after="0"/>
              <w:rPr>
                <w:rFonts w:ascii="Arial" w:cs="Arial" w:eastAsia="Arial" w:hAnsi="Arial"/>
                <w:sz w:val="18"/>
                <w:szCs w:val="18"/>
                <w:u w:val="single" w:color="auto"/>
                <w:color w:val="0000FF"/>
                <w:w w:val="94"/>
              </w:rPr>
            </w:pPr>
            <w:hyperlink w:anchor="page8">
              <w:r>
                <w:rPr>
                  <w:rFonts w:ascii="Arial" w:cs="Arial" w:eastAsia="Arial" w:hAnsi="Arial"/>
                  <w:sz w:val="18"/>
                  <w:szCs w:val="18"/>
                  <w:u w:val="single" w:color="auto"/>
                  <w:color w:val="0000FF"/>
                  <w:w w:val="94"/>
                </w:rPr>
                <w:t>Notes to Unaudited Condensed Consolidated Financial Statements</w:t>
              </w:r>
            </w:hyperlink>
          </w:p>
        </w:tc>
        <w:tc>
          <w:tcPr>
            <w:tcW w:w="2300" w:type="dxa"/>
            <w:vAlign w:val="bottom"/>
            <w:tcBorders>
              <w:top w:val="single" w:sz="8" w:color="0E32E1"/>
            </w:tcBorders>
            <w:gridSpan w:val="3"/>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Borders>
              <w:top w:val="single" w:sz="8" w:color="0E32E1"/>
            </w:tcBorders>
            <w:gridSpan w:val="4"/>
          </w:tcPr>
          <w:p>
            <w:pPr>
              <w:spacing w:after="0"/>
              <w:rPr>
                <w:sz w:val="24"/>
                <w:szCs w:val="24"/>
                <w:color w:val="auto"/>
              </w:rPr>
            </w:pPr>
          </w:p>
        </w:tc>
        <w:tc>
          <w:tcPr>
            <w:tcW w:w="160" w:type="dxa"/>
            <w:vAlign w:val="bottom"/>
            <w:gridSpan w:val="2"/>
          </w:tcPr>
          <w:p>
            <w:pPr>
              <w:spacing w:after="0"/>
              <w:rPr>
                <w:sz w:val="24"/>
                <w:szCs w:val="24"/>
                <w:color w:val="auto"/>
              </w:rPr>
            </w:pPr>
          </w:p>
        </w:tc>
        <w:tc>
          <w:tcPr>
            <w:tcW w:w="6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2.</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3.</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39</w:t>
              </w:r>
            </w:hyperlink>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4</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39</w:t>
              </w:r>
            </w:hyperlink>
          </w:p>
        </w:tc>
      </w:tr>
      <w:tr>
        <w:trPr>
          <w:trHeight w:val="499"/>
        </w:trPr>
        <w:tc>
          <w:tcPr>
            <w:tcW w:w="10520" w:type="dxa"/>
            <w:vAlign w:val="bottom"/>
            <w:gridSpan w:val="19"/>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PART II—OTHER INFORMATION</w:t>
              </w:r>
            </w:hyperlink>
          </w:p>
        </w:tc>
        <w:tc>
          <w:tcPr>
            <w:tcW w:w="660" w:type="dxa"/>
            <w:vAlign w:val="bottom"/>
          </w:tcPr>
          <w:p>
            <w:pPr>
              <w:spacing w:after="0"/>
              <w:rPr>
                <w:sz w:val="24"/>
                <w:szCs w:val="24"/>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1.</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40</w:t>
              </w:r>
            </w:hyperlink>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1.A.</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40</w:t>
              </w:r>
            </w:hyperlink>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2.</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41</w:t>
              </w:r>
            </w:hyperlink>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3.</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Defaults Upon Senior Securities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41</w:t>
              </w:r>
            </w:hyperlink>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4.</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Mine Safety Disclosures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41</w:t>
              </w:r>
            </w:hyperlink>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5.</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Other Information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41</w:t>
              </w:r>
            </w:hyperlink>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6.</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Exhibits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42</w:t>
              </w:r>
            </w:hyperlink>
          </w:p>
        </w:tc>
      </w:tr>
      <w:tr>
        <w:trPr>
          <w:trHeight w:val="499"/>
        </w:trPr>
        <w:tc>
          <w:tcPr>
            <w:tcW w:w="1620" w:type="dxa"/>
            <w:vAlign w:val="bottom"/>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SIGNATURES</w:t>
              </w:r>
            </w:hyperlink>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2019</w:t>
            </w:r>
          </w:p>
        </w:tc>
      </w:tr>
      <w:tr>
        <w:trPr>
          <w:trHeight w:val="251"/>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22,588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15,016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135,997</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14,267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13,413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14,729</w:t>
            </w:r>
          </w:p>
        </w:tc>
      </w:tr>
      <w:tr>
        <w:trPr>
          <w:trHeight w:val="237"/>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153,598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179,155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98,607</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70,848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109,537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282,410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1,786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48,383</w:t>
            </w:r>
          </w:p>
        </w:tc>
      </w:tr>
      <w:tr>
        <w:trPr>
          <w:trHeight w:val="263"/>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567,678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719,878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15,033</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77,308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81,389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6,593</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4,131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2,094</w:t>
            </w:r>
          </w:p>
        </w:tc>
      </w:tr>
      <w:tr>
        <w:trPr>
          <w:trHeight w:val="237"/>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100,493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109,240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230,661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248,120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13,043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21,290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41,523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42,163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391,215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433,856</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7900" w:type="dxa"/>
            <w:vAlign w:val="bottom"/>
          </w:tcPr>
          <w:p>
            <w:pPr>
              <w:ind w:left="140"/>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Common stock, $0.01 par value, 200,000,000 shares authorized, 29,110,362 and 28,945,472 shares issued</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289</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231,724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229,205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Retained earnings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77,613</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(21,285)</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285,822</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200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176,463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286,022</w:t>
            </w:r>
          </w:p>
        </w:tc>
      </w:tr>
      <w:tr>
        <w:trPr>
          <w:trHeight w:val="264"/>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567,678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719,878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4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67"/>
        </w:trPr>
        <w:tc>
          <w:tcPr>
            <w:tcW w:w="4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124,435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377,403</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77,954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135,063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191,278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257,480</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10,978</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41,158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60,071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81,802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108,945</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83,686</w:t>
            </w: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w w:val="95"/>
              </w:rPr>
              <w:t>Bad debt provision (benefit) for troubled customers, net of</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3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2,798</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106,062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3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534</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engineering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1,611</w:t>
            </w: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8,291</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1,002</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15,419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(111,611)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11,023</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7,106</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w w:val="92"/>
              </w:rPr>
              <w:t>Income (loss) before provision (benefit) for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(117,376)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3,917</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1,760</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(101,187)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2,157</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interests, net of taxes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(101,165)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2,138</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0.07</w:t>
            </w:r>
          </w:p>
        </w:tc>
      </w:tr>
      <w:tr>
        <w:trPr>
          <w:trHeight w:val="243"/>
        </w:trPr>
        <w:tc>
          <w:tcPr>
            <w:tcW w:w="45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0.07</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29,024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28,616</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29,085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28,862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29,024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28,918</w:t>
            </w:r>
          </w:p>
        </w:tc>
      </w:tr>
      <w:tr>
        <w:trPr>
          <w:trHeight w:val="27"/>
        </w:trPr>
        <w:tc>
          <w:tcPr>
            <w:tcW w:w="4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94"/>
        </w:trPr>
        <w:tc>
          <w:tcPr>
            <w:tcW w:w="4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3"/>
              </w:rPr>
              <w:t>11,092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(112,074)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comprehensive income (loss) attributable to non-</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controlling interest</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Mistras</w:t>
            </w:r>
          </w:p>
        </w:tc>
        <w:tc>
          <w:tcPr>
            <w:tcW w:w="960" w:type="dxa"/>
            <w:vAlign w:val="bottom"/>
            <w:tcBorders>
              <w:top w:val="single" w:sz="8" w:color="auto"/>
            </w:tcBorders>
            <w:vMerge w:val="restart"/>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83"/>
              </w:rPr>
              <w:t>11,082</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(112,046)</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35"/>
        </w:trPr>
        <w:tc>
          <w:tcPr>
            <w:tcW w:w="4540" w:type="dxa"/>
            <w:vAlign w:val="bottom"/>
          </w:tcPr>
          <w:p>
            <w:pPr>
              <w:ind w:left="20"/>
              <w:spacing w:after="0"/>
              <w:rPr>
                <w:sz w:val="20"/>
                <w:szCs w:val="20"/>
                <w:color w:val="auto"/>
              </w:rPr>
            </w:pPr>
            <w:r>
              <w:rPr>
                <w:rFonts w:ascii="Arial" w:cs="Arial" w:eastAsia="Arial" w:hAnsi="Arial"/>
                <w:sz w:val="18"/>
                <w:szCs w:val="18"/>
                <w:color w:val="auto"/>
              </w:rPr>
              <w:t>Group, Inc.</w:t>
            </w:r>
          </w:p>
        </w:tc>
        <w:tc>
          <w:tcPr>
            <w:tcW w:w="9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68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13"/>
                <w:szCs w:val="13"/>
                <w:color w:val="auto"/>
              </w:rPr>
            </w:pPr>
          </w:p>
        </w:tc>
        <w:tc>
          <w:tcPr>
            <w:tcW w:w="202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line="117"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89"/>
              </w:rPr>
              <w:t>Inc.</w:t>
            </w: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earnings</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paid-in capital</w:t>
            </w: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(deficit)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29,042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230,472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171,572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171,753</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(2,656)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(2,656)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(2,665)</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Other comprehensive income, net of tax</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6,122</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1,373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1,373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1,373</w:t>
            </w:r>
          </w:p>
        </w:tc>
        <w:tc>
          <w:tcPr>
            <w:tcW w:w="0" w:type="dxa"/>
            <w:vAlign w:val="bottom"/>
          </w:tcPr>
          <w:p>
            <w:pPr>
              <w:spacing w:after="0"/>
              <w:rPr>
                <w:sz w:val="1"/>
                <w:szCs w:val="1"/>
                <w:color w:val="auto"/>
              </w:rPr>
            </w:pPr>
          </w:p>
        </w:tc>
      </w:tr>
      <w:tr>
        <w:trPr>
          <w:trHeight w:val="190"/>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Net settlement of restricted stock units</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29,110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231,724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(23,552)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(32,172)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176,291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176,463</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4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2019</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28,627</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227,790</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66,260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(25,426)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268,910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269,096</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7,443</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w w:val="91"/>
              </w:rPr>
              <w:t>Other comprehensive income, net of tax</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3,649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3,649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3,647</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payments</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1,490</w:t>
            </w:r>
          </w:p>
        </w:tc>
        <w:tc>
          <w:tcPr>
            <w:tcW w:w="0" w:type="dxa"/>
            <w:vAlign w:val="bottom"/>
          </w:tcPr>
          <w:p>
            <w:pPr>
              <w:spacing w:after="0"/>
              <w:rPr>
                <w:sz w:val="1"/>
                <w:szCs w:val="1"/>
                <w:color w:val="auto"/>
              </w:rPr>
            </w:pPr>
          </w:p>
        </w:tc>
      </w:tr>
      <w:tr>
        <w:trPr>
          <w:trHeight w:val="183"/>
        </w:trPr>
        <w:tc>
          <w:tcPr>
            <w:tcW w:w="2140" w:type="dxa"/>
            <w:vAlign w:val="bottom"/>
          </w:tcPr>
          <w:p>
            <w:pPr>
              <w:ind w:left="20"/>
              <w:spacing w:after="0"/>
              <w:rPr>
                <w:sz w:val="20"/>
                <w:szCs w:val="20"/>
                <w:color w:val="auto"/>
              </w:rPr>
            </w:pPr>
            <w:r>
              <w:rPr>
                <w:rFonts w:ascii="Arial" w:cs="Arial" w:eastAsia="Arial" w:hAnsi="Arial"/>
                <w:sz w:val="13"/>
                <w:szCs w:val="13"/>
                <w:color w:val="auto"/>
                <w:w w:val="95"/>
              </w:rPr>
              <w:t>Net settlement of restricted stock units</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214"/>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2019</w:t>
            </w:r>
          </w:p>
        </w:tc>
        <w:tc>
          <w:tcPr>
            <w:tcW w:w="9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228,883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73,691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(21,777)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281,083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281,279</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2240" w:type="dxa"/>
            <w:vAlign w:val="bottom"/>
            <w:gridSpan w:val="5"/>
            <w:vMerge w:val="restart"/>
          </w:tcPr>
          <w:p>
            <w:pPr>
              <w:ind w:left="66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 Mistras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0"/>
              </w:rPr>
              <w:t>Group, Inc.</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14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Additional paid-in</w:t>
            </w:r>
          </w:p>
        </w:tc>
        <w:tc>
          <w:tcPr>
            <w:tcW w:w="118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Retained earnings</w:t>
            </w: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9"/>
                <w:szCs w:val="9"/>
                <w:color w:val="auto"/>
              </w:rPr>
            </w:pPr>
          </w:p>
        </w:tc>
        <w:tc>
          <w:tcPr>
            <w:tcW w:w="10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229,205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77,613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285,822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(101,165)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(101,165)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(101,187)</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Other comprehensive income, net of tax</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(10,893)</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2,798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2,798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Net settlement of restricted stock units</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29,110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231,724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(23,552)</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(32,172)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176,291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176,463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28,563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226,616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71,553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(27,557)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270,897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271,074</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2,138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2,138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2,157</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Other comprehensive income, net of tax</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5,780</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2,916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2,917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2,917</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Net settlement of restricted stock units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83"/>
        </w:trPr>
        <w:tc>
          <w:tcPr>
            <w:tcW w:w="21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14"/>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2019</w:t>
            </w:r>
          </w:p>
        </w:tc>
        <w:tc>
          <w:tcPr>
            <w:tcW w:w="10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228,883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73,691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(21,777)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281,083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281,279</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r>
      <w:tr>
        <w:trPr>
          <w:trHeight w:val="196"/>
        </w:trPr>
        <w:tc>
          <w:tcPr>
            <w:tcW w:w="73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0"/>
              </w:rPr>
              <w:t>(101,187)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2,157</w:t>
            </w:r>
          </w:p>
        </w:tc>
      </w:tr>
      <w:tr>
        <w:trPr>
          <w:trHeight w:val="197"/>
        </w:trPr>
        <w:tc>
          <w:tcPr>
            <w:tcW w:w="7360" w:type="dxa"/>
            <w:vAlign w:val="bottom"/>
          </w:tcPr>
          <w:p>
            <w:pPr>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17,997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19,269</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Impairment charges</w:t>
            </w:r>
          </w:p>
        </w:tc>
        <w:tc>
          <w:tcPr>
            <w:tcW w:w="9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106,062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income taxes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(14,327)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2,740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2,867</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Bad debt provision for troubled customers, net of recoveries</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2,798</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Fair value adjustments to contingent consideration</w:t>
            </w:r>
          </w:p>
        </w:tc>
        <w:tc>
          <w:tcPr>
            <w:tcW w:w="9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672</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(gain) loss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(395)</w:t>
            </w:r>
          </w:p>
        </w:tc>
      </w:tr>
      <w:tr>
        <w:trPr>
          <w:trHeight w:val="20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30,228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(8,792)</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Prepaid expenses and other assets</w:t>
            </w:r>
          </w:p>
        </w:tc>
        <w:tc>
          <w:tcPr>
            <w:tcW w:w="9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(625)</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4,945</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Accrued expenses and other liabilities</w:t>
            </w:r>
          </w:p>
        </w:tc>
        <w:tc>
          <w:tcPr>
            <w:tcW w:w="9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(988)</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 payable</w:t>
            </w: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589</w:t>
            </w:r>
          </w:p>
        </w:tc>
      </w:tr>
      <w:tr>
        <w:trPr>
          <w:trHeight w:val="190"/>
        </w:trPr>
        <w:tc>
          <w:tcPr>
            <w:tcW w:w="736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96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34,862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21,105</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6"/>
        </w:trPr>
        <w:tc>
          <w:tcPr>
            <w:tcW w:w="7360" w:type="dxa"/>
            <w:vAlign w:val="bottom"/>
          </w:tcPr>
          <w:p>
            <w:pPr>
              <w:ind w:left="120"/>
              <w:spacing w:after="0"/>
              <w:rPr>
                <w:sz w:val="20"/>
                <w:szCs w:val="20"/>
                <w:color w:val="auto"/>
              </w:rPr>
            </w:pPr>
            <w:r>
              <w:rPr>
                <w:rFonts w:ascii="Arial" w:cs="Arial" w:eastAsia="Arial" w:hAnsi="Arial"/>
                <w:sz w:val="14"/>
                <w:szCs w:val="14"/>
                <w:color w:val="auto"/>
              </w:rPr>
              <w:t>Purchase of property, plant and equipment</w:t>
            </w:r>
          </w:p>
        </w:tc>
        <w:tc>
          <w:tcPr>
            <w:tcW w:w="9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(7,443)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5"/>
              </w:rPr>
              <w:t>(11,562)</w:t>
            </w:r>
          </w:p>
        </w:tc>
      </w:tr>
      <w:tr>
        <w:trPr>
          <w:trHeight w:val="209"/>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of intangible assets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r>
      <w:tr>
        <w:trPr>
          <w:trHeight w:val="197"/>
        </w:trPr>
        <w:tc>
          <w:tcPr>
            <w:tcW w:w="7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sale of equipment</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955</w:t>
            </w:r>
          </w:p>
        </w:tc>
      </w:tr>
      <w:tr>
        <w:trPr>
          <w:trHeight w:val="202"/>
        </w:trPr>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(7,248)</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(11,048)</w:t>
            </w:r>
          </w:p>
        </w:tc>
      </w:tr>
      <w:tr>
        <w:trPr>
          <w:trHeight w:val="196"/>
        </w:trPr>
        <w:tc>
          <w:tcPr>
            <w:tcW w:w="73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finance lease obligations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(2,411)</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Proceeds from borrowings of long-term debt</w:t>
            </w:r>
          </w:p>
        </w:tc>
        <w:tc>
          <w:tcPr>
            <w:tcW w:w="9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566</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long-term debt</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(3,445)</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Proceeds from revolver</w:t>
            </w:r>
          </w:p>
        </w:tc>
        <w:tc>
          <w:tcPr>
            <w:tcW w:w="9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16,500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10,000</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revolver</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(30,250)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(27,200)</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Payment of financing costs</w:t>
            </w:r>
          </w:p>
        </w:tc>
        <w:tc>
          <w:tcPr>
            <w:tcW w:w="9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 of contingent consideration for business acquisitions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Taxes paid related to net share settlement of share-based awards</w:t>
            </w:r>
          </w:p>
        </w:tc>
        <w:tc>
          <w:tcPr>
            <w:tcW w:w="96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(681)</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r>
      <w:tr>
        <w:trPr>
          <w:trHeight w:val="190"/>
        </w:trPr>
        <w:tc>
          <w:tcPr>
            <w:tcW w:w="736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9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(20,337)</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5"/>
              </w:rPr>
              <w:t>(23,139)</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r>
      <w:tr>
        <w:trPr>
          <w:trHeight w:val="190"/>
        </w:trPr>
        <w:tc>
          <w:tcPr>
            <w:tcW w:w="7360" w:type="dxa"/>
            <w:vAlign w:val="bottom"/>
          </w:tcPr>
          <w:p>
            <w:pPr>
              <w:spacing w:after="0"/>
              <w:rPr>
                <w:sz w:val="20"/>
                <w:szCs w:val="20"/>
                <w:color w:val="auto"/>
              </w:rPr>
            </w:pPr>
            <w:r>
              <w:rPr>
                <w:rFonts w:ascii="Arial" w:cs="Arial" w:eastAsia="Arial" w:hAnsi="Arial"/>
                <w:sz w:val="14"/>
                <w:szCs w:val="14"/>
                <w:b w:val="1"/>
                <w:bCs w:val="1"/>
                <w:color w:val="auto"/>
              </w:rPr>
              <w:t>Net change in cash and cash equivalents</w:t>
            </w:r>
          </w:p>
        </w:tc>
        <w:tc>
          <w:tcPr>
            <w:tcW w:w="96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7,572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5"/>
              </w:rPr>
              <w:t>(13,043)</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9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15,016</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25,544</w:t>
            </w:r>
          </w:p>
        </w:tc>
      </w:tr>
      <w:tr>
        <w:trPr>
          <w:trHeight w:val="196"/>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end of period</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22,588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12,501</w:t>
            </w:r>
          </w:p>
        </w:tc>
      </w:tr>
      <w:tr>
        <w:trPr>
          <w:trHeight w:val="202"/>
        </w:trPr>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paid</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Interest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5,554</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7,016</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 net of refunds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2,565</w:t>
            </w:r>
          </w:p>
        </w:tc>
      </w:tr>
      <w:tr>
        <w:trPr>
          <w:trHeight w:val="197"/>
        </w:trPr>
        <w:tc>
          <w:tcPr>
            <w:tcW w:w="7360" w:type="dxa"/>
            <w:vAlign w:val="bottom"/>
          </w:tcPr>
          <w:p>
            <w:pPr>
              <w:spacing w:after="0"/>
              <w:rPr>
                <w:sz w:val="20"/>
                <w:szCs w:val="20"/>
                <w:color w:val="auto"/>
              </w:rPr>
            </w:pPr>
            <w:r>
              <w:rPr>
                <w:rFonts w:ascii="Arial" w:cs="Arial" w:eastAsia="Arial" w:hAnsi="Arial"/>
                <w:sz w:val="14"/>
                <w:szCs w:val="14"/>
                <w:b w:val="1"/>
                <w:bCs w:val="1"/>
                <w:color w:val="auto"/>
              </w:rPr>
              <w:t>Noncash investing and financing</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 acquired through finance lease obligations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2,887</w:t>
            </w:r>
          </w:p>
        </w:tc>
      </w:tr>
    </w:tbl>
    <w:p>
      <w:pPr>
        <w:spacing w:after="0" w:line="33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public infrastructure and commercial aerospace components.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which continues to spread throughout the United States. The COVID-19 pandemic has caused significant volatility in domestic and international markets. There is on-going uncertainty around the breadth and duration of business disruptions related to COVID-19, as well as its impact on the U.S. and international economies. In addition, oil prices have dropped significantly, and airline traffic has experienced a significant decline. In response to the COVID-19 pandemic, companies within the oil and gas and aerospace industries (including our customers) have announced spending cuts and/or slowdowns (or temporary cessation) in production which, in turn, may result in decreases in awards of new contracts or adjustments, reductions, suspensions or cancellations of existing contracts. These declines were driven in large measure by various factors surrounding the COVID-19 pandemic and, in the case of the oil and gas market, other macroeconomic events such as the geopolitical tensions between OPEC and Russia.</w:t>
      </w:r>
    </w:p>
    <w:p>
      <w:pPr>
        <w:spacing w:after="0" w:line="20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COVID-19 pandemic, significant volatility in oil prices and decreased traffic in the aerospace industry have adversely affected the Company's workforce and operations, as well as the operations of its customers, suppliers and contractors. These negative factors have also resulted in significant volatility and uncertainty in the markets in which the Company operates. To successfully navigate through this unprecedented period, the Company continues to focus on the following key priorities:</w:t>
      </w:r>
    </w:p>
    <w:p>
      <w:pPr>
        <w:spacing w:after="0" w:line="2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Ensuring the health and safety of its employees and those of its customers and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business continuity and financial strength and stability;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Serving its customers as they provide essential products and services to the world.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While the Company cannot fully assess the impact that the factors discussed above will have on its operations at this time, there are certain impacts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has identified:</w:t>
      </w:r>
    </w:p>
    <w:p>
      <w:pPr>
        <w:spacing w:after="0" w:line="292" w:lineRule="exact"/>
        <w:rPr>
          <w:sz w:val="20"/>
          <w:szCs w:val="20"/>
          <w:color w:val="auto"/>
        </w:rPr>
      </w:pPr>
    </w:p>
    <w:p>
      <w:pPr>
        <w:jc w:val="both"/>
        <w:ind w:left="660" w:right="160" w:hanging="328"/>
        <w:spacing w:after="0" w:line="299"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financial market volatility that resulted from COVID-19 and the volatility in oil prices required the Company to reassess the goodwill it had recorded related to various prior acquisitions under the guidance of ASC 350 during the first quarter of 2020. The Company determined that the fair values of various reporting units were less than their carrying values (including goodwill). As a result, the Company recorded an impairment charge related to goodwill of approximately $77.1 million during the three months ended March 31, 2020. See Note 8–</w:t>
      </w:r>
      <w:r>
        <w:rPr>
          <w:rFonts w:ascii="Arial" w:cs="Arial" w:eastAsia="Arial" w:hAnsi="Arial"/>
          <w:sz w:val="16"/>
          <w:szCs w:val="16"/>
          <w:i w:val="1"/>
          <w:iCs w:val="1"/>
          <w:color w:val="auto"/>
        </w:rPr>
        <w:t>Goodwill</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right="40" w:hanging="328"/>
        <w:spacing w:after="0" w:line="30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same events required the Company to reassess the tangible and intangible assets recorded under the guidance of ASC 360 during the first quarter of 2020. The Company determined that the fair values of certain asset groups were less than their carrying values (excluding goodwill). As a result, the Company recorded impairment charges related to intangible assets of approximately $28.8 million and a right-of-use asset of approximately $0.2 million during the three months ended March 31, 2020. See Note 9–</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and Note 13–</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To respond to the economic downturn resulting from the factors discussed above, in March 2020 the Company initiated a cost reduction and efficiency program. As part of this program, named executive officers of the Company have voluntarily taken temporary salary reductions ranging from 25% to 45% of their base salary. In addition, the Company instituted a reduction for certain other salaried employees, at lower percentages, and suspended the Company's voluntary match under the Company sponsored savings plans for its U.S. and Canadian employees. These reductions became effective at the beginning of the second quarter of 2020 and, except for the salary reductions for certain lower salaried employees, will continue through the third quarter. At the end of the third quarter, management will assess whether to change these cost saving measures. In addition, the Company’s non-employee directors voluntarily agreed to a $3,750 reduction in their second and third quarter 2020 payments.</w:t>
      </w:r>
    </w:p>
    <w:p>
      <w:pPr>
        <w:spacing w:after="0" w:line="19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may have on its business, results of operations, liquidity or in other ways which the Company cannot yet determine. The Company will continue to monitor market conditions and respond accordingly.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Unaudited Condensed Consolidated Financial Statements contained in this report have been prepared in conformity with U.S. generally accepted accounting principles ("GAAP"). In the opinion of management, the Unaudited Condensed Consolidated Financial Statements include all adjustments, which are of a normal recurring nature, necessary for a fair presentation of the results for the interim periods of the years ending December 31, 2020 and December 31, 2019.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2019 Annual Report on Form 10-K ("2019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and six months ended June 30, 2020 and 2019, no customer represented 10% or more of the Company's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i w:val="1"/>
          <w:iCs w:val="1"/>
          <w:color w:val="auto"/>
        </w:rPr>
        <w:t>Summary of Significant Accounting Policies and Practices</w:t>
      </w:r>
      <w:r>
        <w:rPr>
          <w:rFonts w:ascii="Arial" w:cs="Arial" w:eastAsia="Arial" w:hAnsi="Arial"/>
          <w:sz w:val="18"/>
          <w:szCs w:val="18"/>
          <w:color w:val="auto"/>
        </w:rPr>
        <w:t xml:space="preserve"> in the 2019 Annual Report. On an ongoing basis, the Company evaluates its estimates and assumptions, including among other things, those related to revenue recognition, long-lived assets, goodwill and acquisitions. Since the date of the 2019 Annual Report, there have been no material changes to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 ASC 740-270, Income Taxes-Interim Reporting, requires the Company to use an estimated annual effective tax rate (EAETR) for calculating its tax provision for interim periods. At each interim period, the Company is required, with certain exceptions and limitations, to estimate its forecasted worldwide EAETR, which is applied to the Company's year-to-date consolidated ordinary income or loss resulting in the year-to-date income tax provision before considering items not included in ordinary income or loss. The tax effects of events or transactions not considered to represent ordinary income or loss are accounted for discretely in the interim period and are not included in the determination of the EAETR.</w:t>
      </w:r>
    </w:p>
    <w:p>
      <w:pPr>
        <w:spacing w:after="0" w:line="19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response to the COVID-19 pandemic, the Coronavirus Aid, Relief and Economic Security Act (“CARES Act”) was signed into law on March 27, 2020. The CARES Act, among other things, includes tax provisions relating to deferment of employer’s social security payments, net operating loss utilization and carryback periods, modifications to the net interest deduction limitations and technical corrections to tax depreciation methods for qualified improvement property (QIP). The ultimate impact of the CARES Act may differ from the estimated impact the Company recorded during this interim period due to changes in interpretations and guidance that may be issued and actions the Company may take in response to the CARES Act. The Company will continue to assess the impact that various provisions of the CARES Act, and how they are interpreted and effected, will have on its business.</w:t>
      </w:r>
    </w:p>
    <w:p>
      <w:pPr>
        <w:spacing w:after="0" w:line="19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continues to evaluate its deferred tax assets each period to determine if a valuation allowance is required based on whether it is more likely than not that some portion of these deferred tax assets will not be realized. As of June 30, 2020, management concluded that it is more likely than not that a substantial portion of the Company's deferred tax assets will be realized. As part of the Company's analysis, it considered both positive and negative factors that impact profitability and whether those factors would lead to a change in the estimate of the Company's deferred tax assets that may be realized in the future. In the current period, the impact of the COVID-19 pandemic on the Company's business was more pronounced given the pandemic spanned the full quarter. The Company will continue to monitor the impacts of the COVID-19 pandemic on its business, and any sustained or prolonged reductions in future earnings periods may change the Company's conclusions on whether it is more likely than not to realize portions of the Company's deferred tax assets.</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effective income tax rate was approximately 21% and 37% for the three months ended June 30, 2020 and 2019, respectively. The Company’s effective income tax rate was approximately 14% and 45% for the six months ended June 30, 2020 and 2019, respectively. The effective income tax rate for the second quarter of 2020 approximated the statutory rate, as the favorable impact of the CARES Act was offset by the unfavorable impact of taxes in other jurisdictions and other permanent book to tax differences. The effective income tax rate for the first six-months of 2020 was lower than the statutory rate primarily due to impairments for which the Company will not realize income tax benefits, partially offset by income tax benefits of the CARES Act. The CARES Act provides a five-year carryback of net operating losses generated in years 2018 through 2020. As the statutory federal income tax rate applicable to certain years within the carryback period is 35%, carryback to those years of the Company's estimated 2020 annual federal tax loss provides a tax benefit in excess of the current federal statutory rate of 21%, resulting in an increased income tax benefit. The Company projects that the income tax effects of the CARES Act will result in additional income tax benefit recognized throughout the 2020 tax year and a cash refund in 2021 of taxes paid in prior years. The effective income tax rate for the three and six months ended June 30, 2019 was higher than the statutory rate due to the impact of discrete items, the global intangible low-taxed income (GILTI), and executive compensation, and other provisions resulting from the December 22, 2017 passage of the Tax Cuts and Jobs Act and foreign tax rates different than statutory rates in the U.S.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ASU 2019-12 simplifies the accounting for income taxes by eliminating certain exceptions related to the approach for intra-period tax allocation, the methodology for calculating income taxes in an interim period, and the recognition of deferred tax liabilities related to outside basis differences. The standard is effective for interim and annual periods beginning January 1, 2021, with certain amendments applied prospectively and others requiring retrospective application. Early adoption is permitted, with any adjustments reflected as of the beginning of the fiscal year of adoption. If early adoption is elected, all changes as a result of the standard must be adopted in the same period. The Company is currently evaluating the impact of this guidance on its consolidated financial position, results of operations, and cash flows.</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the impact of this guidance on its consolidated financial position, results of operations, and cash flows.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which are generally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the Company's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the Company's contracts have multiple performance obligations, most commonly due to the contract providing both goods and services. For contracts with multiple performance obligations, the Company allocates the contract’s transaction price to each performance obligation using its best estimate of the standalone selling price of each distinct good or service in the contract. The primary method used to estimate standalone selling price is a relative selling price based on price lists.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recognized over time as work progresses is related to its service deliverables, which includes providing testing, inspection and mechanical services to the Company's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majority of the Company's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majority of the Company's revenue are short-term in nature. The Company has many master service agreements (MSAs) that specify an overall framework and contract terms when the Company and customers agree upon services or products to be provided. The actual contracting to provide services or furnish products is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 thus creating a loss, a provision for the total estimated loss is recorded in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66,686</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14,248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17,994</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14,534</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9,503</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7,683</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6,914</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1,121</w:t>
            </w:r>
          </w:p>
        </w:tc>
      </w:tr>
      <w:tr>
        <w:trPr>
          <w:trHeight w:val="26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100,677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124,435</w:t>
            </w:r>
          </w:p>
        </w:tc>
      </w:tr>
      <w:tr>
        <w:trPr>
          <w:trHeight w:val="21"/>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1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121,335</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13,511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24,330</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25,744</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11,470</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8,956</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6,382</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2,399</w:t>
            </w:r>
          </w:p>
        </w:tc>
      </w:tr>
      <w:tr>
        <w:trPr>
          <w:trHeight w:val="264"/>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161,210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200,616</w:t>
            </w: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4"/>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159,184</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28,900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40,208</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32,808</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17,149</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15,810</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14,452</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4,289</w:t>
            </w:r>
          </w:p>
        </w:tc>
      </w:tr>
      <w:tr>
        <w:trPr>
          <w:trHeight w:val="26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229,550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50,410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283,900</w:t>
            </w: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1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222,721</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26,305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22,158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49,085</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47,375</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14,614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20,535</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17,521</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12,551</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7,615</w:t>
            </w:r>
          </w:p>
        </w:tc>
      </w:tr>
      <w:tr>
        <w:trPr>
          <w:trHeight w:val="26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301,507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72,252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377,403</w:t>
            </w: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2020</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89,608</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12,984</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20,220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1,623</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100,677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21,343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124,435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792"/>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30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4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133,640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28,804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30,354</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33,975</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2,647</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161,210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37,090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200,616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35"/>
        </w:trPr>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4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197,786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200,191</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30,781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33,349</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46,524</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3,836</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229,550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50,410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283,900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792"/>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30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4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245,015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247,742</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59,301</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65,600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4,760</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301,507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72,252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377,403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Condensed Consolidated Balance Sheets at the end of each reporting period within accounts receivables or accrued expenses and other current liabilities.</w:t>
      </w:r>
    </w:p>
    <w:p>
      <w:pPr>
        <w:spacing w:after="0" w:line="19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Revenue recognized during the six months ended June 30, 2020 and 2019 that was included in the contract liability balance at the beginning of such year was $3.2 million and $2.7 million, respectively. Changes in the contract asset and liability balances during these periods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Compensation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awards granted under the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 million, for a total of 3.7 million shares that may be issued under the 2016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and six months ended June 30, 2020 and 2019, the Company did not recognize any share-based compensation expense related to stock option awards, as all outstanding stock options awards were then already fully vested. No unrecognized compensation costs remained related to stock option awards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the stock option activity, weighted-average exercise prices and options outstanding as of June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40"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23495</wp:posOffset>
            </wp:positionV>
            <wp:extent cx="4063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6"/>
              </w:rPr>
              <w:t>2020</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10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100" w:type="dxa"/>
            <w:vAlign w:val="bottom"/>
          </w:tcPr>
          <w:p>
            <w:pPr>
              <w:jc w:val="center"/>
              <w:ind w:left="328"/>
              <w:spacing w:after="0" w:line="135"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48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5"/>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Expired or forfeited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three months ended June 30, 2020 and June 30, 2019, the Company recognized share-based compensation expense related to restricted stock unit awards of $1.4 million and $1.1 million, respectively. For the six months ended June 30, 2020 and June 30, 2019, the Company recognized share-based compensation expense related to restricted stock unit awards of $2.1 million and $2.0 million, respectively. As of June 30, 2020, there was $6.6 million of unrecognized compensation costs, net of estimated forfeitures, related to restricted stock unit awards, which is expected to be recognized over a remaining weighted-average period of 2.3 years. Upon vesting, restricted stock units are generally net share-settled to cover the required withholding tax and the remaining amount is converted into an equivalent number of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1020" w:type="dxa"/>
            <w:vAlign w:val="bottom"/>
          </w:tcPr>
          <w:p>
            <w:pPr>
              <w:jc w:val="right"/>
              <w:ind w:right="82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1,052</w:t>
            </w:r>
          </w:p>
        </w:tc>
      </w:tr>
    </w:tbl>
    <w:p>
      <w:pPr>
        <w:spacing w:after="0" w:line="364"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1060" w:type="dxa"/>
            <w:vAlign w:val="bottom"/>
          </w:tcPr>
          <w:p>
            <w:pPr>
              <w:jc w:val="right"/>
              <w:ind w:right="86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210</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as follows:</w:t>
      </w:r>
    </w:p>
    <w:p>
      <w:pPr>
        <w:spacing w:after="0" w:line="55"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23495</wp:posOffset>
            </wp:positionV>
            <wp:extent cx="4063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2019</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960" w:type="dxa"/>
            <w:vAlign w:val="bottom"/>
            <w:vMerge w:val="restart"/>
          </w:tcPr>
          <w:p>
            <w:pPr>
              <w:ind w:left="600"/>
              <w:spacing w:after="0"/>
              <w:rPr>
                <w:sz w:val="20"/>
                <w:szCs w:val="20"/>
                <w:color w:val="auto"/>
              </w:rPr>
            </w:pPr>
            <w:r>
              <w:rPr>
                <w:rFonts w:ascii="Arial" w:cs="Arial" w:eastAsia="Arial" w:hAnsi="Arial"/>
                <w:sz w:val="14"/>
                <w:szCs w:val="14"/>
                <w:b w:val="1"/>
                <w:bCs w:val="1"/>
                <w:color w:val="auto"/>
                <w:w w:val="97"/>
              </w:rPr>
              <w:t>Units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Grant-Date</w:t>
            </w:r>
          </w:p>
        </w:tc>
        <w:tc>
          <w:tcPr>
            <w:tcW w:w="14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Outstanding at beginning of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559</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rPr>
              <w:t>443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334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00"/>
              <w:spacing w:after="0"/>
              <w:rPr>
                <w:sz w:val="20"/>
                <w:szCs w:val="20"/>
                <w:color w:val="auto"/>
              </w:rPr>
            </w:pPr>
            <w:r>
              <w:rPr>
                <w:rFonts w:ascii="Arial" w:cs="Arial" w:eastAsia="Arial" w:hAnsi="Arial"/>
                <w:sz w:val="18"/>
                <w:szCs w:val="18"/>
                <w:color w:val="auto"/>
              </w:rPr>
              <w:t>Released</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(143)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420" w:type="dxa"/>
            <w:vAlign w:val="bottom"/>
          </w:tcPr>
          <w:p>
            <w:pPr>
              <w:ind w:left="1100"/>
              <w:spacing w:after="0"/>
              <w:rPr>
                <w:sz w:val="20"/>
                <w:szCs w:val="20"/>
                <w:color w:val="auto"/>
              </w:rPr>
            </w:pPr>
            <w:r>
              <w:rPr>
                <w:rFonts w:ascii="Arial" w:cs="Arial" w:eastAsia="Arial" w:hAnsi="Arial"/>
                <w:sz w:val="18"/>
                <w:szCs w:val="18"/>
                <w:color w:val="auto"/>
                <w:w w:val="93"/>
              </w:rPr>
              <w:t>(77)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3"/>
              </w:rPr>
              <w:t>(23)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63"/>
        </w:trPr>
        <w:tc>
          <w:tcPr>
            <w:tcW w:w="47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9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677</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 For 2019, three metrics, as defined: (1) Operating Income, (2) Adjusted EBITDAS (defined as net income attributable to MISTRAS Group, Inc.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 and (3) Revenue. There also is a discretionary portion of the PRSUs based on individual performance, granted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2020, the Compensation Committee changed the criteria for the PRSUs to four metrics, with no discretionary portion. Revenue and Adjusted EBITDAS are being retained, and two additional metrics, free cash flow as a percentage of revenue and return on average book equity, will replace Operating Income. These two newly-added metrics are relative metrics, the performance of which are based upon how the Company performs relative to a peer group.</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equity-classified.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55"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23495</wp:posOffset>
            </wp:positionV>
            <wp:extent cx="40633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2019</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Grant-Date</w:t>
            </w:r>
          </w:p>
        </w:tc>
        <w:tc>
          <w:tcPr>
            <w:tcW w:w="14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5780" w:type="dxa"/>
            <w:vAlign w:val="bottom"/>
            <w:gridSpan w:val="2"/>
          </w:tcPr>
          <w:p>
            <w:pPr>
              <w:spacing w:after="0"/>
              <w:rPr>
                <w:sz w:val="20"/>
                <w:szCs w:val="20"/>
                <w:color w:val="auto"/>
              </w:rPr>
            </w:pPr>
            <w:r>
              <w:rPr>
                <w:rFonts w:ascii="Arial" w:cs="Arial" w:eastAsia="Arial" w:hAnsi="Arial"/>
                <w:sz w:val="18"/>
                <w:szCs w:val="18"/>
                <w:color w:val="auto"/>
              </w:rPr>
              <w:t>Outstanding at beginning of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Performance condition adjustments</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During the six months ended June 30, 2020 and June 30, 2019, the Compensation Committee approved the final calculation of the award metrics for calendar year 2019 and calendar year 2018, respectively. As a result, the calendar year 2019 PRSUs increased by approximately 1,000 units and the calendar year 2018 PRSUs decreased by approximately 3,000 units. As of June 30, 2020, the final revenue and adjusted EBITDA metrics were not finalized related to the 2020 grant, therefore, approximately 146 thousand shares were liability classified at June 30, 2020. The liability at June 30, 2020 was less than $0.1 million. The revenue and adjusted EBITDA metrics were finalized in August 2020.</w:t>
      </w:r>
    </w:p>
    <w:p>
      <w:pPr>
        <w:spacing w:after="0" w:line="20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the three months ended June 30, 2020 and June 30, 2019, the Company recognized aggregate share-based compensation expense related to the awards described above of approximately $0.3 million and $0.4 million, respectively. For the six months ended June 30, 2020 and June 30, 2019, the Company recognized aggregate share-based compensation expense related to the awards described above of approximately $0.6 million and $0.7 million, respectively. At June 30, 2020, there was $2.0 million of total unrecognized compensation costs related to approximately 474,000 non-vested PRSUs, which is expected to be recognized over a remaining weighted-average period of 2.5 years.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Basic earnings (loss)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0"/>
        </w:trPr>
        <w:tc>
          <w:tcPr>
            <w:tcW w:w="4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 attributable to Mistras Group, Inc.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29,085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28,657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29,024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28,616</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(101,165)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29,024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28,616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outstanding</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 outstanding</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89"/>
        </w:trPr>
        <w:tc>
          <w:tcPr>
            <w:tcW w:w="48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29,085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28,862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29,024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28,918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520" w:hanging="172"/>
        <w:spacing w:after="0" w:line="248"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the three and six months ended June 30, 2020, 118 thousand shares and 223 thousand shares related to restricted stock were excluded from the calculation of diluted EPS due to the net loss for the period.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did not complete any acquisitions during the six months ended June 30, 2020 or 2019. During September 2019, the Company completed one acquisition that provides pipeline integrity management software and services to energy transportation companies. The Company acquired all the equity interest of the acquiree in exchange for aggregate consideration of $4.4 million in cash, contingent consideration of up to $4.3 million to be earned based upon the acquired business achieving specific performance metrics over the initial three years of operations from the acquisition date and working capital adjustments. The goodwill recorded is primarily attributable to expected synergies and is generally fully deductible for tax purposes. The Company is still in the process of completing its valuation of the assets acquired and liabilities assumed. The Company accounted for this transaction in accordance with the acquisition method of accounting for business combinations.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estimated fair value of the assets acquired and liabilities assumed, the Company's allocation of purchase price and any subsequent adjustments made for the September 2019 acquisition: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4,380</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Working capital adjustments</w:t>
            </w: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1,142</w:t>
            </w:r>
          </w:p>
        </w:tc>
      </w:tr>
      <w:tr>
        <w:trPr>
          <w:trHeight w:val="263"/>
        </w:trPr>
        <w:tc>
          <w:tcPr>
            <w:tcW w:w="9920" w:type="dxa"/>
            <w:vAlign w:val="bottom"/>
          </w:tcPr>
          <w:p>
            <w:pPr>
              <w:ind w:left="120"/>
              <w:spacing w:after="0"/>
              <w:rPr>
                <w:sz w:val="20"/>
                <w:szCs w:val="20"/>
                <w:color w:val="auto"/>
              </w:rPr>
            </w:pPr>
            <w:r>
              <w:rPr>
                <w:rFonts w:ascii="Arial" w:cs="Arial" w:eastAsia="Arial" w:hAnsi="Arial"/>
                <w:sz w:val="18"/>
                <w:szCs w:val="18"/>
                <w:color w:val="auto"/>
              </w:rPr>
              <w:t>Total consideration</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5,370</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9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Current net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142</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65</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3,594</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1,535</w:t>
            </w:r>
          </w:p>
        </w:tc>
      </w:tr>
      <w:tr>
        <w:trPr>
          <w:trHeight w:val="27"/>
        </w:trPr>
        <w:tc>
          <w:tcPr>
            <w:tcW w:w="9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5,370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six months ended June 30, 2020 and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w w:val="97"/>
              </w:rPr>
              <w:t>Adjustments to fair value of contingent consideration liabilities</w:t>
            </w:r>
          </w:p>
        </w:tc>
        <w:tc>
          <w:tcPr>
            <w:tcW w:w="104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672</w:t>
            </w:r>
          </w:p>
        </w:tc>
      </w:tr>
      <w:tr>
        <w:trPr>
          <w:trHeight w:val="27"/>
        </w:trPr>
        <w:tc>
          <w:tcPr>
            <w:tcW w:w="4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1,002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2019</w:t>
            </w:r>
          </w:p>
        </w:tc>
      </w:tr>
      <w:tr>
        <w:trPr>
          <w:trHeight w:val="40"/>
        </w:trPr>
        <w:tc>
          <w:tcPr>
            <w:tcW w:w="80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111,658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144,282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(8,285)</w:t>
            </w:r>
          </w:p>
        </w:tc>
      </w:tr>
      <w:tr>
        <w:trPr>
          <w:trHeight w:val="27"/>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103,698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135,997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had $16.6 million and $22.2 million of unbilled revenue accrued as of June 30, 2020 and December 31, 2019, respectively. These amounts are included in the trade accounts receivable balances above. Unbilled revenue is generally billed in the subsequent quarter to their revenue recognition.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was contracted to perform inspections of welds on various pipeline projects in Texas for a customer. As of June 30, 2020,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Accordingly, the Company recorded a full reserve in the amount of $1.4 million during the second half of 2019 for these past due receivables. The status of the dispute has not changed during 2020. See Note 14–</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details.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fourth quarter of 2018, the Company recorded a reserve of $0.7 million for a renewable energy industry customer, based in part on the available information about the financial difficulties of the customer. During the first quarter of 2019, the Company recorded an additional charge of $5.7 million to fully reserve for the amount of the exposure related to this customer. This customer filed for a voluntary insolvency proceeding on April 9, 2019. During the second quarter of 2019, the Company reversed $1.0 million of this reserve based on additional information obtained during the quarter. The status of the dispute has not changed since the second quarter of 2019.</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2019, the Company sold to an unaffiliated third party, without recourse, its remaining outstanding receivables owed from a customer which filed for bankruptcy, and for which the Company had initially recorded a charge during the second quarter of 2017. During the first quarter of 2019, the Company recorded a recovery of $0.2 million and during the second quarter of 2019, the Company recorded a recovery $1.7 million, related to a bad debt provision for the receivables due from this customer. This matter is considered fully resolved.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4"/>
                <w:szCs w:val="14"/>
                <w:color w:val="auto"/>
              </w:rPr>
            </w:pPr>
          </w:p>
        </w:tc>
        <w:tc>
          <w:tcPr>
            <w:tcW w:w="13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24,543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24,537</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19,465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227,671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225,974</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274,348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270,410</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(181,110)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(171,803)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93,238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98,607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for the three months ended June 30, 2020 and 2019 was approximately $6.0 million and $6.1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six months ended June 30, 2020 and June 30, 2019 was $12.1 million and $12.2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Products and Systems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35,195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282,410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(77,089)</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(6,044)</w:t>
            </w:r>
          </w:p>
        </w:tc>
      </w:tr>
      <w:tr>
        <w:trPr>
          <w:trHeight w:val="263"/>
        </w:trPr>
        <w:tc>
          <w:tcPr>
            <w:tcW w:w="482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184,725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14,552</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199,277</w:t>
            </w:r>
          </w:p>
        </w:tc>
      </w:tr>
      <w:tr>
        <w:trPr>
          <w:trHeight w:val="21"/>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as of the testing date for each reporting unit as of March 31, 2020 (“testing date”). During the first quarter of 2020, the Company also performed an analysis to determine any impairment of long-lived assets (see Note 9–</w:t>
      </w:r>
      <w:r>
        <w:rPr>
          <w:rFonts w:ascii="Arial" w:cs="Arial" w:eastAsia="Arial" w:hAnsi="Arial"/>
          <w:sz w:val="17"/>
          <w:szCs w:val="17"/>
          <w:i w:val="1"/>
          <w:iCs w:val="1"/>
          <w:color w:val="auto"/>
        </w:rPr>
        <w:t>Intangible assets</w:t>
      </w:r>
      <w:r>
        <w:rPr>
          <w:rFonts w:ascii="Arial" w:cs="Arial" w:eastAsia="Arial" w:hAnsi="Arial"/>
          <w:sz w:val="17"/>
          <w:szCs w:val="17"/>
          <w:color w:val="auto"/>
        </w:rPr>
        <w:t>) as well based on the triggering events noted above.</w:t>
      </w:r>
    </w:p>
    <w:p>
      <w:pPr>
        <w:spacing w:after="0" w:line="20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9"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with cash flows beyond the specific operating plans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market recovery,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w:t>
      </w:r>
    </w:p>
    <w:p>
      <w:pPr>
        <w:spacing w:after="0" w:line="21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market approach valuations were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the Company recorded an aggregate impairment charge of $77.1 million, which included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Unaudited Condensed Consolidated Statements of Income (Loss) for the six months ended June 30, 2020. Subsequent to March 31, 2020 through June 30, 2020,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cumulative goodwill impairment as of June 30, 2020 was $100.2 million, of which $57.2 million related to the Services segment, $29.8 million related to the International segment and $13.2 million related to the Products and Systems segment. The Company's cumulative goodwill impairment as of December 31, 2019 was $23.1 million, of which $13.2 million related to the Products and Systems segment and $9.9 million related to the International segment.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2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Customer relationships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112,813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(70,370)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40,237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113,861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(67,853)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46,008</w:t>
            </w:r>
          </w:p>
        </w:tc>
        <w:tc>
          <w:tcPr>
            <w:tcW w:w="0" w:type="dxa"/>
            <w:vAlign w:val="bottom"/>
          </w:tcPr>
          <w:p>
            <w:pPr>
              <w:spacing w:after="0"/>
              <w:rPr>
                <w:sz w:val="1"/>
                <w:szCs w:val="1"/>
                <w:color w:val="auto"/>
              </w:rPr>
            </w:pPr>
          </w:p>
        </w:tc>
      </w:tr>
      <w:tr>
        <w:trPr>
          <w:trHeight w:val="270"/>
        </w:trPr>
        <w:tc>
          <w:tcPr>
            <w:tcW w:w="1720" w:type="dxa"/>
            <w:vAlign w:val="bottom"/>
          </w:tcPr>
          <w:p>
            <w:pPr>
              <w:ind w:left="20"/>
              <w:spacing w:after="0"/>
              <w:rPr>
                <w:sz w:val="20"/>
                <w:szCs w:val="20"/>
                <w:color w:val="auto"/>
              </w:rPr>
            </w:pPr>
            <w:r>
              <w:rPr>
                <w:rFonts w:ascii="Arial" w:cs="Arial" w:eastAsia="Arial" w:hAnsi="Arial"/>
                <w:sz w:val="18"/>
                <w:szCs w:val="18"/>
                <w:color w:val="auto"/>
                <w:w w:val="99"/>
              </w:rPr>
              <w:t>Software/Technology</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74,899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(21,365)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(25,874)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27,660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77,914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(18,756)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59,158</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compete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12,688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12,795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0"/>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2-12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10,864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(8,041)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10,813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211,264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70,848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215,383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(105,846)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109,537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As described in Note 8–</w:t>
      </w:r>
      <w:r>
        <w:rPr>
          <w:rFonts w:ascii="Arial" w:cs="Arial" w:eastAsia="Arial" w:hAnsi="Arial"/>
          <w:sz w:val="16"/>
          <w:szCs w:val="16"/>
          <w:i w:val="1"/>
          <w:iCs w:val="1"/>
          <w:color w:val="auto"/>
        </w:rPr>
        <w:t>Goodwill</w:t>
      </w:r>
      <w:r>
        <w:rPr>
          <w:rFonts w:ascii="Arial" w:cs="Arial" w:eastAsia="Arial" w:hAnsi="Arial"/>
          <w:sz w:val="16"/>
          <w:szCs w:val="16"/>
          <w:color w:val="auto"/>
        </w:rPr>
        <w:t>, during the first quarter of 2020, there were negative market indicators that were determined to be triggering events indicating a potential impairment of certain long-lived assets within asset groups in the Services, International, Products and Corporate segments.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13–</w:t>
      </w:r>
      <w:r>
        <w:rPr>
          <w:rFonts w:ascii="Arial" w:cs="Arial" w:eastAsia="Arial" w:hAnsi="Arial"/>
          <w:sz w:val="16"/>
          <w:szCs w:val="16"/>
          <w:i w:val="1"/>
          <w:iCs w:val="1"/>
          <w:color w:val="auto"/>
        </w:rPr>
        <w:t>Leases</w:t>
      </w:r>
      <w:r>
        <w:rPr>
          <w:rFonts w:ascii="Arial" w:cs="Arial" w:eastAsia="Arial" w:hAnsi="Arial"/>
          <w:sz w:val="16"/>
          <w:szCs w:val="16"/>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included $25.9 million to software/technology, $2.2 million to customer relationships, $0.5 million to other intangibles and $0.2 million to covenants not to compete, all of which are in the Services reporting unit within the Services segment and are included in Impairment charges on the Unaudited Condensed Consolidated Statements of Income (Loss) for the six months ended June 30, 2020.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June 30, 2020 and June 30, 2019 was approximately $2.6 million and $3.5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six months ended June 30, 2020 and June 30, 2019 was $5.9 million and $7.1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40"/>
        </w:trPr>
        <w:tc>
          <w:tcPr>
            <w:tcW w:w="80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30,072</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2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25,600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25,724</w:t>
            </w:r>
          </w:p>
        </w:tc>
        <w:tc>
          <w:tcPr>
            <w:tcW w:w="0" w:type="dxa"/>
            <w:vAlign w:val="bottom"/>
          </w:tcPr>
          <w:p>
            <w:pPr>
              <w:spacing w:after="0"/>
              <w:rPr>
                <w:sz w:val="1"/>
                <w:szCs w:val="1"/>
                <w:color w:val="auto"/>
              </w:rPr>
            </w:pPr>
          </w:p>
        </w:tc>
      </w:tr>
      <w:tr>
        <w:trPr>
          <w:trHeight w:val="237"/>
        </w:trPr>
        <w:tc>
          <w:tcPr>
            <w:tcW w:w="806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77,308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81,389</w:t>
            </w:r>
          </w:p>
        </w:tc>
        <w:tc>
          <w:tcPr>
            <w:tcW w:w="0" w:type="dxa"/>
            <w:vAlign w:val="bottom"/>
          </w:tcPr>
          <w:p>
            <w:pPr>
              <w:spacing w:after="0"/>
              <w:rPr>
                <w:sz w:val="1"/>
                <w:szCs w:val="1"/>
                <w:color w:val="auto"/>
              </w:rPr>
            </w:pPr>
          </w:p>
        </w:tc>
      </w:tr>
      <w:tr>
        <w:trPr>
          <w:trHeight w:val="27"/>
        </w:trPr>
        <w:tc>
          <w:tcPr>
            <w:tcW w:w="806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40"/>
        </w:trPr>
        <w:tc>
          <w:tcPr>
            <w:tcW w:w="80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151,773</w:t>
            </w:r>
          </w:p>
        </w:tc>
        <w:tc>
          <w:tcPr>
            <w:tcW w:w="0" w:type="dxa"/>
            <w:vAlign w:val="bottom"/>
          </w:tcPr>
          <w:p>
            <w:pPr>
              <w:spacing w:after="0"/>
              <w:rPr>
                <w:sz w:val="1"/>
                <w:szCs w:val="1"/>
                <w:color w:val="auto"/>
              </w:rPr>
            </w:pPr>
          </w:p>
        </w:tc>
      </w:tr>
      <w:tr>
        <w:trPr>
          <w:trHeight w:val="270"/>
        </w:trPr>
        <w:tc>
          <w:tcPr>
            <w:tcW w:w="8060" w:type="dxa"/>
            <w:vAlign w:val="bottom"/>
          </w:tcPr>
          <w:p>
            <w:pPr>
              <w:ind w:left="20"/>
              <w:spacing w:after="0"/>
              <w:rPr>
                <w:sz w:val="20"/>
                <w:szCs w:val="20"/>
                <w:color w:val="auto"/>
              </w:rPr>
            </w:pPr>
            <w:r>
              <w:rPr>
                <w:rFonts w:ascii="Arial" w:cs="Arial" w:eastAsia="Arial" w:hAnsi="Arial"/>
                <w:sz w:val="18"/>
                <w:szCs w:val="18"/>
                <w:color w:val="auto"/>
              </w:rPr>
              <w:t>Senior secured term loan, net of debt issuance costs of $0.3 million</w:t>
            </w:r>
          </w:p>
        </w:tc>
        <w:tc>
          <w:tcPr>
            <w:tcW w:w="220" w:type="dxa"/>
            <w:vAlign w:val="bottom"/>
          </w:tcPr>
          <w:p>
            <w:pPr>
              <w:spacing w:after="0"/>
              <w:rPr>
                <w:sz w:val="23"/>
                <w:szCs w:val="23"/>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92,202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94,919</w:t>
            </w:r>
          </w:p>
        </w:tc>
        <w:tc>
          <w:tcPr>
            <w:tcW w:w="0" w:type="dxa"/>
            <w:vAlign w:val="bottom"/>
          </w:tcPr>
          <w:p>
            <w:pPr>
              <w:spacing w:after="0"/>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37"/>
        </w:trPr>
        <w:tc>
          <w:tcPr>
            <w:tcW w:w="806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239,396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254,713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63"/>
        </w:trPr>
        <w:tc>
          <w:tcPr>
            <w:tcW w:w="8060" w:type="dxa"/>
            <w:vAlign w:val="bottom"/>
          </w:tcPr>
          <w:p>
            <w:pPr>
              <w:ind w:left="1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230,661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248,120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has a credit agreement with its banking group ("Credit Agreement") which provides the Company with a revolving line of credit and a $100 million senior secured term loan A facility. Pursuant to the Amendment described below, the revolving line of credit was reduced from $300 million to $175 million. Both the revolving line of credit and the term loan A facility under the Credit Agreement have a maturity date of December 12, 2023.</w:t>
      </w:r>
    </w:p>
    <w:p>
      <w:pPr>
        <w:spacing w:after="0" w:line="17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May 15, 2020, the Company entered into the Third Amendment (the “Amendment”) to the Credit Agreement. The amendment was needed because the Company determined that as a result of the uncertain impact of the COVID-19 pandemic and the significant drop in oil prices, it would not meet the then existing financial covenants in the Credit Agreement for upcoming quarters. Accordingly, the Amendment modified the financial covenants to provide for:</w:t>
      </w:r>
    </w:p>
    <w:p>
      <w:pPr>
        <w:spacing w:after="0" w:line="2" w:lineRule="exact"/>
        <w:rPr>
          <w:sz w:val="20"/>
          <w:szCs w:val="20"/>
          <w:color w:val="auto"/>
        </w:rPr>
      </w:pPr>
    </w:p>
    <w:p>
      <w:pPr>
        <w:ind w:right="40" w:firstLine="8"/>
        <w:spacing w:after="0" w:line="285" w:lineRule="auto"/>
        <w:tabs>
          <w:tab w:leader="none" w:pos="155" w:val="left"/>
        </w:tabs>
        <w:numPr>
          <w:ilvl w:val="0"/>
          <w:numId w:val="6"/>
        </w:numPr>
        <w:rPr>
          <w:rFonts w:ascii="Arial" w:cs="Arial" w:eastAsia="Arial" w:hAnsi="Arial"/>
          <w:sz w:val="16"/>
          <w:szCs w:val="16"/>
          <w:color w:val="auto"/>
        </w:rPr>
      </w:pPr>
      <w:r>
        <w:rPr>
          <w:rFonts w:ascii="Arial" w:cs="Arial" w:eastAsia="Arial" w:hAnsi="Arial"/>
          <w:sz w:val="16"/>
          <w:szCs w:val="16"/>
          <w:color w:val="auto"/>
        </w:rPr>
        <w:t>elimination of the Funded Debt Leverage Ratio (as defined in the Credit Agreement) for the quarters ended June 30 and September 30, 2020 and increased the Funded Debt Leverage ratio to no greater than 5.25 to 1 beginning for the quarter ending December 31, 2020 and decreasing each successive quarter to no greater than 3.50 to 1 for the quarter ended September 30, 2021, and all quarterly periods thereafter; ii) an elimination of the minimum Fixed Charge Coverage Ratio (as defined in the Credit Agreement for the quarters ended June 30, September 30 and December 31, 2020), a decrease to 1.0 to 1 for the quarter ending March 31, 2021 and returning to 1.25 to 1 for the quarter ending June 30, 2021 and thereafter; iii) the addition of a minimum EBITDA covenant requiring $3.44 million for the three months ending June 30, 2020, $24.25 million for the six months ending September 30, 2020, and $38.55 million for the nine months ending December 31, 2020, with no requirement thereafter; and iv) the addition of a minimum Liquidity (as defined in the Amendment) covenant of not less than $20.0 million at all times through September 30, 2020 and ceasing thereafter. In addition, the Amendment set a LIBOR floor of 1.0% applicable to all LIBOR loans, and increased the LIBOR margin range to 1.50% to 4.15%, in addition to certain other modifications of the Credit Agreement. The Amendment also requires that the Company promptly prepay the outstanding amount under the revolving credit facility in an amount equal to the difference between (a) the aggregate sum of cash and cash equivalents of the Company and its subsidiaries held in the United States minus (b) $10.0 million if, for a period of two (2) consecutive business days, (i) the outstanding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amount under the revolving credit facility exceeds $75.0 million and (ii) the such cash and cash equivalents exceeds $10.0 million.</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Credit Amendment, as amended, provides that the Company may not make any acquisitions prior to June 30, 2021, and thereafter only if the Company's Funded Debt Leverage Ratio is less than 2.50 to 1, and after giving effect to such acquisition, its pro forma Funded Debt Leverage Ratio will not be greater than 3.25 to 1. The Credit Agreement also limits the Company’s ability to, among other things, create liens, make investments, incur more indebtedness, merge or consolidate, make dispositions of property, pay dividends and make distributions to stockholders or repurchase its stock, enter into a new line of business, enter into transactions with affiliates and enter into burdensome agreements.</w:t>
      </w: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Company may borrow up to $100 million in non-U.S. Dollar currencies and use up to $20 million of the credit limit for the issuance of letters of credit. As of June 30, 2020, the Company had borrowings of $230.2 million and a total of $3.9 million of letters of credit outstanding under the Credit Agreement. The Company has capitalized costs associated with debt modifications of $1.3 million as of June 30, 2020, which is included in Other assets on the Condensed Consolidated Balance Sheets. The Amendment reduced the Company's total available loan capacity, amongst other things, and as a result, the Company expensed approximately $0.6 million in capitalized debt issuance costs during the second quarter of 2020, which was included in Selling, general and administrative expenses on the Unaudited Condensed Consolidated Statements of Income (Loss).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of June 30, 2020, the Company was in compliance with the terms of the Credit Agreement and will continuously monitor its compliance with the covenants contained in its Credit Agreement. The Company believes that it is probable, based on the amended covenants, that the Company will be able to comply with the financial covenants in the Credit Agreement as modified by the Amendment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other debt includes local bank financing provided at the local subsidiary level used to support working capital requirements and fund capital expenditures. At June 30, 2020, there was an aggregate of approximately $9.2 million outstanding, payable at various times through 2030. Monthly payments range from $1 thousand to $17 thousand and interest rates range from 0.4% to 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0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4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2,365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Payments</w:t>
            </w:r>
          </w:p>
        </w:tc>
        <w:tc>
          <w:tcPr>
            <w:tcW w:w="38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Revaluation</w:t>
            </w:r>
          </w:p>
        </w:tc>
        <w:tc>
          <w:tcPr>
            <w:tcW w:w="38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597</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w:t>
            </w: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3,095</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64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5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Sheets includes the following related to operating leases: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6"/>
                <w:szCs w:val="16"/>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2019</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ROU assets</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45,817</w:t>
            </w:r>
          </w:p>
        </w:tc>
      </w:tr>
      <w:tr>
        <w:trPr>
          <w:trHeight w:val="392"/>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ROU - current</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10,133</w:t>
            </w:r>
          </w:p>
        </w:tc>
      </w:tr>
      <w:tr>
        <w:trPr>
          <w:trHeight w:val="243"/>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ROU liability - long-term</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34,843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36,750</w:t>
            </w:r>
          </w:p>
        </w:tc>
      </w:tr>
      <w:tr>
        <w:trPr>
          <w:trHeight w:val="27"/>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ROU liabilities</w:t>
            </w:r>
          </w:p>
        </w:tc>
        <w:tc>
          <w:tcPr>
            <w:tcW w:w="3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44,700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46,883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was approximately $4.2 million and $4.5 million as of June 30, 2020 and December 31, 2019, respectively. Total rent payments for this facility were approximately $0.2 million for each of the three months ended June 30,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2020 and June 30, 2019. Total rent payments for this facility were approximately $0.4 million and $0.5 million for the six months ended June 30, 2020 and June 30, 2019, respectively. As part of the COVID-19 related vendor concessions, an agreement was reached during the second quarter of 2020 with the related party to reduce rental payments by 20% and defer payments for 90 days for the lease of the Company’s headquarters, starting in June 2020 through December 2020.</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As part of other COVID-19 related vendor discussions, the Company has modified the terms of several North America operating lease contracts to provide temporary reductions in monthly rental payments and/or temporary deferrals of monthly rental payments. Temporary rent reductions and deferred rental payments have been accounted for on a cash basis and is reflected as a reduction of variable lease expense in the chart below.</w:t>
      </w:r>
    </w:p>
    <w:p>
      <w:pPr>
        <w:spacing w:after="0" w:line="19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total ROU assets attributable to finance leases were approximately $17.3 million and $19.2 million as of June 30, 2020 and December 31, 2019, respectively, which is included in Property, plant, and equipment, net on the Condensed Consolidated Balance Sheets.</w:t>
      </w:r>
    </w:p>
    <w:p>
      <w:pPr>
        <w:spacing w:after="0" w:line="7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described in Note 9–</w:t>
      </w:r>
      <w:r>
        <w:rPr>
          <w:rFonts w:ascii="Arial" w:cs="Arial" w:eastAsia="Arial" w:hAnsi="Arial"/>
          <w:sz w:val="16"/>
          <w:szCs w:val="16"/>
          <w:i w:val="1"/>
          <w:iCs w:val="1"/>
          <w:color w:val="auto"/>
        </w:rPr>
        <w:t>Intangible Assets</w:t>
      </w:r>
      <w:r>
        <w:rPr>
          <w:rFonts w:ascii="Arial" w:cs="Arial" w:eastAsia="Arial" w:hAnsi="Arial"/>
          <w:sz w:val="16"/>
          <w:szCs w:val="16"/>
          <w:color w:val="auto"/>
        </w:rPr>
        <w:t>, during the first quarter of 2020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 the Services segment which was included in Impairment charges on the Unaudited Condensed Consolidated Statements of Income (Loss) for the six months ended June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140" w:type="dxa"/>
            <w:vAlign w:val="bottom"/>
          </w:tcPr>
          <w:p>
            <w:pPr>
              <w:spacing w:after="0"/>
              <w:rPr>
                <w:sz w:val="17"/>
                <w:szCs w:val="17"/>
                <w:color w:val="auto"/>
              </w:rPr>
            </w:pPr>
          </w:p>
        </w:tc>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3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2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ROU</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2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3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2,375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2,403</w:t>
            </w:r>
          </w:p>
        </w:tc>
      </w:tr>
      <w:tr>
        <w:trPr>
          <w:trHeight w:val="243"/>
        </w:trPr>
        <w:tc>
          <w:tcPr>
            <w:tcW w:w="2140" w:type="dxa"/>
            <w:vAlign w:val="bottom"/>
          </w:tcPr>
          <w:p>
            <w:pPr>
              <w:ind w:left="120"/>
              <w:spacing w:after="0"/>
              <w:rPr>
                <w:sz w:val="20"/>
                <w:szCs w:val="20"/>
                <w:color w:val="auto"/>
              </w:rPr>
            </w:pPr>
            <w:r>
              <w:rPr>
                <w:rFonts w:ascii="Arial" w:cs="Arial" w:eastAsia="Arial" w:hAnsi="Arial"/>
                <w:sz w:val="18"/>
                <w:szCs w:val="18"/>
                <w:color w:val="auto"/>
                <w:w w:val="97"/>
              </w:rPr>
              <w:t>Interest on lease liabilities</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380</w:t>
            </w:r>
          </w:p>
        </w:tc>
      </w:tr>
      <w:tr>
        <w:trPr>
          <w:trHeight w:val="27"/>
        </w:trPr>
        <w:tc>
          <w:tcPr>
            <w:tcW w:w="2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214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6,664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6,259</w:t>
            </w: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Cost of revenue; Selling, general &amp;</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w:t>
            </w:r>
          </w:p>
        </w:tc>
      </w:tr>
      <w:tr>
        <w:trPr>
          <w:trHeight w:val="27"/>
        </w:trPr>
        <w:tc>
          <w:tcPr>
            <w:tcW w:w="2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214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518</w:t>
            </w: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9,915</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9,566</w:t>
            </w:r>
          </w:p>
        </w:tc>
      </w:tr>
      <w:tr>
        <w:trPr>
          <w:trHeight w:val="27"/>
        </w:trPr>
        <w:tc>
          <w:tcPr>
            <w:tcW w:w="2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96"/>
        </w:trPr>
        <w:tc>
          <w:tcPr>
            <w:tcW w:w="8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for finance leases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 financing cash flows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300"/>
              <w:spacing w:after="0"/>
              <w:rPr>
                <w:sz w:val="20"/>
                <w:szCs w:val="20"/>
                <w:color w:val="auto"/>
              </w:rPr>
            </w:pPr>
            <w:r>
              <w:rPr>
                <w:rFonts w:ascii="Arial" w:cs="Arial" w:eastAsia="Arial" w:hAnsi="Arial"/>
                <w:sz w:val="18"/>
                <w:szCs w:val="18"/>
                <w:color w:val="auto"/>
              </w:rPr>
              <w:t>Finance - operating cash flows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 operating cash flows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8,962</w:t>
            </w:r>
          </w:p>
        </w:tc>
        <w:tc>
          <w:tcPr>
            <w:tcW w:w="200" w:type="dxa"/>
            <w:vAlign w:val="bottom"/>
          </w:tcPr>
          <w:p>
            <w:pPr>
              <w:spacing w:after="0"/>
              <w:rPr>
                <w:sz w:val="21"/>
                <w:szCs w:val="21"/>
                <w:color w:val="auto"/>
              </w:rPr>
            </w:pP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1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1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729"/>
        </w:trPr>
        <w:tc>
          <w:tcPr>
            <w:tcW w:w="8140" w:type="dxa"/>
            <w:vAlign w:val="bottom"/>
          </w:tcPr>
          <w:p>
            <w:pPr>
              <w:spacing w:after="0"/>
              <w:rPr>
                <w:sz w:val="20"/>
                <w:szCs w:val="20"/>
                <w:color w:val="auto"/>
              </w:rPr>
            </w:pPr>
            <w:r>
              <w:rPr>
                <w:rFonts w:ascii="Arial" w:cs="Arial" w:eastAsia="Arial" w:hAnsi="Arial"/>
                <w:sz w:val="18"/>
                <w:szCs w:val="18"/>
                <w:color w:val="auto"/>
              </w:rPr>
              <w:t>Maturities of lease liabilities as of June 30, 2020 were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2"/>
        </w:trPr>
        <w:tc>
          <w:tcPr>
            <w:tcW w:w="8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Finance</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Operating</w:t>
            </w:r>
          </w:p>
        </w:tc>
        <w:tc>
          <w:tcPr>
            <w:tcW w:w="200" w:type="dxa"/>
            <w:vAlign w:val="bottom"/>
            <w:tcBorders>
              <w:bottom w:val="single" w:sz="8" w:color="auto"/>
            </w:tcBorders>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3,280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6,367</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4,518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10,933</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3,678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8,853</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2,806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7,367</w:t>
            </w: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5,755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1,096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14,094</w:t>
            </w: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17,271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53,369</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(8,669)</w:t>
            </w:r>
          </w:p>
        </w:tc>
      </w:tr>
      <w:tr>
        <w:trPr>
          <w:trHeight w:val="27"/>
        </w:trPr>
        <w:tc>
          <w:tcPr>
            <w:tcW w:w="8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28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15,606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44,700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possible liabilities that could arise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June 30, 2020, approximately $1.4 million of past due receivables were outstanding from this customer. The customer provided the Company with notice in December 2019, alleging that the Company’s inspection of 66 welds (out of over 16,000 welds inspected) were not in compliance with the contract, claimed approximately $7.6 million in damages, and requested that the Company pay these damages and any other damages incurred. The Company has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 The Company recorded a full reserve in the amount of $1.4 million during the second half of 2019 for these past due receivables. See Note 6–</w:t>
      </w:r>
      <w:r>
        <w:rPr>
          <w:rFonts w:ascii="Arial" w:cs="Arial" w:eastAsia="Arial" w:hAnsi="Arial"/>
          <w:sz w:val="16"/>
          <w:szCs w:val="16"/>
          <w:i w:val="1"/>
          <w:iCs w:val="1"/>
          <w:color w:val="auto"/>
        </w:rPr>
        <w:t>Accounts Receivable, net</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would incur a withdrawal liability related to these multi-employer pension plans. Accordingly, the Company recorded a charge of $5.9 million during 2018 and $0.8 million during 2019 for this potential withdrawal liability. The Company’s subsidiary reached an agreement with one of the pension funds in September 2019 and made a final payment of $0.9 million in complete satisfaction of the withdrawal liability of the subsidiary. Excluding the settlement payment, the Company made monthly payments totaling $3.3 million through the time of the final settlement payment, for total payments of $4.2 million. The balance of the estimated total amount of this potential liability as of June 30, 2020 is approximately $2.5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expired beginning in 2019. Due to the limit on the length of service allowed under the German Labor Lease Act, employees are being transitioned off the customer contracts. The German subsidiary has terminated, or will terminate, some these employees, creating a severance obligation to the terminated employees, and has transitioned, or will transition other employees to the Company's other customers. During December 2019, the Company executed an agreement to sell the rights of certain customer contracts for total consideration of approximately $0.1 million, effective January 1, 2020. No other assets or liabilities other than those employee benefits related to employees working on the customer contracts were included in the sale. As of June 30, 2020, the Company has approximately $0.4 million of accrued estimated severance payment obligations, which takes into account the Company's estimate with respect to the employees that have been or will be transitioned to the German subsidiaries' other customers. The $0.4 million of estimated obligations is net of $0.3 million in payments made and $0.8 million in reversals due to employees being transitioned to customer contracts.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June 30, 2020, total potential acquisition-related contingent consideration ranged from zero to approximately $5.7 million and would be payable upon the achievement of specific performance metrics by certain of the acquired companies over the next 2.2 years.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2018, the Company sold a subsidiary in the Products and Systems segment. As part of the sale, the Company entered into a three-year agreement to purchase products from the buyer, with a cumulative commitment of $2.3 million, of which $1.3 million is remaining as of June 30, 2020. The agreement is based on third-party pricing and the Company's planned purchase requirements over the three-year purchase period to meet the minimum contractual purchases.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right="20" w:hanging="244"/>
        <w:spacing w:after="0" w:line="259" w:lineRule="auto"/>
        <w:tabs>
          <w:tab w:leader="none" w:pos="89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PCMS software and pipeline related software and data analysis solutions are included in this segment.</w:t>
      </w:r>
    </w:p>
    <w:p>
      <w:pPr>
        <w:spacing w:after="0" w:line="186" w:lineRule="exact"/>
        <w:rPr>
          <w:rFonts w:ascii="Arial" w:cs="Arial" w:eastAsia="Arial" w:hAnsi="Arial"/>
          <w:sz w:val="18"/>
          <w:szCs w:val="18"/>
          <w:i w:val="1"/>
          <w:iCs w:val="1"/>
          <w:color w:val="auto"/>
        </w:rPr>
      </w:pPr>
    </w:p>
    <w:p>
      <w:pPr>
        <w:ind w:left="900" w:right="180" w:hanging="244"/>
        <w:spacing w:after="0" w:line="263"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200" w:hanging="244"/>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48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161,210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229,550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301,507</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50,410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72,252</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7,701</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(4,057)</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48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124,435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200,616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283,900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377,403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48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33,940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66,177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84,573</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13,415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21,418</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3,064</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41,158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60,071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81,802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108,945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r>
      <w:tr>
        <w:trPr>
          <w:trHeight w:val="522"/>
        </w:trPr>
        <w:tc>
          <w:tcPr>
            <w:tcW w:w="4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28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48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24,958</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(22,356)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2,234</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(1,733)</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(7,531)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(16,822)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(14,436)</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(111,611)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11,023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48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6,211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7,209</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13,286</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14,478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2,077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2,042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4,217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4,131</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9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8,530</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9,601</w:t>
            </w:r>
          </w:p>
        </w:tc>
        <w:tc>
          <w:tcPr>
            <w:tcW w:w="3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17,997</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19,269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4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60,713</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98,284</w:t>
            </w:r>
          </w:p>
        </w:tc>
        <w:tc>
          <w:tcPr>
            <w:tcW w:w="20" w:type="dxa"/>
            <w:vAlign w:val="bottom"/>
          </w:tcPr>
          <w:p>
            <w:pPr>
              <w:spacing w:after="0"/>
              <w:rPr>
                <w:sz w:val="21"/>
                <w:szCs w:val="2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8,859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9,814</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21"/>
                <w:szCs w:val="2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1"/>
                <w:szCs w:val="2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70,848</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109,537</w:t>
            </w:r>
          </w:p>
        </w:tc>
        <w:tc>
          <w:tcPr>
            <w:tcW w:w="20" w:type="dxa"/>
            <w:vAlign w:val="bottom"/>
          </w:tcPr>
          <w:p>
            <w:pPr>
              <w:spacing w:after="0"/>
              <w:rPr>
                <w:sz w:val="24"/>
                <w:szCs w:val="24"/>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4"/>
        </w:trPr>
        <w:tc>
          <w:tcPr>
            <w:tcW w:w="4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409,745</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537,518</w:t>
            </w:r>
          </w:p>
        </w:tc>
        <w:tc>
          <w:tcPr>
            <w:tcW w:w="20" w:type="dxa"/>
            <w:vAlign w:val="bottom"/>
          </w:tcPr>
          <w:p>
            <w:pPr>
              <w:spacing w:after="0"/>
              <w:rPr>
                <w:sz w:val="21"/>
                <w:szCs w:val="2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124,519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153,380</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15,426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16,028</w:t>
            </w:r>
          </w:p>
        </w:tc>
        <w:tc>
          <w:tcPr>
            <w:tcW w:w="20" w:type="dxa"/>
            <w:vAlign w:val="bottom"/>
          </w:tcPr>
          <w:p>
            <w:pPr>
              <w:spacing w:after="0"/>
              <w:rPr>
                <w:sz w:val="21"/>
                <w:szCs w:val="2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17,988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12,952</w:t>
            </w:r>
          </w:p>
        </w:tc>
        <w:tc>
          <w:tcPr>
            <w:tcW w:w="20" w:type="dxa"/>
            <w:vAlign w:val="bottom"/>
          </w:tcPr>
          <w:p>
            <w:pPr>
              <w:spacing w:after="0"/>
              <w:rPr>
                <w:sz w:val="21"/>
                <w:szCs w:val="2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8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567,678</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719,878</w:t>
            </w:r>
          </w:p>
        </w:tc>
        <w:tc>
          <w:tcPr>
            <w:tcW w:w="20" w:type="dxa"/>
            <w:vAlign w:val="bottom"/>
          </w:tcPr>
          <w:p>
            <w:pPr>
              <w:spacing w:after="0"/>
              <w:rPr>
                <w:sz w:val="24"/>
                <w:szCs w:val="24"/>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revenue by geographic area for the three and six months ended June 30, 2020 and June 30, 2019.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July 3, 2020, a Canadian subsidiary of the Company entered into a joint venture with the Mikisew First Nation through a limited partnership named Mikisew-Mistras Limited Partnership. The Canadian subsidiary is a limited partner with a 49% interest in Mikisew-Mistras Limited Partnership (the limited partnership), and a 49% shareholder in the corporate general partner of the limited partnership. Mikisew holds the other 51% interest in the limited partnership and the corporate general partner. The limited partnership’s purpose is to provide nondestructive testing, inspection and related services to producers and extractors of oil and gas in the Greater Wood Buffalo region of Alberta, Canada. The limited partnership will subcontract with the Company to provide the nondestructive testing, inspection and related services for the customers of the limited partnership. The Company will also be providing certain administrative support services for the limited partnership, such as billing and collecting. None of the Company’s existing contracts will be transferred to the limited partnership, but any new NDT and inspection services in the Greater Wood Buffalo region the Company seeks to perform would be done through the limited partnership.</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provides a discussion of our results of operations and financial position for the three and six months ended June 30, 2020 and June 30, 2019.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2019, filed with the Securities and Exchange Commission on March 27, 2020 (“2019 Annual Report”). Unless otherwise specified or the context otherwise requires, “Mistras,” “the Company,” “we,” “us” and “our” refer to Mistras Group, Inc. and its consolidated subsidiaries. The MD&amp;A includes the following sections:</w:t>
      </w:r>
    </w:p>
    <w:p>
      <w:pPr>
        <w:spacing w:after="0" w:line="1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2019 Annual Report as well as those discussed in this Quarterly Report on Form 10-Q and in our other filings with the SEC.</w:t>
      </w:r>
    </w:p>
    <w:p>
      <w:pPr>
        <w:spacing w:after="0" w:line="19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At the time of this report, the COVID-19 pandemic is continuing to have a negative impact on us and our key markets and is causing significant economic disruption worldwide.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We offer our customers “OneSource for Asset Protection Solutions</w:t>
      </w:r>
      <w:r>
        <w:rPr>
          <w:rFonts w:ascii="Arial" w:cs="Arial" w:eastAsia="Arial" w:hAnsi="Arial"/>
          <w:sz w:val="20"/>
          <w:szCs w:val="20"/>
          <w:color w:val="auto"/>
          <w:vertAlign w:val="superscript"/>
        </w:rPr>
        <w:t>®</w:t>
      </w:r>
      <w:r>
        <w:rPr>
          <w:rFonts w:ascii="Arial" w:cs="Arial" w:eastAsia="Arial" w:hAnsi="Arial"/>
          <w:sz w:val="16"/>
          <w:szCs w:val="16"/>
          <w:color w:val="auto"/>
        </w:rPr>
        <w:t>" and are a leading global provider of technology-enabled asset protection solutions used to evaluate the structural integrity and reliability of critical energy, commercial aerospace and defense, industrial and public infrastructure. We combine industry-leading products and technologies, expertise in mechanical integrity (MI), Non-Destructive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comprehensive “OneSource” portfolio of customized solutions, utilizing a proven systematic method that creates a closed-loop lifecycle for addressing continuous asset protection and improvement, helps us to deliver value to our customers.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63" w:lineRule="exact"/>
        <w:rPr>
          <w:sz w:val="20"/>
          <w:szCs w:val="20"/>
          <w:color w:val="auto"/>
        </w:rPr>
      </w:pPr>
    </w:p>
    <w:p>
      <w:pPr>
        <w:ind w:left="660" w:right="380" w:hanging="328"/>
        <w:spacing w:after="0" w:line="24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PCMS software and pipeline related software and data analysis solutions are included in this segment.</w:t>
      </w:r>
    </w:p>
    <w:p>
      <w:pPr>
        <w:spacing w:after="0" w:line="25"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20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19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long-term growth can be realized in all of our target markets. We expect the timing of our oil and gas customers inspection spend to be impacted by oil price fluctuations.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which continues to spread throughout the United States. The COVID-19 pandemic has caused significant volatility in domestic and international markets. There is on-going uncertainty around the breadth and duration of business disruptions related to COVID-19, as well as its impact on the U.S. and international economies. In addition, oil prices have varied significantly and airline traffic has also dropped significantly. In response to the COVID-19 pandemic, companies within the oil and gas and aerospace industries (including our customers) have announced spending cuts and/or slowdowns (or temporary cessation) in production which, in turn, may result in decreases in awards of new contracts or adjustments, reductions, suspensions or cancellations of existing contracts. These declines were driven in large measure by various factors surrounding the COVID-19 pandemic and, in the case of the oil and gas market, other macroeconomic events such as the geopolitical tensions between OPEC and Russia.</w:t>
      </w:r>
    </w:p>
    <w:p>
      <w:pPr>
        <w:spacing w:after="0" w:line="20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COVID-19 pandemic, significant volatility in oil prices and decreased traffic in the aerospace industry have adversely affected our workforce and operations, as well as the operations of our customers, suppliers and contractors. These negative factors have also resulted in significant volatility and uncertainty in the markets in which we operate. To successfully navigate through this unprecedented period, we continue to focus on the following key priorities:</w:t>
      </w:r>
    </w:p>
    <w:p>
      <w:pPr>
        <w:spacing w:after="0" w:line="26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Ensuring the health and safety of our employees and those of our customers and suppliers;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business continuity and financial strength and stability;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Serving our customers as they provide essential products and services to the world.</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While we cannot fully assess the impact that the COVID-19 pandemic or the significant volatility in oil prices will have on all of our operations at this time, there are certain impacts that we have identified:</w:t>
      </w:r>
    </w:p>
    <w:p>
      <w:pPr>
        <w:spacing w:after="0" w:line="251" w:lineRule="exact"/>
        <w:rPr>
          <w:sz w:val="20"/>
          <w:szCs w:val="20"/>
          <w:color w:val="auto"/>
        </w:rPr>
      </w:pPr>
    </w:p>
    <w:p>
      <w:pPr>
        <w:ind w:left="660" w:right="10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market volatility that resulted from COVID-19 and the drop in oil prices required that we reassess the goodwill we had recorded related to various prior acquisitions under the guidance of ASC 350 during the first quarter of 2020. We determined that the fair values of various reporting units were less than their carrying values (including goodwill). As a result, we recorded an impairment charge related to goodwill of approximately $77.1 million during the first quarter of 2020. See Note 8–</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in the Unaudited Condensed Consolidated Financial Statements.</w:t>
      </w:r>
    </w:p>
    <w:p>
      <w:pPr>
        <w:spacing w:after="0" w:line="25" w:lineRule="exact"/>
        <w:rPr>
          <w:rFonts w:ascii="Arial" w:cs="Arial" w:eastAsia="Arial" w:hAnsi="Arial"/>
          <w:sz w:val="18"/>
          <w:szCs w:val="18"/>
          <w:color w:val="auto"/>
        </w:rPr>
      </w:pPr>
    </w:p>
    <w:p>
      <w:pPr>
        <w:ind w:left="660" w:hanging="328"/>
        <w:spacing w:after="0" w:line="30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same events required that we reassess the tangible and intangible assets recorded under the guidance of ASC 360 during the first quarter of 2020. We determined that the fair values of certain asset groups were less than their carrying values (excluding goodwill). As a result, we recorded impairment charges related to intangible assets of approximately $28.8 million and a right-of-use asset of approximately $0.2 million during the first quarter of 2020. See Note 9–</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and Note 13–</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Unaudited Condensed Consolidated Financial Statements.</w:t>
      </w:r>
    </w:p>
    <w:p>
      <w:pPr>
        <w:spacing w:after="0" w:line="23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 respond to the economic downturn resulting from the COVID-19 pandemic and the then drop in oil prices, in March 2020, we initiated a cost reduction and efficiency program. As part of this program, our named executive officers have voluntarily taken temporary salary reductions ranging from 25% to 45% of their base salary. In addition, we instituted a reduction for our other salaried employees, at lower percentages, and suspended our voluntary match under our sponsored savings plans for our U.S. and Canadian employees. These reductions became effective at the beginning of the second quarter of 2020 and, except for the salary reductions for certain lower salaried employees, will continue through the third quarter. At the end of the third quarter, management will assess whether to change these cost saving measures. In addition, our non-employee directors voluntarily agreed to a $3,750 reduction in their second and third quarter 2020 payments.</w:t>
      </w:r>
    </w:p>
    <w:p>
      <w:pPr>
        <w:spacing w:after="0" w:line="20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currently unable to predict with certainty the overall impact that the COVID-19 pandemic and volatility in oil prices may have on our business, results of operations, liquidity or in other ways which we cannot yet determine. We will continue to monitor market conditions and respond accordingly. Refer to Item 1A. Risk Factors in Part I of our 2019 Annual Report on Form 10-K ("2019 Annual Report") for the year ended December 31, 2019, filed with the Securities and Exchange Commission ("SEC") on March 27,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GAAP and/or necessarily comparable to the non-GAAP financial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six months ended June 30, 2020 and June 30,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4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124,435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200,616</w:t>
            </w: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283,900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377,403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41,158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60,071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81,802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108,945</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Gross profit as a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41,541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44,652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193,413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97,922</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Operating expenses as a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Pr>
          <w:p>
            <w:pPr>
              <w:spacing w:after="0"/>
              <w:rPr>
                <w:sz w:val="21"/>
                <w:szCs w:val="21"/>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15,419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(111,611)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11,023</w:t>
            </w: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Income (loss) from Operations as a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7,106</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(benefit)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(117,376)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3,917</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21"/>
                <w:szCs w:val="21"/>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(16,189)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1,760</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2,157</w:t>
            </w:r>
          </w:p>
        </w:tc>
      </w:tr>
      <w:tr>
        <w:trPr>
          <w:trHeight w:val="229"/>
        </w:trPr>
        <w:tc>
          <w:tcPr>
            <w:tcW w:w="462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620" w:type="dxa"/>
            <w:vAlign w:val="bottom"/>
          </w:tcPr>
          <w:p>
            <w:pPr>
              <w:ind w:left="120"/>
              <w:spacing w:after="0"/>
              <w:rPr>
                <w:sz w:val="20"/>
                <w:szCs w:val="20"/>
                <w:color w:val="auto"/>
              </w:rPr>
            </w:pPr>
            <w:r>
              <w:rPr>
                <w:rFonts w:ascii="Arial" w:cs="Arial" w:eastAsia="Arial" w:hAnsi="Arial"/>
                <w:sz w:val="18"/>
                <w:szCs w:val="18"/>
                <w:color w:val="auto"/>
              </w:rPr>
              <w:t>interests, net of taxes</w:t>
            </w:r>
          </w:p>
        </w:tc>
        <w:tc>
          <w:tcPr>
            <w:tcW w:w="36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19</w:t>
            </w: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(101,165)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2,138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Revenue was $124.4 million for the three months ended June 30, 2020, a decrease of $76.2 million, or 38.0%, compared with the three months ended June 30, 2019. Revenue for the six months ended June 30, 2020 was $283.9 million, a decrease of $93.5 million, or 24.8%, compared with the six months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and six months ended June 30, 2020 and June 30,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48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161,210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229,550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301,507</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50,410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72,252</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7,701</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(4,057)</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124,435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200,616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283,900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377,403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In the three months ended June 30, 2020, total revenue decreased 38.0% due predominantly to a double-digit organic decline and, to a much lesser extent, the low single-digit unfavorable impact of foreign exchange rates, partially offset by low single-digit acquisition growth. The decrease in revenue was primarily the result of the impact of COVID-19, which disrupted the timing of projects for many of our customers. Services segment revenue decreased</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37.5%, driven predominantly by a double-digit organic decline and, to a much lesser extent, the low single-digit unfavorable impact of foreign exchange rates, partially offset by low single-digit acquisition growth. International segment revenue decreased 42.5%, due predominantly to the organic decline and, to a much lesser extent, the low single-digit unfavorable impact of foreign exchange rate. Products and Systems segment revenue decreased by 6.3%, due to organic decline.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Oil and gas customer revenue comprised approximately 54% and 60% of total revenue for the three months ended June 30, 2020 and 2019, respectively. Aerospace and defense customer revenue comprised approximately 14% and 12% of total revenue for the three months ended June 30, 2020 and 2019, respectively. The Company’s top ten customers comprised approximately 29% of total revenue for the three months ended June 30, 2020, as compared to 38% for the three months ended June 30, 2019, with no customer accounting for 10% or more of total revenue in either three-month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six months ended June 30, 2020, total revenue decreased 24.8% due predominantly to a double-digit organic decline and, to a much lesser extent, the low single-digit unfavorable impact of foreign exchange rates, partially offset by low single-digit acquisition growth. The decrease in revenue was primarily the result of the impact of COVID-19, which disrupted the timing of projects for many of our customers. Services segment revenue decreased</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23.9%, driven predominantly by a double-digit organic decline and, to a much lesser extent, the low single-digit unfavorable impact of foreign exchange rates, partially offset by low single-digit acquisition growth. International segment revenue decreased 30.2%, due predominantly to the organic decline and, to a much lesser extent, the low single-digit unfavorable impact of foreign exchange rate. Products and Systems segment revenue decreased by 11.5%, due to the organic decline.</w:t>
      </w:r>
    </w:p>
    <w:p>
      <w:pPr>
        <w:spacing w:after="0" w:line="220"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Oil and gas customer revenue comprised approximately 56% and 59% of total revenue for the six months ended June 30, 2020 and 2019, respectively. Aerospace and defense customer revenue comprised approximately 15% and 13% of total revenue for the six months ended June 30, 2020 and 2019, respectively. The Company’s top ten customers comprised approximately 31% of total revenue for the six months ended June 30, 2020, as compared to 39% for the six months ended June 30, 2019, with no customer accounting for 10% or more of total revenue in either six-month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profit decreased by $18.9 million, or 31.5%, in the three months ended June 30, 2020, on a decrease in sales of 38.0%. Gross profit decreased by $27.1 million, or 24.9%, in the six months ended June 30, 2020, on a decrease in sales of 24.8%.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six months ended June 30, 2020 and June 30, 2019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r>
      <w:tr>
        <w:trPr>
          <w:trHeight w:val="196"/>
        </w:trPr>
        <w:tc>
          <w:tcPr>
            <w:tcW w:w="46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84,573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33.7 %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29.3 %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28.8 %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28.1 %</w:t>
            </w:r>
          </w:p>
        </w:tc>
      </w:tr>
      <w:tr>
        <w:trPr>
          <w:trHeight w:val="27"/>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25.3 %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29.8 %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26.6 %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29.6 %</w:t>
            </w:r>
          </w:p>
        </w:tc>
      </w:tr>
      <w:tr>
        <w:trPr>
          <w:trHeight w:val="27"/>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45.9 %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42.8 %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32.4 %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39.8 %</w:t>
            </w:r>
          </w:p>
        </w:tc>
      </w:tr>
      <w:tr>
        <w:trPr>
          <w:trHeight w:val="27"/>
        </w:trPr>
        <w:tc>
          <w:tcPr>
            <w:tcW w:w="4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46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41,158</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60,071</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108,945</w:t>
            </w:r>
          </w:p>
        </w:tc>
        <w:tc>
          <w:tcPr>
            <w:tcW w:w="180" w:type="dxa"/>
            <w:vAlign w:val="bottom"/>
            <w:tcBorders>
              <w:top w:val="single" w:sz="8" w:color="auto"/>
            </w:tcBorders>
          </w:tcPr>
          <w:p>
            <w:pPr>
              <w:spacing w:after="0"/>
              <w:rPr>
                <w:sz w:val="20"/>
                <w:szCs w:val="20"/>
                <w:color w:val="auto"/>
              </w:rPr>
            </w:pPr>
          </w:p>
        </w:tc>
      </w:tr>
      <w:tr>
        <w:trPr>
          <w:trHeight w:val="27"/>
        </w:trPr>
        <w:tc>
          <w:tcPr>
            <w:tcW w:w="4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3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 of total revenue</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r>
      <w:tr>
        <w:trPr>
          <w:trHeight w:val="27"/>
        </w:trPr>
        <w:tc>
          <w:tcPr>
            <w:tcW w:w="4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Gross profit margin was 33.1% and 29.9% for the three-month periods ended June 30, 2020 and 2019, respectively. COVID-19, the significant drop in oil prices and decrease in aerospace production have had a significant unfavorable impact on sales volume; however, gross profit margin improved due primarily to better employee utilization and, to a lesser extent, the favorable impact of mix of sales. Services segment gross profit margins had a year-on-year increase of 440 basis points to 33.7% during the three months ended June 30, 2020, due primarily to better employee utilization, favorable mix of sales on lower sales volume and Canadian wage subsidies. International segment gross margins had a year-on-year decline of 450 basis points to 25.3% during the three months ended June 30, 2020, due primarily to reduced volumes and lower employee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utilization. Products and Systems segment gross margin had a year-on-year increase in gross profit margin to 45.9% during the three months ended June 30, 2020 due to favorable sales mix.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Gross profit margin was 28.8% and 28.9% for the six-month periods ended June 30, 2020 and 2019, respectively. Services segment gross profit margins had a year-on-year increase of 70 basis points to 28.8% in the six months ended June 30, 2020, on a decrease in sales volume. International segment gross margins had a year-on-year decline of 300 basis points to 26.6% in the six months ended June 30, 2020 due to lower levels of employee utilization. Products and Systems segment gross margin had a year-on-year decline of 740 basis points to 32.4% in the six months ended June 30, 2020, due to unfavorable sales mix.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and six months ended June 30, 2020 and 2019 was as follows: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96"/>
        </w:trPr>
        <w:tc>
          <w:tcPr>
            <w:tcW w:w="4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37,607</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41,923</w:t>
            </w:r>
          </w:p>
        </w:tc>
        <w:tc>
          <w:tcPr>
            <w:tcW w:w="6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79,165</w:t>
            </w:r>
          </w:p>
        </w:tc>
        <w:tc>
          <w:tcPr>
            <w:tcW w:w="6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w w:val="95"/>
              </w:rPr>
              <w:t>Bad debt provision for troubled customers, net of recoveries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2,798</w:t>
            </w:r>
          </w:p>
        </w:tc>
        <w:tc>
          <w:tcPr>
            <w:tcW w:w="2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106,062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engineering</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8,291</w:t>
            </w:r>
          </w:p>
        </w:tc>
        <w:tc>
          <w:tcPr>
            <w:tcW w:w="2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41,541</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44,652</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193,413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97,922</w:t>
            </w:r>
          </w:p>
        </w:tc>
        <w:tc>
          <w:tcPr>
            <w:tcW w:w="200" w:type="dxa"/>
            <w:vAlign w:val="bottom"/>
            <w:tcBorders>
              <w:top w:val="single" w:sz="8" w:color="auto"/>
            </w:tcBorders>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 of total revenue</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r>
      <w:tr>
        <w:trPr>
          <w:trHeight w:val="27"/>
        </w:trPr>
        <w:tc>
          <w:tcPr>
            <w:tcW w:w="4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Operating expenses decreased $3.1 million, or 7%, for the three months ended June 30, 2020 compared to the three months ended June 30, 2019, due predominantly to the Company's cost reduction and efficiency program initiated during the first quarter of 2020 in response to COVID-19 as more fully described in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under the Overview of this section. During the three months ended June 30, 2020, there was an additional $0.8 million additive selling, general and administration expenses related to the Company’s most recent acquisition. During the three months ended June 30, 2020, there was approximately $1.3 million additional foreign currency exchange losses as compared with the prior period due to volatility in certain foreign currencies.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52"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Operating expenses increased $95.5 million, or 98%, for the six months ended June 30, 2020 compared to the six months ended June 30, 2019, due predominantly to impairment charges of $106.1 million in 2020 as more fully described in Note 8–</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and Note 9–</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to these Unaudited Condensed Consolidated Financial Statements. Excluding the 2020 impairment charges, operating expenses decreased due to the Company's cost reduction and efficiency program initiated during the first quarter of 2020 in response to COVID-19 as more fully described in </w:t>
      </w:r>
      <w:r>
        <w:rPr>
          <w:rFonts w:ascii="Arial" w:cs="Arial" w:eastAsia="Arial" w:hAnsi="Arial"/>
          <w:sz w:val="17"/>
          <w:szCs w:val="17"/>
          <w:i w:val="1"/>
          <w:iCs w:val="1"/>
          <w:color w:val="auto"/>
        </w:rPr>
        <w:t>Recent Developments</w:t>
      </w:r>
      <w:r>
        <w:rPr>
          <w:rFonts w:ascii="Arial" w:cs="Arial" w:eastAsia="Arial" w:hAnsi="Arial"/>
          <w:sz w:val="17"/>
          <w:szCs w:val="17"/>
          <w:color w:val="auto"/>
        </w:rPr>
        <w:t xml:space="preserve"> under the Overview of this section. In addition, this decrease was due to lower bad debt, pension withdrawal, depreciation and amortization, and net acquisition-related expenses for the six months ended June 30, 2020 compared to the six months ended June 30, 2019. These decreases in expense were partially offset by approximately $2.3 million foreign currency exchange losses during the six months ended June 30, 2020 as compared with the prior period due to volatility in certain foreign currencies, as well as approximately an incremental $1.8 million in selling, general and administration expenses related to the Company’s most recent acquisition.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a reconciliation of the income (loss) from operations to income (loss) before special items for each of our three segments and for the Company in total: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Income (loss) from operations (GAAP)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10,837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(70,657)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24,958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provision (benefit) for troubled customers, net of</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recoveries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86,200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Pension withdrawal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Reorganization and other costs</w:t>
            </w: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Income before special items (non-GAAP)</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10,901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19,402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15,088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29,049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Income (loss) from operations (GAAP)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(22,356)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provision (benefit) for troubled customers, net of</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recoveries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19,862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Income (loss) before special items (non-GAAP)</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Loss from operations (GAAP)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before special items (non-GAAP)</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operations (GAAP)</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(14,436)</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Loss on debt modification</w:t>
            </w: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Acquisition-related expense, net</w:t>
            </w:r>
          </w:p>
        </w:tc>
        <w:tc>
          <w:tcPr>
            <w:tcW w:w="3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before special items (non-GAAP)</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operations (GAAP)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(111,611)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Bad debt provision (benefit) for troubled customers, net of</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3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106,062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3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Loss on debt modification</w:t>
            </w: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64"/>
        </w:trPr>
        <w:tc>
          <w:tcPr>
            <w:tcW w:w="4820" w:type="dxa"/>
            <w:vAlign w:val="bottom"/>
          </w:tcPr>
          <w:p>
            <w:pPr>
              <w:ind w:left="120"/>
              <w:spacing w:after="0"/>
              <w:rPr>
                <w:sz w:val="20"/>
                <w:szCs w:val="20"/>
                <w:color w:val="auto"/>
              </w:rPr>
            </w:pPr>
            <w:r>
              <w:rPr>
                <w:rFonts w:ascii="Arial" w:cs="Arial" w:eastAsia="Arial" w:hAnsi="Arial"/>
                <w:sz w:val="18"/>
                <w:szCs w:val="18"/>
                <w:color w:val="auto"/>
              </w:rPr>
              <w:t>Income (loss) before special items (non-GAAP)</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15,759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three months ended June 30, 2020, income (loss) from operations (GAAP) decreased $15.8 million, compared with the three months ended June 30, 2019, while income (loss) before special items (non-GAAP) decreased $12.7 million, or 94%. As a percentage of revenue, income (loss) before special items decreased by 610 basis points to 0.6% in the three months ended June 30, 2020 from 6.7% in the three months ended June 30, 2019. The COVID-19 outbreak, significant drop in oil prices has adversely affected our workforce and operations, as well as the operations of our customers, suppliers and contractors. These negative factors have resulted in significant volatility and uncertainty in the markets in which we operate. We are currently unable to predict or determine the overall impact that the COVID-19 pandemic and drop in oil prices may have on our business, results of operations, or liquidity. Refer to Item 1A. Risk Factors in Part I of our 2019 Form 10-K, and the additional risk factors included in Part II, Item 1.A. of this Form 10-Q for further discussion.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the six months ended June 30, 2020, income (loss) from operations (GAAP) decreased $122.6 million, compared with the six months ended June 30, 2019, while income (loss) before special items (non-GAAP) decreased $20.7 million, or 131%. As a percentage of revenue, income (loss) before special items decreased by 590 basis points to (1.7)% in the six months ended June 30, 2020 from 4.2% in the six months ended June 30, 2019. During the six months ended June 30, 2020, the COVID-19 outbreak and significant drop in oil prices has adversely affected our workforce and operations, as well as the operations of our customers, suppliers and contractors and was the primary reason for the impairment charges. These negative factors have resulted in significant volatility and uncertainty in the markets in which we operate. We are currently unable to predict or determine the overall impact that the COVID-19 pandemic and drop in oil prices may have on our business, results of operations, or liquidity. Refer to Item 1A. Risk Factors in Part I of our 2019 Form 10-K, and the additional risk factors included in Part II, Item 1.A. of this Form 10-Q for further discussion.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Interest expense was approximately $3.0 million and $3.6 million for the three months ended June 30, 2020 and 2019, respectively. Interest expense was approximately $5.8 million and $7.1 million for the six months ended June 30, 2020 and 2019, respectively. The decrease was due to lower average level of borrowings on our Credit Agreement attributable primarily to payments on borrowings for the acquisition completed during the fourth quarter of 2018, partially offset by an increase in the base borrowing rate during the second quarter as a result of the May 2020 amendment to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effective income tax rate was approximately 21% and 37% for the three months ended June 30, 2020 and 2019, respectively. The Company's effective income tax rate was approximately 14% and 45% for the six months ended June 30, 2020 and 2019. The effective income tax rate for the three months ended June 30, 2020 approximated the statutory rate, as the favorable impact of the CARES Act was offset by the unfavorable impact of taxes in other jurisdictions and other permanent book to tax differences. the effective income tax rate for the six months ended June 30, 2020 was lower than the statutory rate primarily due to impairments for which the Company will not realize income tax benefits, partially offset by income tax benefits of the CARES Act enacted on March 27, 2020. 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We project that the income tax effects of the CARES Act will result in additional income tax benefit recognized throughout the 2020 tax year and a cash refund in 2021 of taxes paid in prior years. The effective income tax rate for the three months ended March 31, 2019 was higher than the statutory rate due to the impact of discrete items, the global intangible low-taxes income, and executive compensation, and other provisions resulting from the December 22, 2017 passage of the Tax Cuts and Jobs Act and foreign tax rates different than statutory rates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21,105</w:t>
            </w: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(11,048)</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(23,139)</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39</w:t>
            </w: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7,572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(13,043)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June 30, 2020, cash provided by operating activities was $34.9 million, representing a year-on-year increase of $13.8 million, or 65%. The increase was primarily attributable to movements in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During the six months ended June 30, 2020, cash used in investing activities was $7.2 million, compared with $11.0 million in 2019. The decrease is primarily attributable to a reduction in capital expenditures to $7.6 million for the six months ended June 30, 2020 compared with $12.0 million in the comparable 2019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financing activities was $20.3 million for the six months ended June 30, 2020, compared to net cash used of $23.1 million for the six months ended June 30, 2019. During the six months ended June 30, 2020, net repayments of debt was approximately $5.2 million higher as compared to 2019. In addition, for the six months ended June 30, 2020 we made payments of $1.3 million and $1.5 million for acquisition-related contingent consideration and financing costs,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an increase of $0.3 million in the six months ended June 30, 2020, compared to a slight increase for the six months ended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2019 Annual Report under the Section “Liquidity and Capital Resources”, except as described in Note 11 – </w:t>
      </w:r>
      <w:r>
        <w:rPr>
          <w:rFonts w:ascii="Arial" w:cs="Arial" w:eastAsia="Arial" w:hAnsi="Arial"/>
          <w:sz w:val="18"/>
          <w:szCs w:val="18"/>
          <w:i w:val="1"/>
          <w:iCs w:val="1"/>
          <w:color w:val="auto"/>
        </w:rPr>
        <w:t>Long Term Debt</w:t>
      </w:r>
      <w:r>
        <w:rPr>
          <w:rFonts w:ascii="Arial" w:cs="Arial" w:eastAsia="Arial" w:hAnsi="Arial"/>
          <w:sz w:val="18"/>
          <w:szCs w:val="18"/>
          <w:color w:val="auto"/>
        </w:rPr>
        <w:t xml:space="preserve"> to the Notes to Unaudited Condensed Consolidated Financial Statements in this Quarterly Report,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2020, we had cash and cash equivalents totaling $22.6 million and available borrowing capacity of $33.1 million under our Credit Agreement with borrowings of $230.2 million and $3.9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2020, we were in compliance with the terms of the Credit Agreement and will continuously monitor its compliance with the covenants contained in its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2019 Annual Report.</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six months ended June 30,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2019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2019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June 30, 2020, our disclosure controls and procedures were not effective, due to material weaknesses in our internal control over financial reporting processes and internal controls related to the accounting for income tax, as discussed below.</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Management previously disclosed material weaknesses in internal control over financial reporting in our 2019 Annual Report pertaining to financial reporting processes and internal control related to accounting for income taxes. The Company remains committed to an effective internal control environment and management believes that these actions, and the improvements management expects to achieve as a result, will remediate the material weakness. However, the material weaknesses will not be considered remediated until the controls operate for a sufficient period of time and management has concluded through testing that these controls operate effectively. The Company continues to execute on the remediation plans as outlined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management, with oversight from the Audit Committee of the Board of Directors, is actively engaged in remediation efforts to address the identified material weaknesses over income taxes. These efforts include:</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Accelerate the risk assessment process related to changes in the business;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the design of controls surrounding the preparation and review of the income tax provision, and enhance the automation of the income tax processes and controls to allow for a timelier completion and review of internal controls; and</w:t>
      </w:r>
    </w:p>
    <w:p>
      <w:pPr>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Accelerate all key activities within the income tax accounting and reporting process and controls by further increasing and expanding the capabilities of the income tax accounting resources in order to devote additional time and resources to the consolidated income tax accounting and reporting processes and controls.</w:t>
      </w:r>
    </w:p>
    <w:p>
      <w:pPr>
        <w:spacing w:after="0" w:line="217"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During the current quarter management has reviewed and enhanced the current processes and controls surrounding the preparation of the income tax provision and engaged a third party accounting firm to assist with the documentation of these enhanced processes and controls. However, most controls over accounting for income taxes are annual controls, as such, the material weaknesses are not expected to be remediated until year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ind w:right="72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June 30, 2020 that materially affected, or are reasonably likely to materially affect, our internal control over financial reporting, other than as set forth in the remediation plan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2019 Annual Report, except as disclosed in such Note 14–</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2019 Annual Report. There have been no material changes to the risk factors previously disclosed in the 2019 Annual Report, except for the addition of the following 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adversely affected and in the future periods is expected to continue to adversely affect our business and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The COVID-19 pandemic is adversely affecting, and is expected to continue to adversely affect, our business and operations and the business and</w:t>
      </w:r>
    </w:p>
    <w:p>
      <w:pPr>
        <w:spacing w:after="0" w:line="61"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operations of our customers. We have experienced and expect to continue to experience, unpredictable reductions in demand for our services and products. In response to the COVID-19 pandemic, companies within the oil and gas and aerospace industries (including our customers) have announced spending cuts and/or slowdowns (or temporary cessation) in production which, in turn, may result in decreases in awards of new contracts or adjustments,</w:t>
      </w:r>
    </w:p>
    <w:p>
      <w:pPr>
        <w:spacing w:after="0" w:line="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reductions, suspensions or cancellations of existing contracts. In addition, as a result of the COVID-19 pandemic, some of our customers have been and could continue to be negatively impacted as a result of disruption in demand, which has led to delays and could lead to defaults on collections of receivables from them. Such continued delays could negatively impact our business, results of operations and financial condition.</w:t>
      </w:r>
    </w:p>
    <w:p>
      <w:pPr>
        <w:spacing w:after="0" w:line="192"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The continued spread of COVID-19 may result in a decrease in business and/or cause our customers to be unable to meet existing payment or other obligations to us, particularly in the event of a spread of COVID-19 in our market areas. The continued spread of COVID-19 could also negatively impact</w:t>
      </w:r>
    </w:p>
    <w:p>
      <w:pPr>
        <w:ind w:right="180"/>
        <w:spacing w:after="0" w:line="255" w:lineRule="auto"/>
        <w:rPr>
          <w:sz w:val="20"/>
          <w:szCs w:val="20"/>
          <w:color w:val="auto"/>
        </w:rPr>
      </w:pPr>
      <w:r>
        <w:rPr>
          <w:rFonts w:ascii="Arial" w:cs="Arial" w:eastAsia="Arial" w:hAnsi="Arial"/>
          <w:sz w:val="18"/>
          <w:szCs w:val="18"/>
          <w:color w:val="auto"/>
        </w:rPr>
        <w:t>the availability of our key personnel necessary to conduct our business. In addition, any significant disruption of global financial markets, reducing our ability to access capital, could negatively affect our liquidity. Because the severity, magnitude and duration of the COVID-19 pandemic and its economic consequences are uncertain, rapidly changing and difficult to predict, the impact on our business, financial condition and results of operations remains uncertain and difficult to predict. While we expect the COVID-19 pandemic to have an adverse effect on our business, financial condition, liquidity, cash flow and results of operations, we are unable to predict the extent, nature or duration of these impacts at this time, although we expect such negative impacts for the remainder of the fiscal year and perhaps longer.</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the economic disruption caused by the COVID-19 pandemic increases in magnitude or continues longer than expected, we may have difficulty meeting the financial covenants in our credit agreement with our banks.</w:t>
      </w:r>
    </w:p>
    <w:p>
      <w:pPr>
        <w:spacing w:after="0" w:line="19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 expected that the economic disruption being caused by the COVID-19 pandemic was likely to cause our results in upcoming quarters to be less than what was required to meet the financial covenants in our then existing credit agreement with our banks. We obtained an amendment to our credit agreement which included, among other terms, modifications to the financial covenants in the credit agreement, and a reduction in our revolving line of credit from $300 million to $175 million. We believe it is probable that we will be able to meet the amended financial covenants and that sufficient credit remains available under the amended Credit Facility to meet our liquidity needs. However, due to the uncertainties and risks created by the COVID-19 pandemic, no assurance can be given that we will comply with these amended covenants, particularly if the pandemic increases in intensity or its duration is longer than expected. If we are not able to meet the financial covenants in our credit agreement in future quarters, we will be in default, which would give the lenders the right to terminate the agreement, not allow us to borrow on our line of credit, call all of our loans to be due and payable, and exercise</w:t>
      </w:r>
    </w:p>
    <w:p>
      <w:pPr>
        <w:spacing w:after="0" w:line="2"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any other remedies available to the lenders. If we do default on our credit agreement and the lenders elect to not grant us a waiver or amendment and/or to commence exercising their remedies and we are unable to obtain other funding sources, our operations will be materially impacted and we may not be able</w:t>
      </w:r>
    </w:p>
    <w:p>
      <w:pPr>
        <w:ind w:right="100"/>
        <w:spacing w:after="0" w:line="277" w:lineRule="auto"/>
        <w:rPr>
          <w:sz w:val="20"/>
          <w:szCs w:val="20"/>
          <w:color w:val="auto"/>
        </w:rPr>
      </w:pPr>
      <w:r>
        <w:rPr>
          <w:rFonts w:ascii="Arial" w:cs="Arial" w:eastAsia="Arial" w:hAnsi="Arial"/>
          <w:sz w:val="18"/>
          <w:szCs w:val="18"/>
          <w:color w:val="auto"/>
        </w:rPr>
        <w:t>to continue operating as a going concern. If we do obtain alternate funding sources, this alternate financing could be on substantially different and adverse terms than our existing credit agreement, materially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impacting our operations and profitability, and otherwise could significantly dilute our existing shareholders and have other materially adverse effects on us and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right="8620" w:hanging="652"/>
        <w:spacing w:after="0" w:line="500" w:lineRule="auto"/>
        <w:tabs>
          <w:tab w:leader="none" w:pos="267"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800" w:hanging="652"/>
        <w:spacing w:after="0" w:line="498" w:lineRule="auto"/>
        <w:tabs>
          <w:tab w:leader="none" w:pos="267"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 Number of Shares (or</w:t>
            </w:r>
          </w:p>
        </w:tc>
        <w:tc>
          <w:tcPr>
            <w:tcW w:w="200" w:type="dxa"/>
            <w:vAlign w:val="bottom"/>
          </w:tcPr>
          <w:p>
            <w:pPr>
              <w:spacing w:after="0"/>
              <w:rPr>
                <w:sz w:val="14"/>
                <w:szCs w:val="14"/>
                <w:color w:val="auto"/>
              </w:rPr>
            </w:pPr>
          </w:p>
        </w:tc>
        <w:tc>
          <w:tcPr>
            <w:tcW w:w="17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7"/>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Approximate Dollar Value of Shares</w:t>
            </w:r>
          </w:p>
        </w:tc>
        <w:tc>
          <w:tcPr>
            <w:tcW w:w="0" w:type="dxa"/>
            <w:vAlign w:val="bottom"/>
          </w:tcPr>
          <w:p>
            <w:pPr>
              <w:spacing w:after="0"/>
              <w:rPr>
                <w:sz w:val="1"/>
                <w:szCs w:val="1"/>
                <w:color w:val="auto"/>
              </w:rPr>
            </w:pPr>
          </w:p>
        </w:tc>
      </w:tr>
      <w:tr>
        <w:trPr>
          <w:trHeight w:val="148"/>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 Ending</w:t>
            </w:r>
          </w:p>
        </w:tc>
        <w:tc>
          <w:tcPr>
            <w:tcW w:w="26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 Announced</w:t>
            </w: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that May Yet Be Purchased Under the</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Units) Purchased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30, 2020</w:t>
            </w:r>
          </w:p>
        </w:tc>
        <w:tc>
          <w:tcPr>
            <w:tcW w:w="2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May 31, 2020</w:t>
            </w:r>
          </w:p>
        </w:tc>
        <w:tc>
          <w:tcPr>
            <w:tcW w:w="2580" w:type="dxa"/>
            <w:vAlign w:val="bottom"/>
          </w:tcPr>
          <w:p>
            <w:pPr>
              <w:jc w:val="right"/>
              <w:ind w:right="77"/>
              <w:spacing w:after="0"/>
              <w:rPr>
                <w:sz w:val="20"/>
                <w:szCs w:val="20"/>
                <w:color w:val="auto"/>
              </w:rPr>
            </w:pPr>
            <w:r>
              <w:rPr>
                <w:rFonts w:ascii="Arial" w:cs="Arial" w:eastAsia="Arial" w:hAnsi="Arial"/>
                <w:sz w:val="18"/>
                <w:szCs w:val="18"/>
                <w:color w:val="auto"/>
              </w:rPr>
              <w:t>24,129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7"/>
              <w:spacing w:after="0"/>
              <w:rPr>
                <w:sz w:val="20"/>
                <w:szCs w:val="20"/>
                <w:color w:val="auto"/>
              </w:rPr>
            </w:pPr>
            <w:r>
              <w:rPr>
                <w:rFonts w:ascii="Arial" w:cs="Arial" w:eastAsia="Arial" w:hAnsi="Arial"/>
                <w:sz w:val="18"/>
                <w:szCs w:val="18"/>
                <w:color w:val="auto"/>
              </w:rPr>
              <w:t>4.04</w:t>
            </w:r>
          </w:p>
        </w:tc>
        <w:tc>
          <w:tcPr>
            <w:tcW w:w="2380" w:type="dxa"/>
            <w:vAlign w:val="bottom"/>
          </w:tcPr>
          <w:p>
            <w:pPr>
              <w:ind w:left="2000"/>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2020" w:type="dxa"/>
            <w:vAlign w:val="bottom"/>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5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3.79</w:t>
            </w:r>
          </w:p>
        </w:tc>
        <w:tc>
          <w:tcPr>
            <w:tcW w:w="238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20" w:type="dxa"/>
            <w:vAlign w:val="bottom"/>
            <w:gridSpan w:val="2"/>
          </w:tcPr>
          <w:p>
            <w:pPr>
              <w:ind w:left="1040"/>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1060" w:type="dxa"/>
            <w:vAlign w:val="bottom"/>
            <w:tcBorders>
              <w:top w:val="single" w:sz="8" w:color="auto"/>
            </w:tcBorders>
          </w:tcPr>
          <w:p>
            <w:pPr>
              <w:ind w:left="20"/>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10.1</w:t>
              </w:r>
            </w:hyperlink>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tcBorders>
            <w:gridSpan w:val="6"/>
          </w:tcPr>
          <w:p>
            <w:pPr>
              <w:spacing w:after="0"/>
              <w:rPr>
                <w:rFonts w:ascii="Arial" w:cs="Arial" w:eastAsia="Arial" w:hAnsi="Arial"/>
                <w:sz w:val="18"/>
                <w:szCs w:val="18"/>
                <w:color w:val="0000FF"/>
                <w:w w:val="94"/>
              </w:rPr>
            </w:pPr>
            <w:hyperlink r:id="rId66">
              <w:r>
                <w:rPr>
                  <w:rFonts w:ascii="Arial" w:cs="Arial" w:eastAsia="Arial" w:hAnsi="Arial"/>
                  <w:sz w:val="18"/>
                  <w:szCs w:val="18"/>
                  <w:u w:val="single" w:color="auto"/>
                  <w:color w:val="0000FF"/>
                  <w:w w:val="94"/>
                </w:rPr>
                <w:t>Third Amendment, dated May</w:t>
              </w:r>
              <w:r>
                <w:rPr>
                  <w:rFonts w:ascii="Arial" w:cs="Arial" w:eastAsia="Arial" w:hAnsi="Arial"/>
                  <w:sz w:val="18"/>
                  <w:szCs w:val="18"/>
                  <w:color w:val="0000FF"/>
                  <w:w w:val="94"/>
                </w:rPr>
                <w:t xml:space="preserve"> 15, 2020, to Fifth Amended and Restated Credit Agreement, dated December 13, 2018 (filed as Exhibit</w:t>
              </w:r>
            </w:hyperlink>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5"/>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Current Report on Form 8-K filed Ma</w:t>
              </w:r>
              <w:r>
                <w:rPr>
                  <w:rFonts w:ascii="Arial" w:cs="Arial" w:eastAsia="Arial" w:hAnsi="Arial"/>
                  <w:sz w:val="18"/>
                  <w:szCs w:val="18"/>
                  <w:u w:val="single" w:color="auto"/>
                  <w:color w:val="0000FF"/>
                </w:rPr>
                <w:t>y</w:t>
              </w:r>
              <w:r>
                <w:rPr>
                  <w:rFonts w:ascii="Arial" w:cs="Arial" w:eastAsia="Arial" w:hAnsi="Arial"/>
                  <w:sz w:val="18"/>
                  <w:szCs w:val="18"/>
                  <w:color w:val="0000FF"/>
                </w:rPr>
                <w:t xml:space="preserve"> 15, </w:t>
              </w:r>
              <w:r>
                <w:rPr>
                  <w:rFonts w:ascii="Arial" w:cs="Arial" w:eastAsia="Arial" w:hAnsi="Arial"/>
                  <w:sz w:val="18"/>
                  <w:szCs w:val="18"/>
                  <w:u w:val="single" w:color="auto"/>
                  <w:color w:val="0000FF"/>
                </w:rPr>
                <w:t>2020 and incorporated herein by reference).</w:t>
              </w:r>
            </w:hyperlink>
          </w:p>
        </w:tc>
        <w:tc>
          <w:tcPr>
            <w:tcW w:w="3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1060" w:type="dxa"/>
            <w:vAlign w:val="bottom"/>
          </w:tcPr>
          <w:p>
            <w:pPr>
              <w:ind w:left="20"/>
              <w:spacing w:after="0"/>
              <w:rPr>
                <w:rFonts w:ascii="Arial" w:cs="Arial" w:eastAsia="Arial" w:hAnsi="Arial"/>
                <w:sz w:val="18"/>
                <w:szCs w:val="18"/>
                <w:color w:val="0000FF"/>
              </w:rPr>
            </w:pPr>
            <w:hyperlink w:anchor="page47">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color w:val="0000FF"/>
              </w:rPr>
            </w:pPr>
            <w:hyperlink w:anchor="page47">
              <w:r>
                <w:rPr>
                  <w:rFonts w:ascii="Arial" w:cs="Arial" w:eastAsia="Arial" w:hAnsi="Arial"/>
                  <w:sz w:val="18"/>
                  <w:szCs w:val="18"/>
                  <w:u w:val="single" w:color="auto"/>
                  <w:color w:val="0000FF"/>
                </w:rPr>
                <w:t>First Amendment to Mistras Group, Inc. 2016 Long-Term Incentive Plan dated May 19, 2020</w:t>
              </w:r>
              <w:r>
                <w:rPr>
                  <w:rFonts w:ascii="Arial" w:cs="Arial" w:eastAsia="Arial" w:hAnsi="Arial"/>
                  <w:sz w:val="18"/>
                  <w:szCs w:val="18"/>
                  <w:color w:val="0000FF"/>
                </w:rPr>
                <w:t>.</w:t>
              </w:r>
            </w:hyperlink>
          </w:p>
        </w:tc>
      </w:tr>
      <w:tr>
        <w:trPr>
          <w:trHeight w:val="499"/>
        </w:trPr>
        <w:tc>
          <w:tcPr>
            <w:tcW w:w="106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31.1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Chief Executive Officer pursuant to Rule 13a-14(a) under the Securities Exchange Act of 1934.</w:t>
              </w:r>
            </w:hyperlink>
          </w:p>
        </w:tc>
      </w:tr>
      <w:tr>
        <w:trPr>
          <w:trHeight w:val="500"/>
        </w:trPr>
        <w:tc>
          <w:tcPr>
            <w:tcW w:w="106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31.2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Chief Financial Officer pursuant to Rule 13a-14(a) under the Securities Exchange Act of 1934.</w:t>
              </w:r>
            </w:hyperlink>
          </w:p>
        </w:tc>
      </w:tr>
      <w:tr>
        <w:trPr>
          <w:trHeight w:val="499"/>
        </w:trPr>
        <w:tc>
          <w:tcPr>
            <w:tcW w:w="106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32.1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pursuant to Section 906 of the Sarbanes-Oxley Act of 2002.</w:t>
              </w:r>
            </w:hyperlink>
          </w:p>
        </w:tc>
      </w:tr>
      <w:tr>
        <w:trPr>
          <w:trHeight w:val="51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10.2 is a management contract or compensatory plan, contract, or arrangement.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8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31750</wp:posOffset>
            </wp:positionV>
            <wp:extent cx="3754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 and duly authorized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320" w:top="122" w:right="659" w:bottom="1440" w:gutter="0" w:footer="0" w:header="0"/>
        </w:sectPr>
      </w:pPr>
    </w:p>
    <w:bookmarkStart w:id="46" w:name="page47"/>
    <w:bookmarkEnd w:id="46"/>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First Amendment</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jc w:val="center"/>
        <w:ind w:right="-39"/>
        <w:spacing w:after="0" w:line="234" w:lineRule="auto"/>
        <w:rPr>
          <w:sz w:val="20"/>
          <w:szCs w:val="20"/>
          <w:color w:val="auto"/>
        </w:rPr>
      </w:pPr>
      <w:r>
        <w:rPr>
          <w:rFonts w:ascii="Arial" w:cs="Arial" w:eastAsia="Arial" w:hAnsi="Arial"/>
          <w:sz w:val="18"/>
          <w:szCs w:val="18"/>
          <w:b w:val="1"/>
          <w:bCs w:val="1"/>
          <w:color w:val="auto"/>
        </w:rPr>
        <w:t>Mistras Group, Inc.</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Long-Term Incentive Plan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4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Mistras Group, Inc. (the “Company”), maintains the Mistras Group, Inc. 2016 Long-Term Incentive Plan (the “Plan”).</w:t>
      </w:r>
    </w:p>
    <w:p>
      <w:pPr>
        <w:spacing w:after="0" w:line="238" w:lineRule="exact"/>
        <w:rPr>
          <w:rFonts w:ascii="Arial" w:cs="Arial" w:eastAsia="Arial" w:hAnsi="Arial"/>
          <w:sz w:val="18"/>
          <w:szCs w:val="18"/>
          <w:color w:val="auto"/>
        </w:rPr>
      </w:pPr>
    </w:p>
    <w:p>
      <w:pPr>
        <w:ind w:left="660" w:right="680" w:hanging="328"/>
        <w:spacing w:after="0" w:line="261"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Plan was originally effective as of October 18, 2016, the date on which it was approve by a majority of the shareholders voting at the Company’s 2016 annual shareholders meeting.</w:t>
      </w:r>
    </w:p>
    <w:p>
      <w:pPr>
        <w:spacing w:after="0" w:line="197" w:lineRule="exact"/>
        <w:rPr>
          <w:rFonts w:ascii="Arial" w:cs="Arial" w:eastAsia="Arial" w:hAnsi="Arial"/>
          <w:sz w:val="18"/>
          <w:szCs w:val="18"/>
          <w:color w:val="auto"/>
        </w:rPr>
      </w:pPr>
    </w:p>
    <w:p>
      <w:pPr>
        <w:ind w:left="660" w:hanging="328"/>
        <w:spacing w:after="0" w:line="248"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Plan currently authorizes the issuance of up to 1,700,000 shares of common stock, par value $.01 per share, of the Company (“Stock”) and the Board has determined that it is in the best interest of the Company and its shareholders to amend the Plan to increase the number of shares of Stock that may be issued pursuant to the Plan by 2,000,000 shares.</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requisite shareholders of the Company have approved the foregoing amendment.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w:t>
      </w:r>
    </w:p>
    <w:p>
      <w:pPr>
        <w:spacing w:after="0" w:line="24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sentence of Section 4.1 of the Plan shall be deleted in its entirety and replaced with the following:</w:t>
      </w:r>
    </w:p>
    <w:p>
      <w:pPr>
        <w:spacing w:after="0" w:line="2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 Issuable Under the Plan</w:t>
      </w:r>
      <w:r>
        <w:rPr>
          <w:rFonts w:ascii="Arial" w:cs="Arial" w:eastAsia="Arial" w:hAnsi="Arial"/>
          <w:sz w:val="18"/>
          <w:szCs w:val="18"/>
          <w:color w:val="auto"/>
        </w:rPr>
        <w:t>. Subject to Section 4.3, up to 3,700,000 Shares shall be available for grant and issuance pursuant to Awards made under the Plan.”</w:t>
      </w:r>
    </w:p>
    <w:p>
      <w:pPr>
        <w:spacing w:after="0" w:line="19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set forth in this amendment, the Plan shall be unaffected hereby and shall remain in full force and effect.</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undersigned hereby certifies that the foregoing amendment to the Plan was duly approved and adopted and has executed this amendment to the Plan as of May 19, 2020.</w:t>
      </w:r>
    </w:p>
    <w:p>
      <w:pPr>
        <w:spacing w:after="0" w:line="27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Mistras Group, Inc.</w:t>
      </w:r>
    </w:p>
    <w:p>
      <w:pPr>
        <w:spacing w:after="0" w:line="270" w:lineRule="exact"/>
        <w:rPr>
          <w:sz w:val="20"/>
          <w:szCs w:val="20"/>
          <w:color w:val="auto"/>
        </w:rPr>
      </w:pPr>
    </w:p>
    <w:p>
      <w:pPr>
        <w:ind w:left="54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C. 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31032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Michael C. Keefe</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Executive Vice President, General Counsel and Secretary</w:t>
      </w:r>
    </w:p>
    <w:p>
      <w:pPr>
        <w:sectPr>
          <w:pgSz w:w="11900" w:h="16838" w:orient="portrait"/>
          <w:cols w:equalWidth="0" w:num="1">
            <w:col w:w="11220"/>
          </w:cols>
          <w:pgMar w:left="320" w:top="1440"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07, 2020</w:t>
      </w:r>
    </w:p>
    <w:p>
      <w:pPr>
        <w:spacing w:after="0" w:line="15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07, 2020</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31750</wp:posOffset>
            </wp:positionV>
            <wp:extent cx="38233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2020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August 07, 2020</w:t>
      </w:r>
    </w:p>
    <w:p>
      <w:pPr>
        <w:spacing w:after="0" w:line="30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7890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7890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2"/>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5" Type="http://schemas.openxmlformats.org/officeDocument/2006/relationships/hyperlink" Target="http://www.sec.gov/Archives/edgar/data/1436126/000143612620000009/0001436126-20-000009-index.htm" TargetMode="External"/><Relationship Id="rId66" Type="http://schemas.openxmlformats.org/officeDocument/2006/relationships/hyperlink" Target="http://www.sec.gov/Archives/edgar/data/1436126/000143612620000035/mistrasthird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2020-08-10T06:14:44Z</dcterms:created>
  <dcterms:modified xsi:type="dcterms:W3CDTF">2020-08-10T06:14:44Z</dcterms:modified>
</cp:coreProperties>
</file>