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jc w:val="center"/>
        <w:ind w:right="-199"/>
        <w:spacing w:after="0"/>
        <w:rPr>
          <w:sz w:val="20"/>
          <w:szCs w:val="20"/>
          <w:color w:val="auto"/>
        </w:rPr>
      </w:pPr>
      <w:r>
        <w:rPr>
          <w:rFonts w:ascii="Arial" w:cs="Arial" w:eastAsia="Arial" w:hAnsi="Arial"/>
          <w:sz w:val="21"/>
          <w:szCs w:val="21"/>
          <w:b w:val="1"/>
          <w:bCs w:val="1"/>
          <w:color w:val="auto"/>
        </w:rPr>
        <w:t>x QUARTERLY REPORT PURSUANT TO SECTION 13 OR 15(d) OF THE SECURITIES EXCHANGE ACT OF 1934</w:t>
      </w: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February 28, 2013</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520" w:right="440" w:hanging="318"/>
        <w:spacing w:after="0" w:line="256" w:lineRule="auto"/>
        <w:tabs>
          <w:tab w:leader="none" w:pos="4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6500" w:type="dxa"/>
            <w:vAlign w:val="bottom"/>
            <w:gridSpan w:val="3"/>
          </w:tcPr>
          <w:p>
            <w:pPr>
              <w:ind w:left="2720"/>
              <w:spacing w:after="0"/>
              <w:rPr>
                <w:sz w:val="20"/>
                <w:szCs w:val="20"/>
                <w:color w:val="auto"/>
              </w:rPr>
            </w:pPr>
            <w:r>
              <w:rPr>
                <w:rFonts w:ascii="Arial" w:cs="Arial" w:eastAsia="Arial" w:hAnsi="Arial"/>
                <w:sz w:val="18"/>
                <w:szCs w:val="18"/>
                <w:b w:val="1"/>
                <w:bCs w:val="1"/>
                <w:color w:val="auto"/>
              </w:rPr>
              <w:t>For the transition period to</w:t>
            </w:r>
          </w:p>
        </w:tc>
        <w:tc>
          <w:tcPr>
            <w:tcW w:w="15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35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0"/>
              </w:rPr>
              <w:t>Commission file number 001- 34481</w:t>
            </w:r>
          </w:p>
        </w:tc>
        <w:tc>
          <w:tcPr>
            <w:tcW w:w="1520" w:type="dxa"/>
            <w:vAlign w:val="bottom"/>
          </w:tcPr>
          <w:p>
            <w:pPr>
              <w:spacing w:after="0"/>
              <w:rPr>
                <w:sz w:val="24"/>
                <w:szCs w:val="24"/>
                <w:color w:val="auto"/>
              </w:rPr>
            </w:pPr>
          </w:p>
        </w:tc>
      </w:tr>
      <w:tr>
        <w:trPr>
          <w:trHeight w:val="324"/>
        </w:trPr>
        <w:tc>
          <w:tcPr>
            <w:tcW w:w="296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668"/>
        </w:trPr>
        <w:tc>
          <w:tcPr>
            <w:tcW w:w="2960" w:type="dxa"/>
            <w:vAlign w:val="bottom"/>
          </w:tcPr>
          <w:p>
            <w:pPr>
              <w:spacing w:after="0"/>
              <w:rPr>
                <w:sz w:val="24"/>
                <w:szCs w:val="24"/>
                <w:color w:val="auto"/>
              </w:rPr>
            </w:pPr>
          </w:p>
        </w:tc>
        <w:tc>
          <w:tcPr>
            <w:tcW w:w="3540" w:type="dxa"/>
            <w:vAlign w:val="bottom"/>
            <w:gridSpan w:val="2"/>
          </w:tcPr>
          <w:p>
            <w:pPr>
              <w:jc w:val="center"/>
              <w:ind w:right="680"/>
              <w:spacing w:after="0"/>
              <w:rPr>
                <w:sz w:val="20"/>
                <w:szCs w:val="20"/>
                <w:color w:val="auto"/>
              </w:rPr>
            </w:pPr>
            <w:r>
              <w:rPr>
                <w:rFonts w:ascii="Arial" w:cs="Arial" w:eastAsia="Arial" w:hAnsi="Arial"/>
                <w:sz w:val="32"/>
                <w:szCs w:val="32"/>
                <w:b w:val="1"/>
                <w:bCs w:val="1"/>
                <w:color w:val="auto"/>
                <w:w w:val="94"/>
              </w:rPr>
              <w:t>Mistras Group, Inc.</w:t>
            </w:r>
          </w:p>
        </w:tc>
        <w:tc>
          <w:tcPr>
            <w:tcW w:w="1520" w:type="dxa"/>
            <w:vAlign w:val="bottom"/>
          </w:tcPr>
          <w:p>
            <w:pPr>
              <w:spacing w:after="0"/>
              <w:rPr>
                <w:sz w:val="24"/>
                <w:szCs w:val="24"/>
                <w:color w:val="auto"/>
              </w:rPr>
            </w:pPr>
          </w:p>
        </w:tc>
      </w:tr>
      <w:tr>
        <w:trPr>
          <w:trHeight w:val="230"/>
        </w:trPr>
        <w:tc>
          <w:tcPr>
            <w:tcW w:w="6500" w:type="dxa"/>
            <w:vAlign w:val="bottom"/>
            <w:gridSpan w:val="3"/>
          </w:tcPr>
          <w:p>
            <w:pPr>
              <w:jc w:val="center"/>
              <w:ind w:left="2210"/>
              <w:spacing w:after="0"/>
              <w:rPr>
                <w:sz w:val="20"/>
                <w:szCs w:val="20"/>
                <w:color w:val="auto"/>
              </w:rPr>
            </w:pPr>
            <w:r>
              <w:rPr>
                <w:rFonts w:ascii="Arial" w:cs="Arial" w:eastAsia="Arial" w:hAnsi="Arial"/>
                <w:sz w:val="18"/>
                <w:szCs w:val="18"/>
                <w:color w:val="auto"/>
                <w:w w:val="90"/>
              </w:rPr>
              <w:t>(Exact name of registrant as specified in its charter)</w:t>
            </w:r>
          </w:p>
        </w:tc>
        <w:tc>
          <w:tcPr>
            <w:tcW w:w="1520" w:type="dxa"/>
            <w:vAlign w:val="bottom"/>
          </w:tcPr>
          <w:p>
            <w:pPr>
              <w:spacing w:after="0"/>
              <w:rPr>
                <w:sz w:val="20"/>
                <w:szCs w:val="20"/>
                <w:color w:val="auto"/>
              </w:rPr>
            </w:pPr>
          </w:p>
        </w:tc>
      </w:tr>
      <w:tr>
        <w:trPr>
          <w:trHeight w:val="324"/>
        </w:trPr>
        <w:tc>
          <w:tcPr>
            <w:tcW w:w="296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519"/>
        </w:trPr>
        <w:tc>
          <w:tcPr>
            <w:tcW w:w="6500" w:type="dxa"/>
            <w:vAlign w:val="bottom"/>
            <w:gridSpan w:val="3"/>
          </w:tcPr>
          <w:p>
            <w:pPr>
              <w:jc w:val="center"/>
              <w:ind w:right="3620"/>
              <w:spacing w:after="0"/>
              <w:rPr>
                <w:sz w:val="20"/>
                <w:szCs w:val="20"/>
                <w:color w:val="auto"/>
              </w:rPr>
            </w:pPr>
            <w:r>
              <w:rPr>
                <w:rFonts w:ascii="Arial" w:cs="Arial" w:eastAsia="Arial" w:hAnsi="Arial"/>
                <w:sz w:val="18"/>
                <w:szCs w:val="18"/>
                <w:b w:val="1"/>
                <w:bCs w:val="1"/>
                <w:color w:val="auto"/>
                <w:w w:val="91"/>
              </w:rPr>
              <w:t>Delaware</w:t>
            </w: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auto"/>
              </w:rPr>
              <w:t>22-3341267</w:t>
            </w:r>
          </w:p>
        </w:tc>
      </w:tr>
      <w:tr>
        <w:trPr>
          <w:trHeight w:val="216"/>
        </w:trPr>
        <w:tc>
          <w:tcPr>
            <w:tcW w:w="6500" w:type="dxa"/>
            <w:vAlign w:val="bottom"/>
            <w:gridSpan w:val="3"/>
          </w:tcPr>
          <w:p>
            <w:pPr>
              <w:jc w:val="center"/>
              <w:ind w:right="3620"/>
              <w:spacing w:after="0"/>
              <w:rPr>
                <w:sz w:val="20"/>
                <w:szCs w:val="20"/>
                <w:color w:val="auto"/>
              </w:rPr>
            </w:pPr>
            <w:r>
              <w:rPr>
                <w:rFonts w:ascii="Arial" w:cs="Arial" w:eastAsia="Arial" w:hAnsi="Arial"/>
                <w:sz w:val="18"/>
                <w:szCs w:val="18"/>
                <w:color w:val="auto"/>
                <w:w w:val="92"/>
              </w:rPr>
              <w:t>(State or other jurisdiction of</w:t>
            </w:r>
          </w:p>
        </w:tc>
        <w:tc>
          <w:tcPr>
            <w:tcW w:w="1520" w:type="dxa"/>
            <w:vAlign w:val="bottom"/>
          </w:tcPr>
          <w:p>
            <w:pPr>
              <w:jc w:val="center"/>
              <w:ind w:left="110"/>
              <w:spacing w:after="0"/>
              <w:rPr>
                <w:sz w:val="20"/>
                <w:szCs w:val="20"/>
                <w:color w:val="auto"/>
              </w:rPr>
            </w:pPr>
            <w:r>
              <w:rPr>
                <w:rFonts w:ascii="Arial" w:cs="Arial" w:eastAsia="Arial" w:hAnsi="Arial"/>
                <w:sz w:val="18"/>
                <w:szCs w:val="18"/>
                <w:color w:val="auto"/>
                <w:w w:val="93"/>
              </w:rPr>
              <w:t>(I.R.S. Employer</w:t>
            </w:r>
          </w:p>
        </w:tc>
      </w:tr>
      <w:tr>
        <w:trPr>
          <w:trHeight w:val="230"/>
        </w:trPr>
        <w:tc>
          <w:tcPr>
            <w:tcW w:w="6500" w:type="dxa"/>
            <w:vAlign w:val="bottom"/>
            <w:gridSpan w:val="3"/>
          </w:tcPr>
          <w:p>
            <w:pPr>
              <w:jc w:val="center"/>
              <w:ind w:right="3620"/>
              <w:spacing w:after="0"/>
              <w:rPr>
                <w:sz w:val="20"/>
                <w:szCs w:val="20"/>
                <w:color w:val="auto"/>
              </w:rPr>
            </w:pPr>
            <w:r>
              <w:rPr>
                <w:rFonts w:ascii="Arial" w:cs="Arial" w:eastAsia="Arial" w:hAnsi="Arial"/>
                <w:sz w:val="18"/>
                <w:szCs w:val="18"/>
                <w:color w:val="auto"/>
                <w:w w:val="92"/>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500" w:type="dxa"/>
            <w:vAlign w:val="bottom"/>
            <w:gridSpan w:val="3"/>
          </w:tcPr>
          <w:p>
            <w:pPr>
              <w:jc w:val="center"/>
              <w:ind w:right="3620"/>
              <w:spacing w:after="0"/>
              <w:rPr>
                <w:sz w:val="20"/>
                <w:szCs w:val="20"/>
                <w:color w:val="auto"/>
              </w:rPr>
            </w:pPr>
            <w:r>
              <w:rPr>
                <w:rFonts w:ascii="Arial" w:cs="Arial" w:eastAsia="Arial" w:hAnsi="Arial"/>
                <w:sz w:val="18"/>
                <w:szCs w:val="18"/>
                <w:b w:val="1"/>
                <w:bCs w:val="1"/>
                <w:color w:val="auto"/>
                <w:w w:val="91"/>
              </w:rPr>
              <w:t>195 Clarksville Road</w:t>
            </w:r>
          </w:p>
        </w:tc>
        <w:tc>
          <w:tcPr>
            <w:tcW w:w="1520" w:type="dxa"/>
            <w:vAlign w:val="bottom"/>
          </w:tcPr>
          <w:p>
            <w:pPr>
              <w:spacing w:after="0"/>
              <w:rPr>
                <w:sz w:val="24"/>
                <w:szCs w:val="24"/>
                <w:color w:val="auto"/>
              </w:rPr>
            </w:pPr>
          </w:p>
        </w:tc>
      </w:tr>
      <w:tr>
        <w:trPr>
          <w:trHeight w:val="220"/>
        </w:trPr>
        <w:tc>
          <w:tcPr>
            <w:tcW w:w="6500" w:type="dxa"/>
            <w:vAlign w:val="bottom"/>
            <w:gridSpan w:val="3"/>
          </w:tcPr>
          <w:p>
            <w:pPr>
              <w:jc w:val="center"/>
              <w:ind w:right="3620"/>
              <w:spacing w:after="0"/>
              <w:rPr>
                <w:sz w:val="20"/>
                <w:szCs w:val="20"/>
                <w:color w:val="auto"/>
              </w:rPr>
            </w:pPr>
            <w:r>
              <w:rPr>
                <w:rFonts w:ascii="Arial" w:cs="Arial" w:eastAsia="Arial" w:hAnsi="Arial"/>
                <w:sz w:val="18"/>
                <w:szCs w:val="18"/>
                <w:b w:val="1"/>
                <w:bCs w:val="1"/>
                <w:color w:val="auto"/>
                <w:w w:val="89"/>
              </w:rPr>
              <w:t>Princeton Junction, New Jersey</w:t>
            </w:r>
          </w:p>
        </w:tc>
        <w:tc>
          <w:tcPr>
            <w:tcW w:w="1520" w:type="dxa"/>
            <w:vAlign w:val="bottom"/>
          </w:tcPr>
          <w:p>
            <w:pPr>
              <w:jc w:val="right"/>
              <w:ind w:right="350"/>
              <w:spacing w:after="0"/>
              <w:rPr>
                <w:sz w:val="20"/>
                <w:szCs w:val="20"/>
                <w:color w:val="auto"/>
              </w:rPr>
            </w:pPr>
            <w:r>
              <w:rPr>
                <w:rFonts w:ascii="Arial" w:cs="Arial" w:eastAsia="Arial" w:hAnsi="Arial"/>
                <w:sz w:val="18"/>
                <w:szCs w:val="18"/>
                <w:b w:val="1"/>
                <w:bCs w:val="1"/>
                <w:color w:val="auto"/>
              </w:rPr>
              <w:t>08550</w:t>
            </w:r>
          </w:p>
        </w:tc>
      </w:tr>
      <w:tr>
        <w:trPr>
          <w:trHeight w:val="230"/>
        </w:trPr>
        <w:tc>
          <w:tcPr>
            <w:tcW w:w="6500" w:type="dxa"/>
            <w:vAlign w:val="bottom"/>
            <w:gridSpan w:val="3"/>
          </w:tcPr>
          <w:p>
            <w:pPr>
              <w:jc w:val="center"/>
              <w:ind w:right="364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110"/>
              <w:spacing w:after="0"/>
              <w:rPr>
                <w:sz w:val="20"/>
                <w:szCs w:val="20"/>
                <w:color w:val="auto"/>
              </w:rPr>
            </w:pPr>
            <w:r>
              <w:rPr>
                <w:rFonts w:ascii="Arial" w:cs="Arial" w:eastAsia="Arial" w:hAnsi="Arial"/>
                <w:sz w:val="18"/>
                <w:szCs w:val="18"/>
                <w:color w:val="auto"/>
                <w:w w:val="94"/>
              </w:rPr>
              <w:t>(Zip Code)</w:t>
            </w:r>
          </w:p>
        </w:tc>
      </w:tr>
      <w:tr>
        <w:trPr>
          <w:trHeight w:val="418"/>
        </w:trPr>
        <w:tc>
          <w:tcPr>
            <w:tcW w:w="5840" w:type="dxa"/>
            <w:vAlign w:val="bottom"/>
            <w:gridSpan w:val="2"/>
          </w:tcPr>
          <w:p>
            <w:pPr>
              <w:jc w:val="center"/>
              <w:ind w:left="2870"/>
              <w:spacing w:after="0"/>
              <w:rPr>
                <w:sz w:val="20"/>
                <w:szCs w:val="20"/>
                <w:color w:val="auto"/>
              </w:rPr>
            </w:pPr>
            <w:r>
              <w:rPr>
                <w:rFonts w:ascii="Arial" w:cs="Arial" w:eastAsia="Arial" w:hAnsi="Arial"/>
                <w:sz w:val="18"/>
                <w:szCs w:val="18"/>
                <w:b w:val="1"/>
                <w:bCs w:val="1"/>
                <w:color w:val="auto"/>
                <w:w w:val="90"/>
              </w:rPr>
              <w:t>(609) 716-4000</w:t>
            </w: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0"/>
        </w:trPr>
        <w:tc>
          <w:tcPr>
            <w:tcW w:w="6500" w:type="dxa"/>
            <w:vAlign w:val="bottom"/>
            <w:gridSpan w:val="3"/>
          </w:tcPr>
          <w:p>
            <w:pPr>
              <w:jc w:val="center"/>
              <w:ind w:left="219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81" w:lineRule="exact"/>
        <w:rPr>
          <w:sz w:val="24"/>
          <w:szCs w:val="24"/>
          <w:color w:val="auto"/>
        </w:rPr>
      </w:pPr>
    </w:p>
    <w:p>
      <w:pPr>
        <w:ind w:right="22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o No</w:t>
      </w:r>
    </w:p>
    <w:p>
      <w:pPr>
        <w:spacing w:after="0" w:line="181" w:lineRule="exact"/>
        <w:rPr>
          <w:sz w:val="24"/>
          <w:szCs w:val="24"/>
          <w:color w:val="auto"/>
        </w:rPr>
      </w:pPr>
    </w:p>
    <w:p>
      <w:pPr>
        <w:ind w:right="8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233" w:right="279" w:bottom="0" w:gutter="0" w:footer="0" w:header="0"/>
        </w:sectPr>
      </w:pPr>
    </w:p>
    <w:p>
      <w:pPr>
        <w:spacing w:after="0" w:line="124" w:lineRule="exact"/>
        <w:rPr>
          <w:sz w:val="24"/>
          <w:szCs w:val="24"/>
          <w:color w:val="auto"/>
        </w:rPr>
      </w:pPr>
    </w:p>
    <w:p>
      <w:pPr>
        <w:ind w:left="18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80" w:space="720"/>
            <w:col w:w="3380"/>
          </w:cols>
          <w:pgMar w:left="240" w:top="233" w:right="279" w:bottom="0" w:gutter="0" w:footer="0" w:header="0"/>
          <w:type w:val="continuous"/>
        </w:sectPr>
      </w:pPr>
    </w:p>
    <w:p>
      <w:pPr>
        <w:spacing w:after="0" w:line="48" w:lineRule="exact"/>
        <w:rPr>
          <w:sz w:val="24"/>
          <w:szCs w:val="24"/>
          <w:color w:val="auto"/>
        </w:rPr>
      </w:pPr>
    </w:p>
    <w:p>
      <w:pPr>
        <w:jc w:val="center"/>
        <w:ind w:right="140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40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900" w:space="720"/>
            <w:col w:w="3760"/>
          </w:cols>
          <w:pgMar w:left="240" w:top="233" w:right="27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o Yes x No</w:t>
      </w:r>
    </w:p>
    <w:p>
      <w:pPr>
        <w:spacing w:after="0" w:line="24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April 1, 2013, the registrant had 28,194,980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TABLE OF CONTENTS</w:t>
      </w:r>
    </w:p>
    <w:p>
      <w:pPr>
        <w:sectPr>
          <w:pgSz w:w="11900" w:h="16838" w:orient="portrait"/>
          <w:cols w:equalWidth="0" w:num="1">
            <w:col w:w="11380"/>
          </w:cols>
          <w:pgMar w:left="240" w:top="233" w:right="2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2980" w:type="dxa"/>
            <w:vAlign w:val="bottom"/>
            <w:gridSpan w:val="11"/>
            <w:vMerge w:val="restart"/>
          </w:tcPr>
          <w:p>
            <w:pPr>
              <w:spacing w:after="0"/>
              <w:rPr>
                <w:rFonts w:ascii="Arial" w:cs="Arial" w:eastAsia="Arial" w:hAnsi="Arial"/>
                <w:sz w:val="18"/>
                <w:szCs w:val="18"/>
                <w:color w:val="0000EE"/>
                <w:w w:val="98"/>
              </w:rPr>
            </w:pPr>
            <w:hyperlink w:anchor="page2">
              <w:r>
                <w:rPr>
                  <w:rFonts w:ascii="Arial" w:cs="Arial" w:eastAsia="Arial" w:hAnsi="Arial"/>
                  <w:sz w:val="18"/>
                  <w:szCs w:val="18"/>
                  <w:color w:val="0000EE"/>
                  <w:w w:val="98"/>
                </w:rPr>
                <w:t>PART I—FINANCIAL INFORMATION</w:t>
              </w:r>
            </w:hyperlink>
          </w:p>
        </w:tc>
        <w:tc>
          <w:tcPr>
            <w:tcW w:w="7840" w:type="dxa"/>
            <w:vAlign w:val="bottom"/>
            <w:gridSpan w:val="13"/>
            <w:vMerge w:val="restart"/>
          </w:tcPr>
          <w:p>
            <w:pPr>
              <w:spacing w:after="0"/>
              <w:rPr>
                <w:sz w:val="14"/>
                <w:szCs w:val="14"/>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980" w:type="dxa"/>
            <w:vAlign w:val="bottom"/>
            <w:tcBorders>
              <w:bottom w:val="single" w:sz="8" w:color="0000EE"/>
            </w:tcBorders>
            <w:gridSpan w:val="11"/>
            <w:vMerge w:val="continue"/>
          </w:tcPr>
          <w:p>
            <w:pPr>
              <w:spacing w:after="0"/>
              <w:rPr>
                <w:sz w:val="13"/>
                <w:szCs w:val="13"/>
                <w:color w:val="auto"/>
              </w:rPr>
            </w:pPr>
          </w:p>
        </w:tc>
        <w:tc>
          <w:tcPr>
            <w:tcW w:w="7840" w:type="dxa"/>
            <w:vAlign w:val="bottom"/>
            <w:gridSpan w:val="13"/>
            <w:vMerge w:val="continue"/>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360" w:type="dxa"/>
            <w:vAlign w:val="bottom"/>
          </w:tcPr>
          <w:p>
            <w:pPr>
              <w:spacing w:after="0"/>
              <w:rPr>
                <w:sz w:val="24"/>
                <w:szCs w:val="24"/>
                <w:color w:val="auto"/>
              </w:rPr>
            </w:pPr>
          </w:p>
        </w:tc>
        <w:tc>
          <w:tcPr>
            <w:tcW w:w="620" w:type="dxa"/>
            <w:vAlign w:val="bottom"/>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ITEM 1.</w:t>
              </w:r>
            </w:hyperlink>
          </w:p>
        </w:tc>
        <w:tc>
          <w:tcPr>
            <w:tcW w:w="620" w:type="dxa"/>
            <w:vAlign w:val="bottom"/>
            <w:gridSpan w:val="2"/>
          </w:tcPr>
          <w:p>
            <w:pPr>
              <w:spacing w:after="0"/>
              <w:rPr>
                <w:sz w:val="24"/>
                <w:szCs w:val="24"/>
                <w:color w:val="auto"/>
              </w:rPr>
            </w:pPr>
          </w:p>
        </w:tc>
        <w:tc>
          <w:tcPr>
            <w:tcW w:w="9220" w:type="dxa"/>
            <w:vAlign w:val="bottom"/>
            <w:gridSpan w:val="2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20" w:type="dxa"/>
            <w:vAlign w:val="bottom"/>
            <w:gridSpan w:val="2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Unaudited Consolidated Balance Sheets as of February 28, 2013 and May 31, 2012</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20" w:type="dxa"/>
            <w:vAlign w:val="bottom"/>
            <w:gridSpan w:val="20"/>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Unaudited Consolidated Statements of Operations for the three and nine months ended February 28, 2013 and February 29,</w:t>
              </w:r>
            </w:hyperlink>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2012</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20" w:type="dxa"/>
            <w:vAlign w:val="bottom"/>
            <w:gridSpan w:val="20"/>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Unaudited Consolidated Statements of Comprehensive Income for the three and nine months ended February 28, 2013 and</w:t>
              </w:r>
            </w:hyperlink>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February 29, 2012</w:t>
              </w:r>
            </w:hyperlink>
          </w:p>
        </w:tc>
        <w:tc>
          <w:tcPr>
            <w:tcW w:w="7520" w:type="dxa"/>
            <w:vAlign w:val="bottom"/>
            <w:tcBorders>
              <w:top w:val="single" w:sz="8" w:color="0000EE"/>
            </w:tcBorders>
            <w:gridSpan w:val="11"/>
          </w:tcPr>
          <w:p>
            <w:pPr>
              <w:spacing w:after="0"/>
              <w:rPr>
                <w:sz w:val="17"/>
                <w:szCs w:val="17"/>
                <w:color w:val="auto"/>
              </w:rPr>
            </w:pPr>
          </w:p>
        </w:tc>
        <w:tc>
          <w:tcPr>
            <w:tcW w:w="380" w:type="dxa"/>
            <w:vAlign w:val="bottom"/>
            <w:gridSpan w:val="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12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Consolidated Statements of Changes in Equity for the nine months ended February 28, 2013 and February 29, 2012</w:t>
              </w:r>
            </w:hyperlink>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Consolidated Statements of Cash Flows for the nine months ended February 28, 2013 and February 29, 2012</w:t>
              </w:r>
            </w:hyperlink>
          </w:p>
        </w:tc>
        <w:tc>
          <w:tcPr>
            <w:tcW w:w="580" w:type="dxa"/>
            <w:vAlign w:val="bottom"/>
            <w:gridSpan w:val="4"/>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Unaudited Condensed Consolidated Financial Statements</w:t>
              </w:r>
            </w:hyperlink>
          </w:p>
        </w:tc>
        <w:tc>
          <w:tcPr>
            <w:tcW w:w="4420" w:type="dxa"/>
            <w:vAlign w:val="bottom"/>
            <w:gridSpan w:val="7"/>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360" w:type="dxa"/>
            <w:vAlign w:val="bottom"/>
          </w:tcPr>
          <w:p>
            <w:pPr>
              <w:spacing w:after="0"/>
              <w:rPr>
                <w:sz w:val="24"/>
                <w:szCs w:val="24"/>
                <w:color w:val="auto"/>
              </w:rPr>
            </w:pPr>
          </w:p>
        </w:tc>
        <w:tc>
          <w:tcPr>
            <w:tcW w:w="620" w:type="dxa"/>
            <w:vAlign w:val="bottom"/>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ITEM 2.</w:t>
              </w:r>
            </w:hyperlink>
          </w:p>
        </w:tc>
        <w:tc>
          <w:tcPr>
            <w:tcW w:w="620" w:type="dxa"/>
            <w:vAlign w:val="bottom"/>
            <w:gridSpan w:val="2"/>
          </w:tcPr>
          <w:p>
            <w:pPr>
              <w:spacing w:after="0"/>
              <w:rPr>
                <w:sz w:val="24"/>
                <w:szCs w:val="24"/>
                <w:color w:val="auto"/>
              </w:rPr>
            </w:pPr>
          </w:p>
        </w:tc>
        <w:tc>
          <w:tcPr>
            <w:tcW w:w="922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20" w:type="dxa"/>
            <w:vAlign w:val="bottom"/>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ITEM 3.</w:t>
              </w:r>
            </w:hyperlink>
          </w:p>
        </w:tc>
        <w:tc>
          <w:tcPr>
            <w:tcW w:w="620" w:type="dxa"/>
            <w:vAlign w:val="bottom"/>
            <w:gridSpan w:val="2"/>
          </w:tcPr>
          <w:p>
            <w:pPr>
              <w:spacing w:after="0"/>
              <w:rPr>
                <w:sz w:val="24"/>
                <w:szCs w:val="24"/>
                <w:color w:val="auto"/>
              </w:rPr>
            </w:pPr>
          </w:p>
        </w:tc>
        <w:tc>
          <w:tcPr>
            <w:tcW w:w="9220" w:type="dxa"/>
            <w:vAlign w:val="bottom"/>
            <w:gridSpan w:val="2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6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20" w:type="dxa"/>
            <w:vAlign w:val="bottom"/>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ITEM 4.</w:t>
              </w:r>
            </w:hyperlink>
          </w:p>
        </w:tc>
        <w:tc>
          <w:tcPr>
            <w:tcW w:w="620" w:type="dxa"/>
            <w:vAlign w:val="bottom"/>
            <w:gridSpan w:val="2"/>
          </w:tcPr>
          <w:p>
            <w:pPr>
              <w:spacing w:after="0"/>
              <w:rPr>
                <w:sz w:val="24"/>
                <w:szCs w:val="24"/>
                <w:color w:val="auto"/>
              </w:rPr>
            </w:pPr>
          </w:p>
        </w:tc>
        <w:tc>
          <w:tcPr>
            <w:tcW w:w="9220" w:type="dxa"/>
            <w:vAlign w:val="bottom"/>
            <w:gridSpan w:val="2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20" w:type="dxa"/>
            <w:vAlign w:val="bottom"/>
            <w:gridSpan w:val="2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PART II—OTHER INFORMATION</w:t>
              </w:r>
            </w:hyperlink>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20" w:type="dxa"/>
            <w:vAlign w:val="bottom"/>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ITEM 1.</w:t>
              </w:r>
            </w:hyperlink>
          </w:p>
        </w:tc>
        <w:tc>
          <w:tcPr>
            <w:tcW w:w="620" w:type="dxa"/>
            <w:vAlign w:val="bottom"/>
            <w:gridSpan w:val="2"/>
          </w:tcPr>
          <w:p>
            <w:pPr>
              <w:spacing w:after="0"/>
              <w:rPr>
                <w:sz w:val="24"/>
                <w:szCs w:val="24"/>
                <w:color w:val="auto"/>
              </w:rPr>
            </w:pPr>
          </w:p>
        </w:tc>
        <w:tc>
          <w:tcPr>
            <w:tcW w:w="9220" w:type="dxa"/>
            <w:vAlign w:val="bottom"/>
            <w:gridSpan w:val="2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124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1.A.</w:t>
              </w:r>
            </w:hyperlink>
          </w:p>
        </w:tc>
        <w:tc>
          <w:tcPr>
            <w:tcW w:w="922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20" w:type="dxa"/>
            <w:vAlign w:val="bottom"/>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ITEM 2.</w:t>
              </w:r>
            </w:hyperlink>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2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86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20" w:type="dxa"/>
            <w:vAlign w:val="bottom"/>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ITEM 3.</w:t>
              </w:r>
            </w:hyperlink>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2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900" w:type="dxa"/>
            <w:vAlign w:val="bottom"/>
            <w:gridSpan w:val="1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20" w:type="dxa"/>
            <w:vAlign w:val="bottom"/>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ITEM 4.</w:t>
              </w:r>
            </w:hyperlink>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2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7440" w:type="dxa"/>
            <w:vAlign w:val="bottom"/>
            <w:gridSpan w:val="1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20" w:type="dxa"/>
            <w:vAlign w:val="bottom"/>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ITEM 5.</w:t>
              </w:r>
            </w:hyperlink>
          </w:p>
        </w:tc>
        <w:tc>
          <w:tcPr>
            <w:tcW w:w="620" w:type="dxa"/>
            <w:vAlign w:val="bottom"/>
            <w:gridSpan w:val="2"/>
          </w:tcPr>
          <w:p>
            <w:pPr>
              <w:spacing w:after="0"/>
              <w:rPr>
                <w:sz w:val="24"/>
                <w:szCs w:val="24"/>
                <w:color w:val="auto"/>
              </w:rPr>
            </w:pPr>
          </w:p>
        </w:tc>
        <w:tc>
          <w:tcPr>
            <w:tcW w:w="922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900" w:type="dxa"/>
            <w:vAlign w:val="bottom"/>
            <w:gridSpan w:val="1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20" w:type="dxa"/>
            <w:vAlign w:val="bottom"/>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ITEM 6.</w:t>
              </w:r>
            </w:hyperlink>
          </w:p>
        </w:tc>
        <w:tc>
          <w:tcPr>
            <w:tcW w:w="620" w:type="dxa"/>
            <w:vAlign w:val="bottom"/>
            <w:gridSpan w:val="2"/>
          </w:tcPr>
          <w:p>
            <w:pPr>
              <w:spacing w:after="0"/>
              <w:rPr>
                <w:sz w:val="24"/>
                <w:szCs w:val="24"/>
                <w:color w:val="auto"/>
              </w:rPr>
            </w:pPr>
          </w:p>
        </w:tc>
        <w:tc>
          <w:tcPr>
            <w:tcW w:w="922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0" w:type="dxa"/>
            <w:vAlign w:val="bottom"/>
            <w:gridSpan w:val="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2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640" w:type="dxa"/>
            <w:vAlign w:val="bottom"/>
          </w:tcPr>
          <w:p>
            <w:pPr>
              <w:jc w:val="center"/>
              <w:ind w:left="2150"/>
              <w:spacing w:after="0"/>
              <w:rPr>
                <w:sz w:val="20"/>
                <w:szCs w:val="20"/>
                <w:color w:val="auto"/>
              </w:rPr>
            </w:pPr>
            <w:r>
              <w:rPr>
                <w:rFonts w:ascii="Arial" w:cs="Arial" w:eastAsia="Arial" w:hAnsi="Arial"/>
                <w:sz w:val="18"/>
                <w:szCs w:val="18"/>
                <w:b w:val="1"/>
                <w:bCs w:val="1"/>
                <w:color w:val="auto"/>
              </w:rPr>
              <w:t>PART I—FINANCIAL INFORMATION</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960" w:type="dxa"/>
            <w:vAlign w:val="bottom"/>
            <w:gridSpan w:val="2"/>
          </w:tcPr>
          <w:p>
            <w:pPr>
              <w:ind w:left="80"/>
              <w:spacing w:after="0"/>
              <w:rPr>
                <w:sz w:val="20"/>
                <w:szCs w:val="20"/>
                <w:color w:val="auto"/>
              </w:rPr>
            </w:pPr>
            <w:r>
              <w:rPr>
                <w:rFonts w:ascii="Arial" w:cs="Arial" w:eastAsia="Arial" w:hAnsi="Arial"/>
                <w:sz w:val="18"/>
                <w:szCs w:val="18"/>
                <w:b w:val="1"/>
                <w:bCs w:val="1"/>
                <w:color w:val="auto"/>
              </w:rPr>
              <w:t>Financial Statements (unaudited)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40" w:type="dxa"/>
            <w:vAlign w:val="bottom"/>
          </w:tcPr>
          <w:p>
            <w:pPr>
              <w:jc w:val="center"/>
              <w:ind w:left="2150"/>
              <w:spacing w:after="0"/>
              <w:rPr>
                <w:sz w:val="20"/>
                <w:szCs w:val="20"/>
                <w:color w:val="auto"/>
              </w:rPr>
            </w:pPr>
            <w:r>
              <w:rPr>
                <w:rFonts w:ascii="Arial" w:cs="Arial" w:eastAsia="Arial" w:hAnsi="Arial"/>
                <w:sz w:val="18"/>
                <w:szCs w:val="18"/>
                <w:b w:val="1"/>
                <w:bCs w:val="1"/>
                <w:color w:val="auto"/>
                <w:w w:val="90"/>
              </w:rPr>
              <w:t>Mistras Group, Inc. and Subsidiaries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40" w:type="dxa"/>
            <w:vAlign w:val="bottom"/>
          </w:tcPr>
          <w:p>
            <w:pPr>
              <w:jc w:val="center"/>
              <w:ind w:left="2130"/>
              <w:spacing w:after="0"/>
              <w:rPr>
                <w:sz w:val="20"/>
                <w:szCs w:val="20"/>
                <w:color w:val="auto"/>
              </w:rPr>
            </w:pPr>
            <w:r>
              <w:rPr>
                <w:rFonts w:ascii="Arial" w:cs="Arial" w:eastAsia="Arial" w:hAnsi="Arial"/>
                <w:sz w:val="18"/>
                <w:szCs w:val="18"/>
                <w:b w:val="1"/>
                <w:bCs w:val="1"/>
                <w:color w:val="auto"/>
                <w:w w:val="88"/>
              </w:rPr>
              <w:t>Unaudited Consolidated Balance Sheets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40" w:type="dxa"/>
            <w:vAlign w:val="bottom"/>
          </w:tcPr>
          <w:p>
            <w:pPr>
              <w:jc w:val="center"/>
              <w:ind w:left="213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February 28, 2013</w:t>
            </w:r>
          </w:p>
        </w:tc>
        <w:tc>
          <w:tcPr>
            <w:tcW w:w="18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31,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CCEEFF"/>
            </w:tcBorders>
            <w:shd w:val="clear" w:color="auto" w:fill="CCEEFF"/>
          </w:tcPr>
          <w:p>
            <w:pPr>
              <w:spacing w:after="0"/>
              <w:rPr>
                <w:sz w:val="17"/>
                <w:szCs w:val="17"/>
                <w:color w:val="auto"/>
              </w:rPr>
            </w:pPr>
          </w:p>
        </w:tc>
        <w:tc>
          <w:tcPr>
            <w:tcW w:w="66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108,686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104,515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12,126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tcPr>
          <w:p>
            <w:pPr>
              <w:ind w:left="16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1,891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12,763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gridSpan w:val="3"/>
          </w:tcPr>
          <w:p>
            <w:pPr>
              <w:ind w:left="34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144,369</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69,846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56,428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34,469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125,532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w w:val="90"/>
              </w:rPr>
              <w:t>Other assets</w:t>
            </w:r>
          </w:p>
        </w:tc>
        <w:tc>
          <w:tcPr>
            <w:tcW w:w="3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739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PREFERRED STOCK AND EQUITY</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6,714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8,298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11,944</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43,411</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1,997</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68,150</w:t>
            </w: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65,210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Obligations under capital leases, net of current portion</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11,859</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14,582</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21,447</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19,996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181,248</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Preferred stock, 10,000,000 shares authorized</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tcPr>
          <w:p>
            <w:pPr>
              <w:ind w:left="160"/>
              <w:spacing w:after="0" w:line="201" w:lineRule="exact"/>
              <w:rPr>
                <w:sz w:val="20"/>
                <w:szCs w:val="20"/>
                <w:color w:val="auto"/>
              </w:rPr>
            </w:pPr>
            <w:r>
              <w:rPr>
                <w:rFonts w:ascii="Arial" w:cs="Arial" w:eastAsia="Arial" w:hAnsi="Arial"/>
                <w:sz w:val="18"/>
                <w:szCs w:val="18"/>
                <w:color w:val="auto"/>
                <w:w w:val="91"/>
              </w:rPr>
              <w:t>Common stock, $0.01 par value, 200,000,000 shares authorized, 28,194,980 and 28,025,507 shares issued</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and outstanding as of February 28, 2013 and May 31, 2012, respectively</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282</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193,512</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23,531</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Total Mistras Group, Inc. stockholders’ equity</w:t>
            </w:r>
          </w:p>
        </w:tc>
        <w:tc>
          <w:tcPr>
            <w:tcW w:w="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215,397</w:t>
            </w: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215,666</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193,248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preferred stock and equity</w:t>
            </w: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396,914</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329,816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5"/>
          </w:tcPr>
          <w:p>
            <w:pPr>
              <w:ind w:left="80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4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4"/>
              </w:rPr>
              <w:t>February 28, 2013</w:t>
            </w: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94"/>
              </w:rPr>
              <w:t>February 29, 2012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4"/>
              </w:rPr>
              <w:t>February 28, 2013</w:t>
            </w: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94"/>
              </w:rPr>
              <w:t>February 29, 2012</w:t>
            </w:r>
          </w:p>
        </w:tc>
        <w:tc>
          <w:tcPr>
            <w:tcW w:w="100" w:type="dxa"/>
            <w:vAlign w:val="bottom"/>
          </w:tcPr>
          <w:p>
            <w:pPr>
              <w:spacing w:after="0"/>
              <w:rPr>
                <w:sz w:val="12"/>
                <w:szCs w:val="12"/>
                <w:color w:val="auto"/>
              </w:rPr>
            </w:pPr>
          </w:p>
        </w:tc>
      </w:tr>
      <w:tr>
        <w:trPr>
          <w:trHeight w:val="196"/>
        </w:trPr>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124,510</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94,253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351,466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281,097</w:t>
            </w: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33,311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28,688</w:t>
            </w:r>
          </w:p>
        </w:tc>
      </w:tr>
      <w:tr>
        <w:trPr>
          <w:trHeight w:val="210"/>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revenues</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133,661</w:t>
            </w:r>
          </w:p>
        </w:tc>
        <w:tc>
          <w:tcPr>
            <w:tcW w:w="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104,118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384,777</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309,785</w:t>
            </w:r>
          </w:p>
        </w:tc>
        <w:tc>
          <w:tcPr>
            <w:tcW w:w="100" w:type="dxa"/>
            <w:vAlign w:val="bottom"/>
            <w:tcBorders>
              <w:bottom w:val="single" w:sz="8" w:color="CCEEFF"/>
            </w:tcBorders>
          </w:tcPr>
          <w:p>
            <w:pPr>
              <w:spacing w:after="0"/>
              <w:rPr>
                <w:sz w:val="18"/>
                <w:szCs w:val="18"/>
                <w:color w:val="auto"/>
              </w:rPr>
            </w:pPr>
          </w:p>
        </w:tc>
      </w:tr>
      <w:tr>
        <w:trPr>
          <w:trHeight w:val="196"/>
        </w:trPr>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 of revenues: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91,209</w:t>
            </w: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66,336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248,769</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194,270</w:t>
            </w: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13,022</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12,094</w:t>
            </w: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Depreciation related to services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4,465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3,760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12,565</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10,639</w:t>
            </w: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related to products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w:t>
            </w:r>
          </w:p>
        </w:tc>
      </w:tr>
      <w:tr>
        <w:trPr>
          <w:trHeight w:val="210"/>
        </w:trPr>
        <w:tc>
          <w:tcPr>
            <w:tcW w:w="4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cost of revenues</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99,455</w:t>
            </w:r>
          </w:p>
        </w:tc>
        <w:tc>
          <w:tcPr>
            <w:tcW w:w="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74,534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274,949</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217,566</w:t>
            </w:r>
          </w:p>
        </w:tc>
        <w:tc>
          <w:tcPr>
            <w:tcW w:w="100" w:type="dxa"/>
            <w:vAlign w:val="bottom"/>
            <w:tcBorders>
              <w:bottom w:val="single" w:sz="8" w:color="CCEEFF"/>
            </w:tcBorders>
          </w:tcPr>
          <w:p>
            <w:pPr>
              <w:spacing w:after="0"/>
              <w:rPr>
                <w:sz w:val="18"/>
                <w:szCs w:val="18"/>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92,219</w:t>
            </w: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27,209</w:t>
            </w: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20,806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74,063</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59,565</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engineering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1,769</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2,473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6,535</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4,787</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expense, net (See Note 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(1,212)</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w:t>
            </w:r>
          </w:p>
        </w:tc>
      </w:tr>
      <w:tr>
        <w:trPr>
          <w:trHeight w:val="210"/>
        </w:trPr>
        <w:tc>
          <w:tcPr>
            <w:tcW w:w="480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4,982</w:t>
            </w: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28,435</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25,089</w:t>
            </w: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2,121</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long-term debt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r>
      <w:tr>
        <w:trPr>
          <w:trHeight w:val="210"/>
        </w:trPr>
        <w:tc>
          <w:tcPr>
            <w:tcW w:w="4800" w:type="dxa"/>
            <w:vAlign w:val="bottom"/>
          </w:tcPr>
          <w:p>
            <w:pPr>
              <w:ind w:left="180"/>
              <w:spacing w:after="0"/>
              <w:rPr>
                <w:sz w:val="20"/>
                <w:szCs w:val="20"/>
                <w:color w:val="auto"/>
              </w:rPr>
            </w:pPr>
            <w:r>
              <w:rPr>
                <w:rFonts w:ascii="Arial" w:cs="Arial" w:eastAsia="Arial" w:hAnsi="Arial"/>
                <w:sz w:val="18"/>
                <w:szCs w:val="18"/>
                <w:color w:val="auto"/>
              </w:rPr>
              <w:t>Income before provision for income taxes</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4,100</w:t>
            </w: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25,977</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22,855</w:t>
            </w: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9,749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8,672</w:t>
            </w:r>
          </w:p>
        </w:tc>
      </w:tr>
      <w:tr>
        <w:trPr>
          <w:trHeight w:val="210"/>
        </w:trPr>
        <w:tc>
          <w:tcPr>
            <w:tcW w:w="4800" w:type="dxa"/>
            <w:vAlign w:val="bottom"/>
          </w:tcPr>
          <w:p>
            <w:pPr>
              <w:ind w:left="18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2,751</w:t>
            </w: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16,228</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14,183</w:t>
            </w:r>
          </w:p>
        </w:tc>
        <w:tc>
          <w:tcPr>
            <w:tcW w:w="100" w:type="dxa"/>
            <w:vAlign w:val="bottom"/>
          </w:tcPr>
          <w:p>
            <w:pPr>
              <w:spacing w:after="0"/>
              <w:rPr>
                <w:sz w:val="18"/>
                <w:szCs w:val="18"/>
                <w:color w:val="auto"/>
              </w:rPr>
            </w:pPr>
          </w:p>
        </w:tc>
      </w:tr>
      <w:tr>
        <w:trPr>
          <w:trHeight w:val="202"/>
        </w:trPr>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Net (income) loss attributable to noncontrolling interests, net of</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50"/>
        </w:trPr>
        <w:tc>
          <w:tcPr>
            <w:tcW w:w="4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2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2,751</w:t>
            </w:r>
          </w:p>
        </w:tc>
        <w:tc>
          <w:tcPr>
            <w:tcW w:w="3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16,195</w:t>
            </w:r>
          </w:p>
        </w:tc>
        <w:tc>
          <w:tcPr>
            <w:tcW w:w="2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14,221</w:t>
            </w:r>
          </w:p>
        </w:tc>
        <w:tc>
          <w:tcPr>
            <w:tcW w:w="100" w:type="dxa"/>
            <w:vAlign w:val="bottom"/>
            <w:tcBorders>
              <w:bottom w:val="single" w:sz="8" w:color="CCEEFF"/>
            </w:tcBorders>
          </w:tcPr>
          <w:p>
            <w:pPr>
              <w:spacing w:after="0"/>
              <w:rPr>
                <w:sz w:val="21"/>
                <w:szCs w:val="21"/>
                <w:color w:val="auto"/>
              </w:rPr>
            </w:pPr>
          </w:p>
        </w:tc>
      </w:tr>
      <w:tr>
        <w:trPr>
          <w:trHeight w:val="170"/>
        </w:trPr>
        <w:tc>
          <w:tcPr>
            <w:tcW w:w="48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Earnings per common share (see Note 4):</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4800" w:type="dxa"/>
            <w:vAlign w:val="bottom"/>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0.10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0.11</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0.58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0.51</w:t>
            </w:r>
          </w:p>
        </w:tc>
      </w:tr>
      <w:tr>
        <w:trPr>
          <w:trHeight w:val="216"/>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28,175</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27,921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28,121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27,794</w:t>
            </w:r>
          </w:p>
        </w:tc>
      </w:tr>
      <w:tr>
        <w:trPr>
          <w:trHeight w:val="230"/>
        </w:trPr>
        <w:tc>
          <w:tcPr>
            <w:tcW w:w="4800" w:type="dxa"/>
            <w:vAlign w:val="bottom"/>
          </w:tcPr>
          <w:p>
            <w:pPr>
              <w:ind w:left="36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29,101</w:t>
            </w:r>
          </w:p>
        </w:tc>
        <w:tc>
          <w:tcPr>
            <w:tcW w:w="12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28,829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29,078</w:t>
            </w:r>
          </w:p>
        </w:tc>
        <w:tc>
          <w:tcPr>
            <w:tcW w:w="1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28,563</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ectPr>
          <w:pgSz w:w="11900" w:h="16838" w:orient="portrait"/>
          <w:cols w:equalWidth="0" w:num="1">
            <w:col w:w="11420"/>
          </w:cols>
          <w:pgMar w:left="240" w:top="125" w:right="239" w:bottom="0" w:gutter="0" w:footer="0" w:header="0"/>
        </w:sectPr>
      </w:pPr>
    </w:p>
    <w:bookmarkStart w:id="3" w:name="page4"/>
    <w:bookmarkEnd w:id="3"/>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4"/>
              </w:rPr>
              <w:t>February 28, 2013</w:t>
            </w: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February 29, 2012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4"/>
              </w:rPr>
              <w:t>February 28, 2013</w:t>
            </w: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February 29,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16,228</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1,633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Comprehensive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4,384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17,347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Comprehensive (income) loss attributable to noncontrolling</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7"/>
              </w:rPr>
              <w:t>Comprehensive income attributable to Mistras Group, Inc.</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1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Mistras Group,</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88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other</w:t>
            </w:r>
          </w:p>
        </w:tc>
        <w:tc>
          <w:tcPr>
            <w:tcW w:w="18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Inc.</w:t>
            </w: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8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paid-in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comprehensive</w:t>
            </w: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Stockholders’</w:t>
            </w:r>
          </w:p>
        </w:tc>
        <w:tc>
          <w:tcPr>
            <w:tcW w:w="11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earnings</w:t>
            </w:r>
          </w:p>
        </w:tc>
        <w:tc>
          <w:tcPr>
            <w:tcW w:w="112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88"/>
              </w:rPr>
              <w:t>income (loss)</w:t>
            </w:r>
          </w:p>
        </w:tc>
        <w:tc>
          <w:tcPr>
            <w:tcW w:w="180" w:type="dxa"/>
            <w:vAlign w:val="bottom"/>
          </w:tcPr>
          <w:p>
            <w:pPr>
              <w:spacing w:after="0"/>
              <w:rPr>
                <w:sz w:val="12"/>
                <w:szCs w:val="12"/>
                <w:color w:val="auto"/>
              </w:rPr>
            </w:pPr>
          </w:p>
        </w:tc>
        <w:tc>
          <w:tcPr>
            <w:tcW w:w="98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2"/>
                <w:szCs w:val="12"/>
                <w:color w:val="auto"/>
              </w:rPr>
            </w:pPr>
          </w:p>
        </w:tc>
        <w:tc>
          <w:tcPr>
            <w:tcW w:w="9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Interest</w:t>
            </w:r>
          </w:p>
        </w:tc>
        <w:tc>
          <w:tcPr>
            <w:tcW w:w="20" w:type="dxa"/>
            <w:vAlign w:val="bottom"/>
          </w:tcPr>
          <w:p>
            <w:pPr>
              <w:spacing w:after="0"/>
              <w:rPr>
                <w:sz w:val="12"/>
                <w:szCs w:val="12"/>
                <w:color w:val="auto"/>
              </w:rPr>
            </w:pPr>
          </w:p>
        </w:tc>
        <w:tc>
          <w:tcPr>
            <w:tcW w:w="8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Nine months ended February 28,</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2013:</w:t>
            </w: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Balance at May 31, 2012</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28,026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188,443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7,336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(3,047)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193,012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236</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193,248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16,195</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16,195</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16,228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96"/>
              </w:rPr>
              <w:t>Other comprehensive income, net of tax</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1,119</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Stock compensation</w:t>
            </w: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4,749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4,749</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4,749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settlement on vesting of restricted</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units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(806)</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line="201" w:lineRule="exact"/>
              <w:rPr>
                <w:sz w:val="20"/>
                <w:szCs w:val="20"/>
                <w:color w:val="auto"/>
              </w:rPr>
            </w:pPr>
            <w:r>
              <w:rPr>
                <w:rFonts w:ascii="Arial" w:cs="Arial" w:eastAsia="Arial" w:hAnsi="Arial"/>
                <w:sz w:val="18"/>
                <w:szCs w:val="18"/>
                <w:color w:val="auto"/>
              </w:rPr>
              <w:t>Excess tax benefit from stock</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455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455</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Balance at February 28, 2013</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28,195</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193,512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23,531</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(1,928</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215,397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215,666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98"/>
              </w:rPr>
              <w:t>February 28, 2013</w:t>
            </w: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96"/>
              </w:rPr>
              <w:t>February 29,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16,228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19,693</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Provision for doubtful accounts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long-term debt</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Loss (gain) on sale of assets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deferred financing costs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Stock compensation expense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4,749</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loss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acquisitions of businesses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6,076</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(5,625)</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(5,772)</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(1,310)</w:t>
            </w: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(743)</w:t>
            </w: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(2,302)</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(10,028)</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4,703</w:t>
            </w:r>
          </w:p>
        </w:tc>
      </w:tr>
      <w:tr>
        <w:trPr>
          <w:trHeight w:val="210"/>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27,548</w:t>
            </w:r>
          </w:p>
        </w:tc>
        <w:tc>
          <w:tcPr>
            <w:tcW w:w="3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20,972</w:t>
            </w:r>
          </w:p>
        </w:tc>
        <w:tc>
          <w:tcPr>
            <w:tcW w:w="100" w:type="dxa"/>
            <w:vAlign w:val="bottom"/>
            <w:tcBorders>
              <w:bottom w:val="single" w:sz="8" w:color="CCEEFF"/>
            </w:tcBorders>
          </w:tcPr>
          <w:p>
            <w:pPr>
              <w:spacing w:after="0"/>
              <w:rPr>
                <w:sz w:val="18"/>
                <w:szCs w:val="18"/>
                <w:color w:val="auto"/>
              </w:rPr>
            </w:pPr>
          </w:p>
        </w:tc>
      </w:tr>
      <w:tr>
        <w:trPr>
          <w:trHeight w:val="196"/>
        </w:trPr>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(8,915)</w:t>
            </w: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(6,407)</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(897)</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Acquisition of businesses, net of cash acquired</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(33,601)</w:t>
            </w: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(26,273)</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1,028</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r>
      <w:tr>
        <w:trPr>
          <w:trHeight w:val="210"/>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(42,385)</w:t>
            </w:r>
          </w:p>
        </w:tc>
        <w:tc>
          <w:tcPr>
            <w:tcW w:w="3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(32,816)</w:t>
            </w:r>
          </w:p>
        </w:tc>
        <w:tc>
          <w:tcPr>
            <w:tcW w:w="100" w:type="dxa"/>
            <w:vAlign w:val="bottom"/>
            <w:tcBorders>
              <w:bottom w:val="single" w:sz="8" w:color="CCEEFF"/>
            </w:tcBorders>
          </w:tcPr>
          <w:p>
            <w:pPr>
              <w:spacing w:after="0"/>
              <w:rPr>
                <w:sz w:val="18"/>
                <w:szCs w:val="18"/>
                <w:color w:val="auto"/>
              </w:rPr>
            </w:pPr>
          </w:p>
        </w:tc>
      </w:tr>
      <w:tr>
        <w:trPr>
          <w:trHeight w:val="196"/>
        </w:trPr>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Repayment of capital lease obligations</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(5,054)</w:t>
            </w: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(5,136)</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Repayment of notes payable and other long-term debt</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(4,628)</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(4,420)</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Net borrowings from current revolver</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26,008</w:t>
            </w: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19,050</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repayments of other short-term borrowings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(1,868)</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Proceeds from borrowings of long-term debt</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309</w:t>
            </w: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837</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Payment of financing costs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Payment of contingent consideration for business acquisitions</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(1,887)</w:t>
            </w: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Taxes paid related to net share settlement of restricted stock units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(806)</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Excess tax benefit from stock compensation</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455</w:t>
            </w: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exercise of stock options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673</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w:t>
            </w:r>
          </w:p>
        </w:tc>
      </w:tr>
      <w:tr>
        <w:trPr>
          <w:trHeight w:val="210"/>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15,070</w:t>
            </w:r>
          </w:p>
        </w:tc>
        <w:tc>
          <w:tcPr>
            <w:tcW w:w="3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9,441</w:t>
            </w:r>
          </w:p>
        </w:tc>
        <w:tc>
          <w:tcPr>
            <w:tcW w:w="100" w:type="dxa"/>
            <w:vAlign w:val="bottom"/>
            <w:tcBorders>
              <w:bottom w:val="single" w:sz="8" w:color="CCEEFF"/>
            </w:tcBorders>
          </w:tcPr>
          <w:p>
            <w:pPr>
              <w:spacing w:after="0"/>
              <w:rPr>
                <w:sz w:val="18"/>
                <w:szCs w:val="18"/>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8"/>
                <w:szCs w:val="18"/>
                <w:color w:val="auto"/>
              </w:rPr>
            </w:pPr>
          </w:p>
        </w:tc>
      </w:tr>
      <w:tr>
        <w:trPr>
          <w:trHeight w:val="210"/>
        </w:trPr>
        <w:tc>
          <w:tcPr>
            <w:tcW w:w="7100" w:type="dxa"/>
            <w:vAlign w:val="bottom"/>
          </w:tcPr>
          <w:p>
            <w:pPr>
              <w:ind w:left="180"/>
              <w:spacing w:after="0"/>
              <w:rPr>
                <w:sz w:val="20"/>
                <w:szCs w:val="20"/>
                <w:color w:val="auto"/>
              </w:rPr>
            </w:pPr>
            <w:r>
              <w:rPr>
                <w:rFonts w:ascii="Arial" w:cs="Arial" w:eastAsia="Arial" w:hAnsi="Arial"/>
                <w:sz w:val="18"/>
                <w:szCs w:val="18"/>
                <w:color w:val="auto"/>
              </w:rPr>
              <w:t>Net change in cash and cash equivalents</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493</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(2,948)</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Beginning of period</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8,410</w:t>
            </w: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10,879</w:t>
            </w: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End of period</w:t>
            </w:r>
          </w:p>
        </w:tc>
        <w:tc>
          <w:tcPr>
            <w:tcW w:w="9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8,903</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7,931</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7100" w:type="dxa"/>
            <w:vAlign w:val="bottom"/>
          </w:tcPr>
          <w:p>
            <w:pPr>
              <w:spacing w:after="0" w:line="196" w:lineRule="exact"/>
              <w:rPr>
                <w:sz w:val="20"/>
                <w:szCs w:val="20"/>
                <w:color w:val="auto"/>
              </w:rPr>
            </w:pPr>
            <w:r>
              <w:rPr>
                <w:rFonts w:ascii="Arial" w:cs="Arial" w:eastAsia="Arial" w:hAnsi="Arial"/>
                <w:sz w:val="18"/>
                <w:szCs w:val="18"/>
                <w:b w:val="1"/>
                <w:bCs w:val="1"/>
                <w:color w:val="auto"/>
              </w:rPr>
              <w:t>Supplemental disclosure of cash paid</w:t>
            </w: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48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2,422</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1,720</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Income taxes</w:t>
            </w:r>
          </w:p>
        </w:tc>
        <w:tc>
          <w:tcPr>
            <w:tcW w:w="148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13,605</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11,995</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Equipment acquired through capital lease obligations</w:t>
            </w:r>
          </w:p>
        </w:tc>
        <w:tc>
          <w:tcPr>
            <w:tcW w:w="148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2,896</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8,613</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Issuance of notes payable and other debt obligations primarily related to acquisitions</w:t>
            </w:r>
          </w:p>
        </w:tc>
        <w:tc>
          <w:tcPr>
            <w:tcW w:w="148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7,715</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&amp;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Mistras Group, Inc., together with its subsidiaries (the Company), is a leading “one source” global provider of technology-enabled asset protection solutions used to evaluate the structural integrity and reliability of critical energy, industrial and public infrastructure. The Company combines industry-leading products and technologies, expertise in mechanical integrity (MI) and non-destructive testing (NDT)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Given the role the services of the Company play in ensuring the safe and efficient operation of infrastructure, the Company has historically provided a majority of its services to its customers on a regular, recurring basis. The Company serves a global customer base of companies with asset-intensive infrastructure, including companies in the oil and gas, fossil and nuclear power, alternative and renewable energy, public infrastructure, chemicals, aerospace and defense, transportation, primary metals and metalworking, pharmaceuticals and food processing industries.</w:t>
      </w:r>
    </w:p>
    <w:p>
      <w:pPr>
        <w:spacing w:after="0" w:line="17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accounting principles generally accepted in the United States (GAAP) for interim financial information. Accordingly, they do not include all of the information and footnotes required by GAAP for complete financial statements. In the opinion of management, all adjustments (consisting of normal recurring accruals) considered necessary for a fair statement have been included. Operating results for the three and nine months ended February 28, 2013 are not necessarily indicative of the results that may be expected for the year ending May 31, 2013. The balance sheet at May 31, 2012 has been derived from the audited financial statements at that date but does not include all of the information and footnotes required by GAAP for complete financial statements. These unaudited consolidated financial statements should be read together with the financial statements and notes included in our Annual Report on Form 10-K for the year ended May 31, 2012 and other consolidated financial statements of the Company as filed with the Securities and Exchange Commission. In this quarterly report, the Company’s fiscal years, which end on May 31, are identified according to the calendar year in which they end (e.g., the fiscal year ended May 31, 2012 is referred to as “fiscal 2012”).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The accompanying consolidated financial statements include the accounts of Mistras Group, Inc. and its wholly or majority-owned subsidiaries. Where the Company’s ownership interest is less than 100%, the noncontrolling interests are reported in equity in the accompanying consolidated balance sheets. The noncontrolling interest in net income, net of tax, is classified separately in the accompanying consolidated statements of operations.</w:t>
      </w:r>
    </w:p>
    <w:p>
      <w:pPr>
        <w:sectPr>
          <w:pgSz w:w="11900" w:h="16838" w:orient="portrait"/>
          <w:cols w:equalWidth="0" w:num="1">
            <w:col w:w="11420"/>
          </w:cols>
          <w:pgMar w:left="240" w:top="140" w:right="239" w:bottom="0" w:gutter="0" w:footer="0" w:header="0"/>
        </w:sectPr>
      </w:pPr>
    </w:p>
    <w:bookmarkStart w:id="5" w:name="page6"/>
    <w:bookmarkEnd w:id="5"/>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significant intercompany accounts and transactions have been eliminated in consolidation. Mistras Group, Inc.’s and its subsidiaries’ fiscal years end on May 31 except for the companies in the International segment, which end on April 30. Accordingly, the Company’s International segment subsidiaries are consolidated on a one-month lag. Therefore, in the quarter and year of acquisition, results of acquired subsidiaries in the International segment are generally included in consolidated results for one less month than the actual number of months from the acquisition date to the end of the reporting period. Management does not believe that any events occurred during the one-month lag period that would have a material effect on the Company’s consolidated financial statements as of or for any period presented.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During the third quarter of fiscal 2013, the Company reclassified amounts related to interest accretion imputed on its acquisition-related contingent consideration liabilities from interest expense to acquisition-related expense, net, which is a component of income from operations. During fiscal 2012, the amounts reclassified were $0.4 million and $0.1 million for the three month periods ended November 30, 2011 and February 29, 2012, respectively. For the three months ended August 31, 2011 there was no expense related to interest accretion imputed on our acquisition-related contingent consideration liabilities. During fiscal 2013, the amounts reclassified were $0.3 million and $0.2 million for the three month periods ended August 31, 2012 and November 30, 2012, respectively. See Note 5 to these unaudited condensed consolidated financial statements for further discussion with regards to acquisition related expense, net.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p>
      <w:pPr>
        <w:ind w:left="720" w:hanging="712"/>
        <w:spacing w:after="0"/>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 policies for the various sources of revenues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predominantly derives revenues by providing its services on a time and material basis and recognizes revenues when services are rendered. At the end of any reporting period, there may be earned but unbilled revenues that are accrued. Payments received in advance of revenue recognition are reflected as deferred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Revenues from the sale of perpetual licenses are recognized upon the delivery and acceptance of the software. Revenues from term licenses are recognized ratably over the period of the license. Revenues from maintenance, unspecified upgrades and technical support are recognized ratably over the period such items are delivered. For multiple-element arrangement software contracts that include non-software elements, and where the software is essential to the functionality of the non-software elements (collectively referred to as software multiple-element arrangements), the Company applies the rules as noted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Revenues from product sales are recognized when risk of loss and title passes to the customer. The exceptions to this accounting treatment would be for multiple-element arrangements (described below) or those situations where specialized installation or customer acceptance is required. Payments received in advance of revenue recognition are reflected as deferred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 of Completion</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 portion of the Company’s revenues are generated from engineering and manufacturing of custom products under long-term contracts that may last from several months to several years, depending on the contract. Revenues from long-term contracts are recognized on the percentage-of-completion method of accounting. Under the percentage-of-completion method of accounting, revenues are recognized as work is performed. The percentage of completion at any point in time is based on total costs or total labor dollars incurred to date in relation to the total estimated costs or total labor dollars estimated at completion. The percentage of completion is then applied to the total contract revenue to determine the amount of revenue to be recognized in the period. Application of the percentage-of-completion method of accounting requires the use of estimates of costs to be incurred for the performance of the contract. Contract costs include all direct materials, direct labor costs and those indirect costs related to contract performance, such as indirect labor, supplies, tools, repairs, and all costs associated with operation of equipment. The cost estimation process is based upon the professional knowledge and experience of the Company’s engineers, project managers and financial professionals. Factors that are considered in estimating the work to be completed include the availability and productivity of labor, the nature and complexity of the work to be performed, the effect of change orders, the availability of materials, the effect of any delays in project performance and the recoverability of any claims. Whenever revisions of estimated contract costs and contract values indicate that the contract costs will exceed estimated revenues, thus creating a loss, a provision for the total estimated loss is recorded in that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Multiple-element Arrangements</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Company occasionally enters into transactions that represent multiple-element arrangements, which may include any combination of services, software, and hardware. When a sales arrangement contains multiple elements, such as hardware and services and/or software products, the Company allocates revenue to each element that has stand-alone value based on a selling price hierarchy. The selling price for a deliverable is based on its vendor specific objective evidence (VSOE) if available, third party evidence (TPE) if VSOE is not available, or estimated selling price (ESP) if neither VSOE nor TPE is available. The Company has historically utilized the VSOE due to the nature of its products. In software multiple element arrangements that include non-software</w:t>
      </w:r>
    </w:p>
    <w:p>
      <w:pPr>
        <w:sectPr>
          <w:pgSz w:w="11900" w:h="16874" w:orient="portrait"/>
          <w:cols w:equalWidth="0" w:num="1">
            <w:col w:w="11420"/>
          </w:cols>
          <w:pgMar w:left="240" w:top="125" w:right="239" w:bottom="0" w:gutter="0" w:footer="0" w:header="0"/>
        </w:sectPr>
      </w:pPr>
    </w:p>
    <w:bookmarkStart w:id="6" w:name="page7"/>
    <w:bookmarkEnd w:id="6"/>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elements, and where software is essential to the functionality of the non-software elements, these elements are bundled together as one unit of accounting for purposes of allocating revenue to units of accounting based on the aforementioned selling price hierarchy.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accompanying consolidated financial statements. The more significant estimates include valuation of goodwill and intangible assets acquired in connection with business combinations, useful lives of long-lived assets, allowances for doubtful accounts, inventory valuation, reserves for self-insured workers compensation and health benefits, contingent consideration liabilities, and provision for income taxes.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Goodwill represents the excess of the purchase price over the fair value of identifiable net assets of the acquired business at the date of acquisition. The Company tests for impairment annually, in its fiscal fourth quarter. The most recent annual test for impairment performed for fiscal 2012 did not identify any instances of impairment and there were no events through February 28, 2013 which the Company believes warranted a reconsideration of the impairment test results.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Intangible assets are recorded at cost. Intangible assets recognized through the completion of a business combination are recorded at fair value on the date of acquisition. Intangible assets with finite lives are amortized on a straight-line basis over their estimated useful lives.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accounts receivable. At times, cash deposits may exceed the limits insured by the Federal Deposit Insurance Corporation. The Company believes it is not exposed to any significant credit risk or risk of nonperformance of financial institutions.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primarily sells to large companies, extends reasonably short collection terms, performs credit evaluations and does not require collateral. The Company maintains reserves for potential credit losses.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one customer, BP plc. (BP), which accounted for 13% and 16% of revenues for the three months ended February 28, 2013 and</w:t>
      </w:r>
    </w:p>
    <w:p>
      <w:pPr>
        <w:spacing w:after="0" w:line="3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February 29, 2012, respectively, and 12% and 16% of revenues for the nine months ended February 28, 2013 and February 29, 2012, respectively. Accounts receivable from this customer were approximately 13% and 9% of total accounts receivable, net, as of February 28, 2013 and May 31, 2012, respectively. The relationship with BP is comprised of separate contracts for non-destructive testing and inspection services with multiple affiliated entities within the broad BP organization. The Company conducts business with various divisions or affiliates of the BP organization through numerous contracts covering many segments of BP’s business including downstream (refinery), midstream (pipelines) and upstream (exploration). These contracts are typically negotiated locally with the specific BP division or affiliate, are of varying lengths, have different start and end dates and differ in terms of the scope of work and nature of services provided. Most contracts are based on time and materials.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Company measures the cost of employee services received in exchange for an award of equity instruments based upon the grant-date fair value of the award. The Company uses the “straight-line” attribution method for allocating compensation costs and recognizes the fair value of each equity award on a straight-line basis over the requisite service periods of the related awards.</w:t>
      </w:r>
    </w:p>
    <w:p>
      <w:pPr>
        <w:spacing w:after="0" w:line="18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Company uses the Black-Scholes option-pricing model to estimate the fair value of the stock option awards as of the grant date. The Black-Scholes model, by its design, is highly complex and dependent upon key data inputs estimated by management. The primary data inputs with the greatest degree of judgment are the expected term of stock option awards and the estimated volatility of the Company’s common stock price. The Black-Scholes model is sensitive to changes in these two variables. Since the Company’s initial public offering (IPO) on October 7, 2009, the expected term of the Company’s stock options is generally determined using the simplified method. Expected stock price volatility is typically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based on the daily historical trading data for a period equal to the expected term. Because the Company’s historical trading data only dates back to the IPO, the Company has estimated expected volatility using an analysis of the stock price volatility of comparable peer companies. Prior to the Company’s IPO, the exercise price equaled the estimated fair market value of the Company’s common stock, as determined by its board of directors. Since the Company’s IPO, the exercise price of stock option grants is determined using the closing market price of the Company’s common stock on the date of grant.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ectPr>
          <w:pgSz w:w="11900" w:h="16874" w:orient="portrait"/>
          <w:cols w:equalWidth="0" w:num="1">
            <w:col w:w="11420"/>
          </w:cols>
          <w:pgMar w:left="240" w:top="341" w:right="239" w:bottom="0" w:gutter="0" w:footer="0" w:header="0"/>
        </w:sectPr>
      </w:pPr>
    </w:p>
    <w:bookmarkStart w:id="7" w:name="page8"/>
    <w:bookmarkEnd w:id="7"/>
    <w:p>
      <w:pPr>
        <w:spacing w:after="0" w:line="253" w:lineRule="auto"/>
        <w:rPr>
          <w:sz w:val="20"/>
          <w:szCs w:val="20"/>
          <w:color w:val="auto"/>
        </w:rPr>
      </w:pPr>
      <w:r>
        <w:rPr>
          <w:rFonts w:ascii="Arial" w:cs="Arial" w:eastAsia="Arial" w:hAnsi="Arial"/>
          <w:sz w:val="18"/>
          <w:szCs w:val="18"/>
          <w:color w:val="auto"/>
        </w:rPr>
        <w:t>In February 2013, the Financial Accounting Standards Board (FASB) issued Accounting Standard Update (ASU) 2013-02, Reporting of Amounts Reclassified Out of Accumulated Other Comprehensive Income, which expands the disclosure requirements for amounts reclassified out of accumulated other comprehensive income. The update requires an entity to present either parenthetically on the face of the financial statement where net income is presented or in the notes to the financial statements, the effect of significant items reclassified in their entirety from accumulated other comprehensive income and identification of the respective line items effecting net income for instances when reclassification is required under GAAP. For items that are not required by GAAP to be reclassified in their entirety to net income, an entity is required to cross-reference to other disclosures as required by GAAP. The update does not change the current requirements for reporting net income or other comprehensive income in financial statements and is effective for annual and interim reporting periods beginning after December 15, 2012. The adoption of this pronouncement did not have a material impact on the Company’s consolidated financial statements.</w:t>
      </w:r>
    </w:p>
    <w:p>
      <w:pPr>
        <w:spacing w:after="0" w:line="19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June 2011, the FASB issued ASU 2011-05, Comprehensive Income (Topic 220): Presentation of Comprehensive Income. ASU 2011-05 allows an entity to present the total of comprehensive income, the components of net income, and the components of other comprehensive income either in a single continuous statement of comprehensive income or in two separate but consecutive statements. This authoritative guidance eliminates the option to present the components of other comprehensive income as part of the statement of equity. ASU 2011-05 does not change the items that must be reported in other comprehensive income, when an item of other comprehensive income must be reclassified to net income, or the Company’s option to present components of other comprehensive income either net of related tax effects or before related tax effects, nor does it affect how earnings per share is calculated or presented. Effective June 1, 2012, the Company adopted the provisions of this updated accounting standard related to comprehensive income. The adoption of this pronouncement did not have a material impact on the Company’s consolidated financial statements.</w:t>
      </w:r>
    </w:p>
    <w:p>
      <w:pPr>
        <w:spacing w:after="0" w:line="175" w:lineRule="exact"/>
        <w:rPr>
          <w:sz w:val="20"/>
          <w:szCs w:val="20"/>
          <w:color w:val="auto"/>
        </w:rPr>
      </w:pPr>
    </w:p>
    <w:p>
      <w:pPr>
        <w:ind w:left="720" w:hanging="712"/>
        <w:spacing w:after="0"/>
        <w:tabs>
          <w:tab w:leader="none" w:pos="7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Dividends on common stock will be paid when, and if, declared by the board of directors. Each holder of common stock is entitled to vote on all matters and is entitled to one vote for each share held.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has a Long-Term Incentive Plan (the 2009 Plan). Awards may be granted in the form of stock options, restricted stock units and other forms of stock-based incentives, including stock appreciation rights and deferred stock rights. The term of each incentive and non-qualified stock option is ten years. Vesting generally occurs over a period of four years, the expense for which is recorded on a straight-line basis over the requisite service period. The 2009 Plan allows for the grant of awards of up to approximately 2,286,000 shares of common stock, of which 1,453,000 shares were available for future grants as of February 28, 2013. Prior to the Company’s IPO in October 2009, the Company had two stock option plans: (i) the 1995 Incentive Stock Option and Restricted Stock Purchase Plan (the 1995 Plan), and (ii) the 2007 Stock Option Plan (the 2007 Plan). No additional awards may be granted from these two plans. As of February 28, 2013, there was an aggregate of approximately 2,472,000 stock options outstanding and approximately 552,000 unvested restricted stock units outstanding under the 2009 Plan, the 2007 Plan, and the 1995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granted during the three or nine month periods ended February 28, 2013 or February 29, 2012.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recognized stock-based compensation expense related to stock option awards of approximately $0.8 million for each of the three month periods ended February 28, 2013 and February 29, 2012. For the nine months ended February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28, 2013 and February 29, 2012, the Company recognized stock-based compensation expense related to stock option awards of $2.3 million and $2.4 million, respectively. As of February 28, 2013, there was approximately $1.5 million of unrecognized compensation costs, net of estimated forfeitures, related to stock option awards, which are expected to be recognized over a remaining weighted average period of approximately 0.5 years. Cash proceeds from and the aggregate intrinsic value of stock options exercised during the three and nine months ended February 28, 2013 and February 29, 2012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60" w:type="dxa"/>
            <w:vAlign w:val="bottom"/>
            <w:gridSpan w:val="5"/>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60" w:type="dxa"/>
            <w:vAlign w:val="bottom"/>
            <w:gridSpan w:val="6"/>
          </w:tcPr>
          <w:p>
            <w:pPr>
              <w:ind w:left="8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6"/>
              </w:rPr>
              <w:t>February 28, 2013</w:t>
            </w: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8"/>
              </w:rPr>
              <w:t>February 29, 2012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February 28, 2013</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February 29,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Cash proceeds from options exercised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Aggregate intrinsic value of options exercised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370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 also recognized approximately $0.8 million and $0.5 million during the three months ended February 28, 2013 and February 29, 2012, respectively, in stock-based compensation expense related to restricted stock unit awards. For the nine months ended February 28, 2013 and February 29, 2012, the Company recognized stock-based compensation expense related to restricted stock unit awards of $2.1 million and $1.1 million, respectively. As of February 28, 2013, there was approximately $8.5 million of unrecognized compensation costs, net of estimated forfeitures, related to restricted stock unit awards, which are expected to be recognized over a remaining weighted average period of 2.7 years.</w:t>
      </w:r>
    </w:p>
    <w:p>
      <w:pPr>
        <w:spacing w:after="0" w:line="1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June 2012 and October 2011, the Company granted approximately 13,000 and 9,000 shares, respectively, of fully-vested common stock to its five non-employee directors, in connection with its non-employee director compensation plan. These shares had a grant date fair value of approximately $0.3 million and $0.2 million, respectively, which is included in the stock-based compensation expense recorded during the nine months ended February 28, 2013 and February 29, 2012.</w:t>
      </w:r>
    </w:p>
    <w:p>
      <w:pPr>
        <w:spacing w:after="0" w:line="18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During the nine months ended February 28, 2013 and February 29, 2012, approximately 123,000 and 52,000 restricted stock units vested, respectively. The fair value of these units upon vesting was $1.9 million and $0.5 million, respectively. Upon vesting, restricted stock units are generally net share-settled to</w:t>
      </w:r>
    </w:p>
    <w:p>
      <w:pPr>
        <w:sectPr>
          <w:pgSz w:w="11900" w:h="16838" w:orient="portrait"/>
          <w:cols w:equalWidth="0" w:num="1">
            <w:col w:w="11420"/>
          </w:cols>
          <w:pgMar w:left="240" w:top="341" w:right="239" w:bottom="0" w:gutter="0" w:footer="0" w:header="0"/>
        </w:sectPr>
      </w:pPr>
    </w:p>
    <w:bookmarkStart w:id="8" w:name="page9"/>
    <w:bookmarkEnd w:id="8"/>
    <w:p>
      <w:pPr>
        <w:spacing w:after="0" w:line="6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cover the required withholding tax and the remaining amount is converted into an equivalent number of shares of common stock. The restricted stock units that vested in the first nine months of fiscal 2013 and 2012 were net-share settled such that the Company withheld shares with value equivalent to the employees’ minimum statutory obligation for the applicable income and other employment taxes, and remitted the cash to the appropriate taxing authorities. The Company withheld approximately 37,000 and 16,000 shares in the first nine months of fiscal 2013 and 2012, respectively. The shares withheld were based on the value of the restricted stock units on their vesting date as determined by the Company’s closing stock price. Total payments for the employees’ tax obligations to the taxing authorities were $0.8 million and $0.3 million and are reflected as a financing activity within the consolidated statements of cash flows for the nine months ended February 28, 2013 and February 29, 2012, respectively. These net-share settlements had the effect of share repurchases by the Company as they reduced and retired the number of shares that would have otherwise been issued as a result of the vesting and did not represent an expense to the Company.</w:t>
      </w:r>
    </w:p>
    <w:p>
      <w:pPr>
        <w:spacing w:after="0" w:line="178" w:lineRule="exact"/>
        <w:rPr>
          <w:sz w:val="20"/>
          <w:szCs w:val="20"/>
          <w:color w:val="auto"/>
        </w:rPr>
      </w:pPr>
    </w:p>
    <w:p>
      <w:pPr>
        <w:ind w:left="720" w:hanging="712"/>
        <w:spacing w:after="0"/>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Basic earnings per share is computed by dividing net income by the weighted-average number of shares outstanding during the period. Diluted earnings per share is computed by dividing net income attributable to Mistras Group Inc. by the sum of (1) the weighted-average number of shares of common stock outstanding during the period, and (2) the dilutive effect of assumed conversion of equity awards using the treasury stock method. With respect to the number of weighted-average shares outstanding (denominator), diluted shares reflects: (i) only the exercise of options to acquire common stock to the extent that the options’ exercise prices are less than the average market price of common shares during the period and (ii) the pro forma vesting of restricted stock units.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60" w:type="dxa"/>
            <w:vAlign w:val="bottom"/>
            <w:gridSpan w:val="5"/>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60" w:type="dxa"/>
            <w:vAlign w:val="bottom"/>
            <w:gridSpan w:val="7"/>
          </w:tcPr>
          <w:p>
            <w:pPr>
              <w:ind w:left="8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6"/>
              </w:rPr>
              <w:t>February 28, 2013</w:t>
            </w: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8"/>
              </w:rPr>
              <w:t>February 29, 2012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February 28, 2013</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February 29, 2012</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Numerator:</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Mistras Group, Inc.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16,195</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Denominator:</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28,175</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0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Net income attributable to Mistras Group, Inc.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2,751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3,037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16,195</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14,221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28,175</w:t>
            </w:r>
          </w:p>
        </w:tc>
        <w:tc>
          <w:tcPr>
            <w:tcW w:w="1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27,921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28,121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27,794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effect of stock options outstanding</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815</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Dilutive effect of restricted stock units outstanding</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28,829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hanging="712"/>
        <w:spacing w:after="0"/>
        <w:tabs>
          <w:tab w:leader="none" w:pos="7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During fiscal 2013, the Company completed the acquisition of three asset protection companies specializing in destructive and non-destructive services and inspection, and in-house component inspection. Two of these companies are intended to complement the service offerings within the International segment and to expand Mistras’ footprint in Europe. The other company, located in Canada, is intended to complement the service offerings within the Services segment. In these acquisitions, the Company acquired 100% of the common stock of each acquiree in exchange for an aggregate of approximately $35.0 million in cash and $7.7 million in notes payable over three years. In addition to the cash and debt consideration related to these acquisitions, the Company accrued a liability of approximately $8.3 million, which represents the estimated fair value of contingent consideration expected to be payable in the event that the acquired companies achieve specific performance metrics over the next five years of operations. The total potential contingent consideration for these acquisitions ranges from zero to $15.0 million as of February 28, 2013.</w:t>
      </w:r>
    </w:p>
    <w:p>
      <w:pPr>
        <w:spacing w:after="0" w:line="17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assets and liabilities of the acquired business were included in the consolidated balance sheets as of February 28, 2013 based on their estimated fair value on the date of acquisition as determined in a purchase price allocation, using available information and making assumptions management believes are reasonable. The Company is still in the process of completing its valuation of the assets, both tangible and intangible, and liabilities acquired, as well as the contingent consideration. These valuations and the related purchase price allocations are expected to be finalized prior to the end of the Company’s fourth quarter of fiscal 2013. The results of operations for these acquisitions are included, as appropriate, in the Services segment’s and International segment’s results of operations from the respective date of acquisition. The Company’s preliminary allocation of purchase price for these acquisitions is included in the table below. The following table summarizes the estimated fair value of the assets acquired and liabilities assumed at the date of acquisition for the Company’s fiscal 2013 acquisitions: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ectPr>
          <w:pgSz w:w="11900" w:h="16902" w:orient="portrait"/>
          <w:cols w:equalWidth="0" w:num="1">
            <w:col w:w="11420"/>
          </w:cols>
          <w:pgMar w:left="240" w:top="125" w:right="239" w:bottom="0" w:gutter="0" w:footer="0" w:header="0"/>
        </w:sectPr>
      </w:pPr>
    </w:p>
    <w:bookmarkStart w:id="9" w:name="page10"/>
    <w:bookmarkEnd w:id="9"/>
    <w:tbl>
      <w:tblPr>
        <w:tblLayout w:type="fixed"/>
        <w:tblInd w:w="1300" w:type="dxa"/>
        <w:tblCellMar>
          <w:top w:w="0" w:type="dxa"/>
          <w:left w:w="0" w:type="dxa"/>
          <w:bottom w:w="0" w:type="dxa"/>
          <w:right w:w="0" w:type="dxa"/>
        </w:tblCellMar>
      </w:tblPr>
      <w:tr>
        <w:trPr>
          <w:trHeight w:val="234"/>
        </w:trPr>
        <w:tc>
          <w:tcPr>
            <w:tcW w:w="6560" w:type="dxa"/>
            <w:vAlign w:val="bottom"/>
          </w:tcPr>
          <w:p>
            <w:pPr>
              <w:ind w:left="2400"/>
              <w:spacing w:after="0"/>
              <w:rPr>
                <w:sz w:val="20"/>
                <w:szCs w:val="20"/>
                <w:color w:val="auto"/>
              </w:rPr>
            </w:pPr>
            <w:r>
              <w:rPr>
                <w:rFonts w:ascii="Arial" w:cs="Arial" w:eastAsia="Arial" w:hAnsi="Arial"/>
                <w:sz w:val="18"/>
                <w:szCs w:val="18"/>
                <w:b w:val="1"/>
                <w:bCs w:val="1"/>
                <w:color w:val="auto"/>
                <w:w w:val="92"/>
              </w:rPr>
              <w:t>(tabular dollars in thousands, except per share data)</w:t>
            </w: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Number of entities</w:t>
            </w: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6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w:t>
            </w:r>
          </w:p>
        </w:tc>
        <w:tc>
          <w:tcPr>
            <w:tcW w:w="640" w:type="dxa"/>
            <w:vAlign w:val="bottom"/>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34,968</w:t>
            </w: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Subordinated notes issued</w:t>
            </w:r>
          </w:p>
        </w:tc>
        <w:tc>
          <w:tcPr>
            <w:tcW w:w="6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7,715</w:t>
            </w:r>
          </w:p>
        </w:tc>
      </w:tr>
      <w:tr>
        <w:trPr>
          <w:trHeight w:val="216"/>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8,329</w:t>
            </w:r>
          </w:p>
        </w:tc>
      </w:tr>
      <w:tr>
        <w:trPr>
          <w:trHeight w:val="210"/>
        </w:trPr>
        <w:tc>
          <w:tcPr>
            <w:tcW w:w="65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640" w:type="dxa"/>
            <w:vAlign w:val="bottom"/>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51,012</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assets acquired, net</w:t>
            </w: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w:t>
            </w: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Debt and other long-term liabilities</w:t>
            </w:r>
          </w:p>
        </w:tc>
        <w:tc>
          <w:tcPr>
            <w:tcW w:w="6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(4,541)</w:t>
            </w:r>
          </w:p>
        </w:tc>
      </w:tr>
      <w:tr>
        <w:trPr>
          <w:trHeight w:val="216"/>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8,945</w:t>
            </w: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Deferred tax liability</w:t>
            </w:r>
          </w:p>
        </w:tc>
        <w:tc>
          <w:tcPr>
            <w:tcW w:w="6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(7,934)</w:t>
            </w:r>
          </w:p>
        </w:tc>
      </w:tr>
      <w:tr>
        <w:trPr>
          <w:trHeight w:val="216"/>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Intangibles, primarily customer relationships</w:t>
            </w: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25,823</w:t>
            </w: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6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27,655</w:t>
            </w:r>
          </w:p>
        </w:tc>
      </w:tr>
      <w:tr>
        <w:trPr>
          <w:trHeight w:val="210"/>
        </w:trPr>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640" w:type="dxa"/>
            <w:vAlign w:val="bottom"/>
            <w:tcBorders>
              <w:top w:val="single" w:sz="8" w:color="auto"/>
              <w:bottom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amortization period of intangible assets acquired ranges from two to twelve years. The Company recorded approximately $27.7 million of goodwill in connection with its fiscal 2013 acquisitions, reflecting the strategic fit and revenue and earnings growth potential of these businesses. The goodwill recognized in connection with these three acquisitions is not expected to be deductible for tax purposes.</w:t>
      </w:r>
    </w:p>
    <w:p>
      <w:pPr>
        <w:spacing w:after="0" w:line="18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also has two acquisitions that were completed in the fourth quarter of fiscal 2012 for which the Company is still in the process of completing the allocation of the consideration transferred, including the valuation of the intangible assets acquired. These valuations and related purchase price allocations are expected to be finalized prior to the end of the Company’s fourth quarter of fiscal 2013. The following table summarizes the estimated fair value of the assets acquired and liabilities assumed at the date of acquisition for the Company’s fiscal 2012 acquisitions that have not yet been finalized:</w:t>
      </w:r>
    </w:p>
    <w:p>
      <w:pPr>
        <w:spacing w:after="0" w:line="169"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Number of entities</w:t>
            </w:r>
          </w:p>
        </w:tc>
        <w:tc>
          <w:tcPr>
            <w:tcW w:w="6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6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w:t>
            </w:r>
          </w:p>
        </w:tc>
        <w:tc>
          <w:tcPr>
            <w:tcW w:w="680" w:type="dxa"/>
            <w:vAlign w:val="bottom"/>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2,968</w:t>
            </w: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Subordinated notes issued</w:t>
            </w:r>
          </w:p>
        </w:tc>
        <w:tc>
          <w:tcPr>
            <w:tcW w:w="6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904</w:t>
            </w:r>
          </w:p>
        </w:tc>
      </w:tr>
      <w:tr>
        <w:trPr>
          <w:trHeight w:val="216"/>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6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r>
      <w:tr>
        <w:trPr>
          <w:trHeight w:val="210"/>
        </w:trPr>
        <w:tc>
          <w:tcPr>
            <w:tcW w:w="65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680" w:type="dxa"/>
            <w:vAlign w:val="bottom"/>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4,336</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assets acquired, net</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Debt and other long-term liabilities</w:t>
            </w:r>
          </w:p>
        </w:tc>
        <w:tc>
          <w:tcPr>
            <w:tcW w:w="6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6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Deferred tax liability</w:t>
            </w:r>
          </w:p>
        </w:tc>
        <w:tc>
          <w:tcPr>
            <w:tcW w:w="6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r>
      <w:tr>
        <w:trPr>
          <w:trHeight w:val="216"/>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Intangibles, primarily customer relationships</w:t>
            </w:r>
          </w:p>
        </w:tc>
        <w:tc>
          <w:tcPr>
            <w:tcW w:w="6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2,222</w:t>
            </w:r>
          </w:p>
        </w:tc>
      </w:tr>
      <w:tr>
        <w:trPr>
          <w:trHeight w:val="216"/>
        </w:trPr>
        <w:tc>
          <w:tcPr>
            <w:tcW w:w="65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6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1,575</w:t>
            </w:r>
          </w:p>
        </w:tc>
      </w:tr>
      <w:tr>
        <w:trPr>
          <w:trHeight w:val="210"/>
        </w:trPr>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680" w:type="dxa"/>
            <w:vAlign w:val="bottom"/>
            <w:tcBorders>
              <w:top w:val="single" w:sz="8" w:color="auto"/>
              <w:bottom w:val="single" w:sz="8" w:color="auto"/>
            </w:tcBorders>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have been no significant changes during fiscal 2013 to the initial purchase price allocations for which the final purchase price allocation is not yet complete.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Revenues for the acquisitions completed in fiscal 2013 for the period subsequent to the closing of the transaction were approximately $18.5 million and $24.9 million for the three and nine months ended February 28, 2013, respectively.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Income from operations for these acquisitions for the period subsequent to the closing of each respective transaction was approximately $0.4 million and $1.0 million for the three and nine months ended February 28, 2013, respectively.</w:t>
      </w:r>
    </w:p>
    <w:p>
      <w:pPr>
        <w:spacing w:after="0" w:line="170"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The unaudited pro forma information for the periods set forth below gives effect to the fiscal 2013 acquisitions as if they had occurred at the beginning of each period presented. The pro forma information is presented for informational purposes only and is not necessarily indicative of the results of operations that actually would have been achieved had the acquisitions been consummated as of that time (unaudited,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60" w:type="dxa"/>
            <w:vAlign w:val="bottom"/>
            <w:gridSpan w:val="5"/>
          </w:tcPr>
          <w:p>
            <w:pPr>
              <w:jc w:val="right"/>
              <w:ind w:right="896"/>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4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February 28, 2013</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February 29, 2012</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February 28, 2013</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February 29, 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134,630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127,028</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419,146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394,866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30,093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22,263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During the three and nine month periods ended February 28, 2013, the Company incurred costs of $0.3 million and $1.2 million, respectively, in connection with due diligence, professional fees, and other expenses for its fiscal 2013 acquisition activity. Additionally, the Company adjusted the fair value of certain acquisition-related contingent consideration liabilities. For the three month and nine month periods ended February 28, 2013, the adjustments resulted in a net</w:t>
      </w:r>
    </w:p>
    <w:p>
      <w:pPr>
        <w:sectPr>
          <w:pgSz w:w="11900" w:h="16838" w:orient="portrait"/>
          <w:cols w:equalWidth="0" w:num="1">
            <w:col w:w="11380"/>
          </w:cols>
          <w:pgMar w:left="240" w:top="121" w:right="279" w:bottom="0" w:gutter="0" w:footer="0" w:header="0"/>
        </w:sectPr>
      </w:pPr>
    </w:p>
    <w:bookmarkStart w:id="10" w:name="page11"/>
    <w:bookmarkEnd w:id="10"/>
    <w:p>
      <w:pPr>
        <w:ind w:right="40"/>
        <w:spacing w:after="0" w:line="255" w:lineRule="auto"/>
        <w:rPr>
          <w:sz w:val="20"/>
          <w:szCs w:val="20"/>
          <w:color w:val="auto"/>
        </w:rPr>
      </w:pPr>
      <w:r>
        <w:rPr>
          <w:rFonts w:ascii="Arial" w:cs="Arial" w:eastAsia="Arial" w:hAnsi="Arial"/>
          <w:sz w:val="18"/>
          <w:szCs w:val="18"/>
          <w:color w:val="auto"/>
        </w:rPr>
        <w:t>decrease of approximately $2.0 million and $3.1 million, respectively, to the Company’s acquisition-related contingent consideration liabilities, which were approximately $17.5 million as of February 28, 2013 and recorded on the balance sheet in accrued expenses and other liabilities. These adjustments also resulted in a corresponding net increase to income from operations of approximately $2.0 million and $3.2 million for the three and nine month periods ended February 28, 2013, respectively. The Company recorded interest accretion related to its contingent consideration liabilities of $0.5 million and $1.0 million for the three and nine months ended February 28, 2013. The fair value adjustments to acquisition-related contingent consideration liabilities, related interest accretion and the acquisition-related transaction costs have been classified as acquisition-related expense, net in the statement of operations for the three and nine months ended February 28, 2013.</w:t>
      </w:r>
    </w:p>
    <w:p>
      <w:pPr>
        <w:spacing w:after="0" w:line="18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During the three and nine month periods ended February 29, 2012, the Company incurred costs of $1.0 million and $1.4 million, respectively, in connection with due diligence, professional fees, and other expenses for its fiscal 2012 acquisition activity. Additionally, the Company adjusted the fair value of certain acquisition-related contingent consideration liabilities. For the three month and nine month periods ended February 29, 2012, the adjustments resulted in a net decrease of approximately $0.1 million and $0.9 million, respectively, to the Company’s acquisition-related contingent consideration liabilities, which were approximately $7.5 million as of February 29, 2012 and recorded on the balance sheet in accrued expenses and other liabilities. These adjustments also resulted in a corresponding net increase to income from operations of approximately $0.1 million and $0.9 million for the three and nine month periods ended February 29, 2012, respectively. The Company recorded interest accretion related to its contingent consideration liabilities of $0.1 million and $0.5 million for the three and nine months ended February 29, 2012. The fair value adjustments to acquisition-related contingent consideration liabilities, related interest accretion and the acquisition-related transaction costs have been classified as acquisition-related expense, net in the statement of operations for the three and nine months ended February 29, 2012.</w:t>
      </w:r>
    </w:p>
    <w:p>
      <w:pPr>
        <w:spacing w:after="0" w:line="17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Interest accretion for the three and nine month periods ended February 28, 2013 and February 29, 2012, respectively, was previously recorded in interest expense.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6.</w:t>
            </w:r>
          </w:p>
        </w:tc>
        <w:tc>
          <w:tcPr>
            <w:tcW w:w="5540" w:type="dxa"/>
            <w:vAlign w:val="bottom"/>
          </w:tcPr>
          <w:p>
            <w:pPr>
              <w:ind w:left="560"/>
              <w:spacing w:after="0"/>
              <w:rPr>
                <w:sz w:val="20"/>
                <w:szCs w:val="20"/>
                <w:color w:val="auto"/>
              </w:rPr>
            </w:pPr>
            <w:r>
              <w:rPr>
                <w:rFonts w:ascii="Arial" w:cs="Arial" w:eastAsia="Arial" w:hAnsi="Arial"/>
                <w:sz w:val="18"/>
                <w:szCs w:val="18"/>
                <w:b w:val="1"/>
                <w:bCs w:val="1"/>
                <w:color w:val="auto"/>
              </w:rPr>
              <w:t>Accounts Receivable, net</w:t>
            </w:r>
          </w:p>
        </w:tc>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color w:val="auto"/>
              </w:rPr>
              <w:t>Accounts receivable consist of the following:</w:t>
            </w: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February 28, 2013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May 31, 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110,334</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(1,648)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rPr>
              <w:t>7.</w:t>
            </w:r>
          </w:p>
        </w:tc>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Inventories, net</w:t>
            </w:r>
          </w:p>
        </w:tc>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80" w:type="dxa"/>
            <w:vAlign w:val="bottom"/>
            <w:gridSpan w:val="3"/>
          </w:tcPr>
          <w:p>
            <w:pPr>
              <w:spacing w:after="0"/>
              <w:rPr>
                <w:sz w:val="20"/>
                <w:szCs w:val="20"/>
                <w:color w:val="auto"/>
              </w:rPr>
            </w:pPr>
            <w:r>
              <w:rPr>
                <w:rFonts w:ascii="Arial" w:cs="Arial" w:eastAsia="Arial" w:hAnsi="Arial"/>
                <w:sz w:val="18"/>
                <w:szCs w:val="18"/>
                <w:color w:val="auto"/>
              </w:rPr>
              <w:t>Inventories consist of the following:</w:t>
            </w: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28, 2013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May 31, 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3,230</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2,594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w w:val="86"/>
              </w:rPr>
              <w:t>Supplies</w:t>
            </w:r>
          </w:p>
        </w:tc>
        <w:tc>
          <w:tcPr>
            <w:tcW w:w="47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2,508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740" w:type="dxa"/>
            <w:vAlign w:val="bottom"/>
            <w:tcBorders>
              <w:top w:val="single" w:sz="8" w:color="CCEEFF"/>
              <w:bottom w:val="single" w:sz="8" w:color="CCEEFF"/>
            </w:tcBorders>
            <w:shd w:val="clear" w:color="auto" w:fill="CCEEFF"/>
          </w:tcPr>
          <w:p>
            <w:pPr>
              <w:spacing w:after="0"/>
              <w:rPr>
                <w:sz w:val="18"/>
                <w:szCs w:val="18"/>
                <w:color w:val="auto"/>
              </w:rPr>
            </w:pPr>
          </w:p>
        </w:tc>
        <w:tc>
          <w:tcPr>
            <w:tcW w:w="27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Inventories are net of reserves for slow-moving and obsolete inventory of approximately $1.5 million and $1.2 million as of February 28, 2013 and May 31, 2012,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8.</w:t>
            </w:r>
          </w:p>
        </w:tc>
        <w:tc>
          <w:tcPr>
            <w:tcW w:w="6240" w:type="dxa"/>
            <w:vAlign w:val="bottom"/>
          </w:tcPr>
          <w:p>
            <w:pPr>
              <w:ind w:left="560"/>
              <w:spacing w:after="0"/>
              <w:rPr>
                <w:sz w:val="20"/>
                <w:szCs w:val="20"/>
                <w:color w:val="auto"/>
              </w:rPr>
            </w:pPr>
            <w:r>
              <w:rPr>
                <w:rFonts w:ascii="Arial" w:cs="Arial" w:eastAsia="Arial" w:hAnsi="Arial"/>
                <w:sz w:val="18"/>
                <w:szCs w:val="18"/>
                <w:b w:val="1"/>
                <w:bCs w:val="1"/>
                <w:color w:val="auto"/>
              </w:rPr>
              <w:t>Property, Plant and Equipment, net</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0" w:type="dxa"/>
            <w:vAlign w:val="bottom"/>
            <w:gridSpan w:val="2"/>
          </w:tcPr>
          <w:p>
            <w:pPr>
              <w:spacing w:after="0"/>
              <w:rPr>
                <w:sz w:val="20"/>
                <w:szCs w:val="20"/>
                <w:color w:val="auto"/>
              </w:rPr>
            </w:pPr>
            <w:r>
              <w:rPr>
                <w:rFonts w:ascii="Arial" w:cs="Arial" w:eastAsia="Arial" w:hAnsi="Arial"/>
                <w:sz w:val="18"/>
                <w:szCs w:val="18"/>
                <w:color w:val="auto"/>
              </w:rPr>
              <w:t>Property, plant and equipment consist of the following:</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February 28, 2013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May 31, 2012</w:t>
            </w: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30-40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21,044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16,950</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6,760</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119,225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105,096</w:t>
            </w:r>
          </w:p>
        </w:tc>
        <w:tc>
          <w:tcPr>
            <w:tcW w:w="0" w:type="dxa"/>
            <w:vAlign w:val="bottom"/>
          </w:tcPr>
          <w:p>
            <w:pPr>
              <w:spacing w:after="0"/>
              <w:rPr>
                <w:sz w:val="1"/>
                <w:szCs w:val="1"/>
                <w:color w:val="auto"/>
              </w:rPr>
            </w:pPr>
          </w:p>
        </w:tc>
      </w:tr>
      <w:tr>
        <w:trPr>
          <w:trHeight w:val="210"/>
        </w:trPr>
        <w:tc>
          <w:tcPr>
            <w:tcW w:w="160" w:type="dxa"/>
            <w:vAlign w:val="bottom"/>
            <w:tcBorders>
              <w:top w:val="single" w:sz="8" w:color="CCEEFF"/>
            </w:tcBorders>
            <w:shd w:val="clear" w:color="auto" w:fill="CCEEFF"/>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147,469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Accumulated depreciation and amortization</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(77,623)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(67,171)</w:t>
            </w:r>
          </w:p>
        </w:tc>
        <w:tc>
          <w:tcPr>
            <w:tcW w:w="0" w:type="dxa"/>
            <w:vAlign w:val="bottom"/>
          </w:tcPr>
          <w:p>
            <w:pPr>
              <w:spacing w:after="0"/>
              <w:rPr>
                <w:sz w:val="1"/>
                <w:szCs w:val="1"/>
                <w:color w:val="auto"/>
              </w:rPr>
            </w:pPr>
          </w:p>
        </w:tc>
      </w:tr>
      <w:tr>
        <w:trPr>
          <w:trHeight w:val="210"/>
        </w:trPr>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5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the three months ended February 28, 2013 and February 29, 2012 was approximately $5.0 million and $4.2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the nine months ended February 28, 2013 and February 29, 2012 was approximately $14.0 million and $11.8 million, respectively.</w:t>
      </w:r>
    </w:p>
    <w:p>
      <w:pPr>
        <w:spacing w:after="0" w:line="230"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ectPr>
          <w:pgSz w:w="11900" w:h="16838" w:orient="portrait"/>
          <w:cols w:equalWidth="0" w:num="1">
            <w:col w:w="11420"/>
          </w:cols>
          <w:pgMar w:left="240" w:top="125" w:right="239" w:bottom="0" w:gutter="0" w:footer="0" w:header="0"/>
        </w:sectPr>
      </w:pPr>
    </w:p>
    <w:bookmarkStart w:id="11" w:name="page12"/>
    <w:bookmarkEnd w:id="11"/>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February 28, 2013</w:t>
            </w: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May 31, 2012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wages and related employee benefits</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21,065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Contingent consideration, current portion</w:t>
            </w: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4,887</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Accrued worker compensation and health benefits</w:t>
            </w:r>
          </w:p>
        </w:tc>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Deferred revenues</w:t>
            </w: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3,245</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5,390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10,380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w:t>
            </w:r>
          </w:p>
        </w:tc>
        <w:tc>
          <w:tcPr>
            <w:tcW w:w="3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43,411</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00" w:type="dxa"/>
            <w:vAlign w:val="bottom"/>
            <w:vMerge w:val="restart"/>
          </w:tcPr>
          <w:p>
            <w:pPr>
              <w:jc w:val="right"/>
              <w:ind w:right="2190"/>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0" w:type="dxa"/>
            <w:vAlign w:val="bottom"/>
            <w:tcBorders>
              <w:bottom w:val="single" w:sz="8" w:color="010101"/>
            </w:tcBorders>
          </w:tcPr>
          <w:p>
            <w:pPr>
              <w:spacing w:after="0"/>
              <w:rPr>
                <w:sz w:val="11"/>
                <w:szCs w:val="11"/>
                <w:color w:val="auto"/>
              </w:rPr>
            </w:pPr>
          </w:p>
        </w:tc>
        <w:tc>
          <w:tcPr>
            <w:tcW w:w="4680" w:type="dxa"/>
            <w:vAlign w:val="bottom"/>
            <w:tcBorders>
              <w:bottom w:val="single" w:sz="8" w:color="010101"/>
            </w:tcBorders>
          </w:tcPr>
          <w:p>
            <w:pPr>
              <w:spacing w:after="0"/>
              <w:rPr>
                <w:sz w:val="11"/>
                <w:szCs w:val="11"/>
                <w:color w:val="auto"/>
              </w:rPr>
            </w:pPr>
          </w:p>
        </w:tc>
        <w:tc>
          <w:tcPr>
            <w:tcW w:w="32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rPr>
              <w:t>10.</w:t>
            </w:r>
          </w:p>
        </w:tc>
        <w:tc>
          <w:tcPr>
            <w:tcW w:w="5100" w:type="dxa"/>
            <w:vAlign w:val="bottom"/>
          </w:tcPr>
          <w:p>
            <w:pPr>
              <w:ind w:left="120"/>
              <w:spacing w:after="0"/>
              <w:rPr>
                <w:sz w:val="20"/>
                <w:szCs w:val="20"/>
                <w:color w:val="auto"/>
              </w:rPr>
            </w:pPr>
            <w:r>
              <w:rPr>
                <w:rFonts w:ascii="Arial" w:cs="Arial" w:eastAsia="Arial" w:hAnsi="Arial"/>
                <w:sz w:val="18"/>
                <w:szCs w:val="18"/>
                <w:b w:val="1"/>
                <w:bCs w:val="1"/>
                <w:color w:val="auto"/>
              </w:rPr>
              <w:t>Long-Term Debt</w:t>
            </w: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40" w:type="dxa"/>
            <w:vAlign w:val="bottom"/>
            <w:gridSpan w:val="3"/>
          </w:tcPr>
          <w:p>
            <w:pPr>
              <w:spacing w:after="0"/>
              <w:rPr>
                <w:sz w:val="20"/>
                <w:szCs w:val="20"/>
                <w:color w:val="auto"/>
              </w:rPr>
            </w:pPr>
            <w:r>
              <w:rPr>
                <w:rFonts w:ascii="Arial" w:cs="Arial" w:eastAsia="Arial" w:hAnsi="Arial"/>
                <w:sz w:val="18"/>
                <w:szCs w:val="18"/>
                <w:color w:val="auto"/>
              </w:rPr>
              <w:t>Long-term debt consists of the following:</w:t>
            </w:r>
          </w:p>
        </w:tc>
        <w:tc>
          <w:tcPr>
            <w:tcW w:w="2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February 28, 2013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May 31, 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credit facility</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51,008</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Notes payable</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17,228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12,532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72,940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(7,730)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gridSpan w:val="2"/>
          </w:tcPr>
          <w:p>
            <w:pPr>
              <w:ind w:left="160"/>
              <w:spacing w:after="0"/>
              <w:rPr>
                <w:sz w:val="20"/>
                <w:szCs w:val="20"/>
                <w:color w:val="auto"/>
              </w:rPr>
            </w:pPr>
            <w:r>
              <w:rPr>
                <w:rFonts w:ascii="Arial" w:cs="Arial" w:eastAsia="Arial" w:hAnsi="Arial"/>
                <w:sz w:val="18"/>
                <w:szCs w:val="18"/>
                <w:color w:val="auto"/>
              </w:rPr>
              <w:t>Long-term debt, net of current maturities</w:t>
            </w:r>
          </w:p>
        </w:tc>
        <w:tc>
          <w:tcPr>
            <w:tcW w:w="24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65,210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34,258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December 2011, the Company entered into a Third Amended and Restated Credit Agreement (Credit Agreement) with Bank of America, N.A., as agent for the lenders and a lender, and JPMorgan Chase Bank, N.A., Keybank National Association and TD Bank, N.A., as lenders. The Credit Agreement provides the Company with a $125.0 million revolving line of credit, which, under certain circumstances, can be increased to $150.0 million. The Credit Agreement has a maturity date of December 20, 2016. The Company may borrow up to $30.0 million in non-U.S. dollar currencies and use up to $10.0 million of the credit limit for the issuance of letters of credit. As of February 28, 2013, there were outstanding borrowings of $51.0 million and a total of $3.3 million of outstanding letters of credit under the current revolving credit facility.</w:t>
      </w:r>
    </w:p>
    <w:p>
      <w:pPr>
        <w:spacing w:after="0" w:line="193"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Loans under the Credit Agreement bear interest, at the option of the Company, at LIBOR, plus an applicable margin ranging from 1% to 2%, or base rate less a margin ranging from 0.25% to 1.25%, based upon its Funded Debt Leverage Ratio. Funded Debt Leverage Ratio is generally the ratio of (1) all outstanding indebtedness for borrowed money and other interest-bearing indebtedness as of the date of determination to (2) EBITDA, as defined in the Credit Agreement, (which is (a) net income, less (b) income (or plus loss) from discontinued operations and extraordinary items, plus (c) income tax expenses, plus (d) interest expense, plus (e) depreciation, depletion, and amortization (including non-cash loss on retirement of assets), plus (f) stock compensation expense, less</w:t>
      </w:r>
    </w:p>
    <w:p>
      <w:pPr>
        <w:spacing w:after="0" w:line="2" w:lineRule="exact"/>
        <w:rPr>
          <w:sz w:val="20"/>
          <w:szCs w:val="20"/>
          <w:color w:val="auto"/>
        </w:rPr>
      </w:pPr>
    </w:p>
    <w:p>
      <w:pPr>
        <w:ind w:right="300" w:firstLine="8"/>
        <w:spacing w:after="0" w:line="292" w:lineRule="auto"/>
        <w:tabs>
          <w:tab w:leader="none" w:pos="255" w:val="left"/>
        </w:tabs>
        <w:numPr>
          <w:ilvl w:val="0"/>
          <w:numId w:val="8"/>
        </w:numPr>
        <w:rPr>
          <w:rFonts w:ascii="Arial" w:cs="Arial" w:eastAsia="Arial" w:hAnsi="Arial"/>
          <w:sz w:val="16"/>
          <w:szCs w:val="16"/>
          <w:color w:val="auto"/>
        </w:rPr>
      </w:pPr>
      <w:r>
        <w:rPr>
          <w:rFonts w:ascii="Arial" w:cs="Arial" w:eastAsia="Arial" w:hAnsi="Arial"/>
          <w:sz w:val="16"/>
          <w:szCs w:val="16"/>
          <w:color w:val="auto"/>
        </w:rPr>
        <w:t>cash expense related to stock compensation, plus or minus certain other adjustments) for the period of four consecutive fiscal quarters immediately preceding the date of determination. The Company has the benefit of the lowest margin if its Funded Debt Leverage Ratio is equal to or less than 0.5 to 1, and the margin increases as the ratio increases, to the maximum margin if the ratio is greater than 2.5 to 1. The Company will also bear additional costs for market disruption, regulatory changes effecting the lenders’ funding costs, and default pricing of an additional 2% interest rate margin if the Funded Debt Leverage Ratio exceeds 3.0 to 1. Amounts borrowed under the Credit Agreement are secured by liens on substantially all of the assets of the Company.</w:t>
      </w:r>
    </w:p>
    <w:p>
      <w:pPr>
        <w:spacing w:after="0" w:line="16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Credit Agreement contains financial covenants requiring that the Company maintain a Funded Debt Leverage Ratio of less than 3.0 to 1 and an Interest Coverage Ratio of at least 3.0 to 1. Interest Coverage Ratio means the ratio, as of any date of determination, of (a) EBITDA, as defined in the Credit Agreement, for the 12 month period immediately preceding the date of determination, to (b) all interest, premium payments, debt discount, fees, charges and related expenses of the Company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Credit Agreement also limits the Company’s ability to, among other things, create liens, make investments, incur more indebtedness, merge or consolidate, make dispositions of property, pay dividends and make distributions to stockholders, enter into a new line of business, enter into transactions with affiliates and enter into burdensome agreements. The Credit Agreement does not limit the Company’s ability to acquire other businesses or companies except that the acquired business or company must be in its line of business, the Company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28, 2013, the Company was in compliance with the terms of the Credit Agreement, and it will continuously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monitor its compliance with the covenants.</w:t>
      </w:r>
    </w:p>
    <w:p>
      <w:pPr>
        <w:sectPr>
          <w:pgSz w:w="11900" w:h="16887" w:orient="portrait"/>
          <w:cols w:equalWidth="0" w:num="1">
            <w:col w:w="11460"/>
          </w:cols>
          <w:pgMar w:left="240" w:top="333" w:right="199" w:bottom="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Notes Payable and Other</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connection with certain of the acquisitions the Company has completed, it has, at various times, issued subordinated notes payable to the sellers. The maturity of these notes ranges from three to five years from the date of acquisition with interest rates ranging from 0% to 4%. The Company has discounted these obligations to reflect a 2% to 4% imputed interest rate, where appropriate. Unamortized discount on these notes was de minimis as of February 28, 2013 and totaled approximately $0.1 million as of May 31, 2012. Amortization is recorded as interest expense in the consolidated statement of operations. The Company also has payment obligations ranging from three to five years to the sellers or the shareholders of the sellers pursuant to non-compete agreements which require the sellers and shareholders of the sellers not to compete with the Company.</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December 2011, the Company amended its Credit Agreement bringing the Company’s interest rate to current market rates. The Company has evaluated current market conditions and borrower credit quality and has determined that the carrying value of its long-term debt approximated fair value. The fair value of the Company’s notes payable and capital lease obligations approximates their carrying amounts based on anticipated interest rates which management believes would currently be available to the Company for similar issues of debt.</w:t>
      </w:r>
    </w:p>
    <w:p>
      <w:pPr>
        <w:spacing w:after="0" w:line="183" w:lineRule="exact"/>
        <w:rPr>
          <w:sz w:val="20"/>
          <w:szCs w:val="20"/>
          <w:color w:val="auto"/>
        </w:rPr>
      </w:pPr>
    </w:p>
    <w:p>
      <w:pPr>
        <w:ind w:left="680" w:hanging="672"/>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 The three levels of the hierarchy are defined as follows:</w:t>
      </w:r>
    </w:p>
    <w:p>
      <w:pPr>
        <w:spacing w:after="0" w:line="18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Level 1 —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Level 2 — Observable inputs other than quoted prices included in Level 1, including quoted prices for similar assets or liabilities in active markets, quoted prices for identical assets or liabilities in inactive markets, inputs other than quoted prices that are observable for the asset or liability and inputs derived principally from or corroborated by observable market data.</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Level 3 — Unobservable inputs reflecting the Company’s own assumptions about inputs that market participants would use in pricing the asset or liability based on the best information available.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accordance with the fair value hierarchy described above, the following table shows the fair value of the Company’s financial liabilities that are required to be remeasured at fair value on a recurring basis: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As of February 28, 2013</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2"/>
                <w:szCs w:val="12"/>
                <w:color w:val="auto"/>
              </w:rPr>
            </w:pPr>
          </w:p>
        </w:tc>
        <w:tc>
          <w:tcPr>
            <w:tcW w:w="12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17,484</w:t>
            </w: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17,484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3"/>
              </w:rPr>
              <w:t>17,484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w w:val="89"/>
              </w:rPr>
              <w:t>16</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38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3"/>
              </w:rPr>
              <w:t>As of May 31, 2012</w:t>
            </w: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2"/>
                <w:szCs w:val="12"/>
                <w:color w:val="auto"/>
              </w:rPr>
            </w:pPr>
          </w:p>
        </w:tc>
        <w:tc>
          <w:tcPr>
            <w:tcW w:w="13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2"/>
                <w:szCs w:val="12"/>
                <w:color w:val="auto"/>
              </w:rPr>
            </w:pPr>
          </w:p>
        </w:tc>
        <w:tc>
          <w:tcPr>
            <w:tcW w:w="10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38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440"/>
              <w:spacing w:after="0"/>
              <w:rPr>
                <w:sz w:val="20"/>
                <w:szCs w:val="20"/>
                <w:color w:val="auto"/>
              </w:rPr>
            </w:pPr>
            <w:r>
              <w:rPr>
                <w:rFonts w:ascii="Arial" w:cs="Arial" w:eastAsia="Arial" w:hAnsi="Arial"/>
                <w:sz w:val="18"/>
                <w:szCs w:val="18"/>
                <w:color w:val="auto"/>
              </w:rPr>
              <w:t>13,513</w:t>
            </w: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13,513</w:t>
            </w:r>
          </w:p>
        </w:tc>
      </w:tr>
      <w:tr>
        <w:trPr>
          <w:trHeight w:val="210"/>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3"/>
              </w:rPr>
              <w:t>13,513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fair value of contingent consideration liabilities that was classified as Level 3 in the table above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acquisition agreements.</w:t>
      </w:r>
    </w:p>
    <w:p>
      <w:pPr>
        <w:spacing w:after="0" w:line="184" w:lineRule="exact"/>
        <w:rPr>
          <w:sz w:val="20"/>
          <w:szCs w:val="20"/>
          <w:color w:val="auto"/>
        </w:rPr>
      </w:pPr>
    </w:p>
    <w:p>
      <w:pPr>
        <w:ind w:left="660" w:hanging="63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is subject to periodic lawsuits, investigations and claims that arise in the ordinary course of business. Although the Company cannot predict with certainty the ultimate resolution of lawsuits, investigations and claims asserted against it, the Company does not believe that any currently pending legal proceeding to which the Company is a party will have a material adverse effect on its business, results of operations, cash flows or financial condition. The costs of defense and amounts that may be recovered in such matters may be covered by insurance.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contingencies</w:t>
      </w:r>
    </w:p>
    <w:p>
      <w:pPr>
        <w:sectPr>
          <w:pgSz w:w="11900" w:h="16838" w:orient="portrait"/>
          <w:cols w:equalWidth="0" w:num="1">
            <w:col w:w="11460"/>
          </w:cols>
          <w:pgMar w:left="240" w:top="341" w:right="199" w:bottom="208" w:gutter="0" w:footer="0" w:header="0"/>
        </w:sectPr>
      </w:pPr>
    </w:p>
    <w:bookmarkStart w:id="13" w:name="page14"/>
    <w:bookmarkEnd w:id="13"/>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is liable for contingent consideration in connection with certain of its acquisitions. As of February 28, 2013, total potential acquisition-related contingent consideration ranged from zero to approximately $27.2 million and would be payable upon the achievement of specific performance metrics by certain of the acquired companies over the next five years of operations. See Note 5 to these consolidated financial statements for further discussion of the Company’s acquisitions.</w:t>
      </w:r>
    </w:p>
    <w:p>
      <w:pPr>
        <w:spacing w:after="0" w:line="18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segments are:</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Services</w:t>
      </w:r>
      <w:r>
        <w:rPr>
          <w:rFonts w:ascii="Arial" w:cs="Arial" w:eastAsia="Arial" w:hAnsi="Arial"/>
          <w:sz w:val="18"/>
          <w:szCs w:val="18"/>
          <w:color w:val="auto"/>
        </w:rPr>
        <w:t>. This segment provides asset protection solutions primarily in North America with the largest concentration in the United States, consisting</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non-destructive testing and inspection services that are used to evaluate the structural integrity and reliability of critical energy, industrial and public infrastructure.</w:t>
      </w:r>
    </w:p>
    <w:p>
      <w:pPr>
        <w:spacing w:after="0" w:line="18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i w:val="1"/>
          <w:iCs w:val="1"/>
          <w:color w:val="auto"/>
        </w:rPr>
        <w:t>International</w:t>
      </w:r>
      <w:r>
        <w:rPr>
          <w:rFonts w:ascii="Arial" w:cs="Arial" w:eastAsia="Arial" w:hAnsi="Arial"/>
          <w:sz w:val="16"/>
          <w:szCs w:val="16"/>
          <w:color w:val="auto"/>
        </w:rPr>
        <w:t>. This segment offers services, products and systems similar to those of the other segments to global markets, principally in Europe, the</w:t>
      </w:r>
      <w:r>
        <w:rPr>
          <w:rFonts w:ascii="Arial" w:cs="Arial" w:eastAsia="Arial" w:hAnsi="Arial"/>
          <w:sz w:val="16"/>
          <w:szCs w:val="16"/>
          <w:i w:val="1"/>
          <w:iCs w:val="1"/>
          <w:color w:val="auto"/>
        </w:rPr>
        <w:t xml:space="preserve"> </w:t>
      </w:r>
      <w:r>
        <w:rPr>
          <w:rFonts w:ascii="Arial" w:cs="Arial" w:eastAsia="Arial" w:hAnsi="Arial"/>
          <w:sz w:val="16"/>
          <w:szCs w:val="16"/>
          <w:color w:val="auto"/>
        </w:rPr>
        <w:t>Middle East, Africa, Asia and South America, but not to customers in China and South Korea, which are served by the Products and Systems segment.</w:t>
      </w:r>
    </w:p>
    <w:p>
      <w:pPr>
        <w:spacing w:after="0" w:line="12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i w:val="1"/>
          <w:iCs w:val="1"/>
          <w:color w:val="auto"/>
        </w:rPr>
        <w:t>Products and Systems</w:t>
      </w:r>
      <w:r>
        <w:rPr>
          <w:rFonts w:ascii="Arial" w:cs="Arial" w:eastAsia="Arial" w:hAnsi="Arial"/>
          <w:sz w:val="18"/>
          <w:szCs w:val="18"/>
          <w:color w:val="auto"/>
        </w:rPr>
        <w:t>. 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Costs incurred for general corporate services, including accounting, audit, and contract management,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Segment income from operations is determined based on internal performance measures used by the Chief Executive Officer, who is the chief operating decision maker, to assess the performance of each business in a given period and to make decisions as to resource allocations. In connection with that assessment, the Chief Executive Officer may exclude matters such as charges for stock-based compensation and certain other acquisition-related charges and balances, technology and product development costs, certain gains and losses from dispositions, and litigation settlements or other charges. Certain general and administrative costs such as human resources, information technology, marketing and training are allocated to the segments. Segment income from operations also excludes interest and other financial charges and income taxes. Corporate and other assets are comprised principally of cash, deposits, property, plant and equipment, domestic deferred taxes, deferred charges and other assets. Corporate loss from operations consists of depreciation on the corporate office facilities and equipment, administrative charges related to corporate personnel and other charges that cannot be readily identified for allocation to a particular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Selected consolidated financial information by segment for the periods shown was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00" w:type="dxa"/>
            <w:vAlign w:val="bottom"/>
            <w:gridSpan w:val="6"/>
          </w:tcPr>
          <w:p>
            <w:pPr>
              <w:jc w:val="right"/>
              <w:ind w:right="12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3140" w:type="dxa"/>
            <w:vAlign w:val="bottom"/>
            <w:gridSpan w:val="7"/>
          </w:tcPr>
          <w:p>
            <w:pPr>
              <w:jc w:val="right"/>
              <w:ind w:right="11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8"/>
              </w:rPr>
              <w:t>February 28, 2013</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8"/>
              </w:rPr>
              <w:t>February 29, 2012</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6"/>
              </w:rPr>
              <w:t>February 28, 2013</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February 29, 2012</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90,537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80,895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278,147</w:t>
            </w:r>
          </w:p>
        </w:tc>
        <w:tc>
          <w:tcPr>
            <w:tcW w:w="220" w:type="dxa"/>
            <w:vAlign w:val="bottom"/>
          </w:tcPr>
          <w:p>
            <w:pPr>
              <w:spacing w:after="0"/>
              <w:rPr>
                <w:sz w:val="18"/>
                <w:szCs w:val="18"/>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253,493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17,164</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Products and Systems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7,645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9,824</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25,618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26,429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(3,765)</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104,118</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384,777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309,785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Revenues by segment include intercompany transactions, which are eliminated in Corporate and eliminations. The Services segment had sales to other operating segments of $0.6 million and $0.5 million for the three months ended February 28, 2013 and February 29, 2012, respectively. For the nine months ended February 28, 2013 and February 29, 2012, the Services segment sales to other operating segments totaled $2.8 million and $2.3 million, respectively.</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International segment had sales to other operating segments of $0.2 million and $0.3 million for the three months ended February 28, 2013 and February 29, 2012, respectively. For each of the nine month periods ended February 28, 2013 and February 29, 2012, the International segment had sales to other operating segments totaling $0.5 million.</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Products and Systems segment had sales to other operating segments of $1.3 million and $3.1 million for the three months ended February 28, 2013 and February 29, 2012, respectively. For the nine months ended February 28, 2013 and February 29, 2012, the Products and Systems segment sales to other operating segments totaled $4.2 million and $6.4 million, respectively.</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00" w:type="dxa"/>
            <w:vAlign w:val="bottom"/>
            <w:gridSpan w:val="6"/>
          </w:tcPr>
          <w:p>
            <w:pPr>
              <w:jc w:val="right"/>
              <w:ind w:right="12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3140" w:type="dxa"/>
            <w:vAlign w:val="bottom"/>
            <w:gridSpan w:val="7"/>
          </w:tcPr>
          <w:p>
            <w:pPr>
              <w:jc w:val="right"/>
              <w:ind w:right="11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February 28, 2013</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8"/>
              </w:rPr>
              <w:t>February 29, 2012</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6"/>
              </w:rPr>
              <w:t>February 28, 2013</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February 29, 2012</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20,496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20,640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72,128</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68,001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4,586</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24,231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Products and Systems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3,790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4,938</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13,010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12,952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29,584</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109,828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92,219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340"/>
          </w:cols>
          <w:pgMar w:left="240" w:top="125" w:right="319" w:bottom="0" w:gutter="0" w:footer="0" w:header="0"/>
        </w:sectPr>
      </w:pPr>
    </w:p>
    <w:bookmarkStart w:id="14" w:name="page15"/>
    <w:bookmarkEnd w:id="1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3073400</wp:posOffset>
            </wp:positionH>
            <wp:positionV relativeFrom="page">
              <wp:posOffset>88900</wp:posOffset>
            </wp:positionV>
            <wp:extent cx="418528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85285"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00" w:type="dxa"/>
            <w:vAlign w:val="bottom"/>
            <w:gridSpan w:val="6"/>
          </w:tcPr>
          <w:p>
            <w:pPr>
              <w:jc w:val="right"/>
              <w:ind w:right="12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314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8"/>
              </w:rPr>
              <w:t>February 28, 2013</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8"/>
              </w:rPr>
              <w:t>February 29, 2012</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6"/>
              </w:rPr>
              <w:t>February 28, 2013</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February 29, 2012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6,293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7,186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28,597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27,927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4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1,699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2,392</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5,652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(4,477)</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5,422</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214"/>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30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by operating segment includes intercompany transactions, which are eliminated in Corporate and eliminations.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gridSpan w:val="8"/>
          </w:tcPr>
          <w:p>
            <w:pPr>
              <w:ind w:left="8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60" w:type="dxa"/>
            <w:vAlign w:val="bottom"/>
            <w:gridSpan w:val="10"/>
          </w:tcPr>
          <w:p>
            <w:pPr>
              <w:ind w:left="8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245"/>
              <w:spacing w:after="0" w:line="142" w:lineRule="exact"/>
              <w:rPr>
                <w:sz w:val="20"/>
                <w:szCs w:val="20"/>
                <w:color w:val="auto"/>
              </w:rPr>
            </w:pPr>
            <w:r>
              <w:rPr>
                <w:rFonts w:ascii="Arial" w:cs="Arial" w:eastAsia="Arial" w:hAnsi="Arial"/>
                <w:sz w:val="14"/>
                <w:szCs w:val="14"/>
                <w:b w:val="1"/>
                <w:bCs w:val="1"/>
                <w:color w:val="auto"/>
                <w:w w:val="98"/>
              </w:rPr>
              <w:t>February 28, 2013</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ind w:left="40"/>
              <w:spacing w:after="0" w:line="142" w:lineRule="exact"/>
              <w:rPr>
                <w:sz w:val="20"/>
                <w:szCs w:val="20"/>
                <w:color w:val="auto"/>
              </w:rPr>
            </w:pPr>
            <w:r>
              <w:rPr>
                <w:rFonts w:ascii="Arial" w:cs="Arial" w:eastAsia="Arial" w:hAnsi="Arial"/>
                <w:sz w:val="14"/>
                <w:szCs w:val="14"/>
                <w:b w:val="1"/>
                <w:bCs w:val="1"/>
                <w:color w:val="auto"/>
              </w:rPr>
              <w:t>February 29, 2012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6"/>
          </w:tcPr>
          <w:p>
            <w:pPr>
              <w:jc w:val="right"/>
              <w:ind w:right="320"/>
              <w:spacing w:after="0" w:line="142" w:lineRule="exact"/>
              <w:rPr>
                <w:sz w:val="20"/>
                <w:szCs w:val="20"/>
                <w:color w:val="auto"/>
              </w:rPr>
            </w:pPr>
            <w:r>
              <w:rPr>
                <w:rFonts w:ascii="Arial" w:cs="Arial" w:eastAsia="Arial" w:hAnsi="Arial"/>
                <w:sz w:val="14"/>
                <w:szCs w:val="14"/>
                <w:b w:val="1"/>
                <w:bCs w:val="1"/>
                <w:color w:val="auto"/>
                <w:w w:val="98"/>
              </w:rPr>
              <w:t>February 28, 2013</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February 29,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Services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5"/>
              <w:spacing w:after="0"/>
              <w:rPr>
                <w:sz w:val="20"/>
                <w:szCs w:val="20"/>
                <w:color w:val="auto"/>
              </w:rPr>
            </w:pPr>
            <w:r>
              <w:rPr>
                <w:rFonts w:ascii="Arial" w:cs="Arial" w:eastAsia="Arial" w:hAnsi="Arial"/>
                <w:sz w:val="18"/>
                <w:szCs w:val="18"/>
                <w:color w:val="auto"/>
              </w:rPr>
              <w:t>4,660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4"/>
          </w:tcPr>
          <w:p>
            <w:pPr>
              <w:jc w:val="right"/>
              <w:ind w:right="20"/>
              <w:spacing w:after="0"/>
              <w:rPr>
                <w:sz w:val="20"/>
                <w:szCs w:val="20"/>
                <w:color w:val="auto"/>
              </w:rPr>
            </w:pPr>
            <w:r>
              <w:rPr>
                <w:rFonts w:ascii="Arial" w:cs="Arial" w:eastAsia="Arial" w:hAnsi="Arial"/>
                <w:sz w:val="18"/>
                <w:szCs w:val="18"/>
                <w:color w:val="auto"/>
              </w:rPr>
              <w:t>4,587</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6"/>
          </w:tcPr>
          <w:p>
            <w:pPr>
              <w:jc w:val="right"/>
              <w:ind w:right="140"/>
              <w:spacing w:after="0"/>
              <w:rPr>
                <w:sz w:val="20"/>
                <w:szCs w:val="20"/>
                <w:color w:val="auto"/>
              </w:rPr>
            </w:pPr>
            <w:r>
              <w:rPr>
                <w:rFonts w:ascii="Arial" w:cs="Arial" w:eastAsia="Arial" w:hAnsi="Arial"/>
                <w:sz w:val="18"/>
                <w:szCs w:val="18"/>
                <w:color w:val="auto"/>
              </w:rPr>
              <w:t>13,763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1,941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670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Products and Systems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65"/>
              <w:spacing w:after="0"/>
              <w:rPr>
                <w:sz w:val="20"/>
                <w:szCs w:val="20"/>
                <w:color w:val="auto"/>
              </w:rPr>
            </w:pPr>
            <w:r>
              <w:rPr>
                <w:rFonts w:ascii="Arial" w:cs="Arial" w:eastAsia="Arial" w:hAnsi="Arial"/>
                <w:sz w:val="18"/>
                <w:szCs w:val="18"/>
                <w:color w:val="auto"/>
              </w:rPr>
              <w:t>617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4"/>
          </w:tcPr>
          <w:p>
            <w:pPr>
              <w:jc w:val="right"/>
              <w:ind w:right="20"/>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1,596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5,765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19,693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6"/>
          </w:tcPr>
          <w:p>
            <w:pPr>
              <w:ind w:left="40"/>
              <w:spacing w:after="0"/>
              <w:rPr>
                <w:sz w:val="20"/>
                <w:szCs w:val="20"/>
                <w:color w:val="auto"/>
              </w:rPr>
            </w:pPr>
            <w:r>
              <w:rPr>
                <w:rFonts w:ascii="Arial" w:cs="Arial" w:eastAsia="Arial" w:hAnsi="Arial"/>
                <w:sz w:val="14"/>
                <w:szCs w:val="14"/>
                <w:b w:val="1"/>
                <w:bCs w:val="1"/>
                <w:color w:val="auto"/>
              </w:rPr>
              <w:t>February 28, 2013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w w:val="93"/>
              </w:rPr>
              <w:t>May 31, 2012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Services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15,880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2"/>
          </w:tcPr>
          <w:p>
            <w:pPr>
              <w:jc w:val="right"/>
              <w:ind w:right="65"/>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17,180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Products and Systems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9,911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10,095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56,428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65"/>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34,469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6"/>
          </w:tcPr>
          <w:p>
            <w:pPr>
              <w:ind w:left="60"/>
              <w:spacing w:after="0"/>
              <w:rPr>
                <w:sz w:val="20"/>
                <w:szCs w:val="20"/>
                <w:color w:val="auto"/>
              </w:rPr>
            </w:pPr>
            <w:r>
              <w:rPr>
                <w:rFonts w:ascii="Arial" w:cs="Arial" w:eastAsia="Arial" w:hAnsi="Arial"/>
                <w:sz w:val="14"/>
                <w:szCs w:val="14"/>
                <w:b w:val="1"/>
                <w:bCs w:val="1"/>
                <w:color w:val="auto"/>
              </w:rPr>
              <w:t>February 28, 2013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8"/>
              </w:rPr>
              <w:t>May 31, 2012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Services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60,719</w:t>
            </w:r>
          </w:p>
        </w:tc>
        <w:tc>
          <w:tcPr>
            <w:tcW w:w="20" w:type="dxa"/>
            <w:vAlign w:val="bottom"/>
          </w:tcPr>
          <w:p>
            <w:pPr>
              <w:spacing w:after="0"/>
              <w:rPr>
                <w:sz w:val="18"/>
                <w:szCs w:val="18"/>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260" w:type="dxa"/>
            <w:vAlign w:val="bottom"/>
            <w:gridSpan w:val="4"/>
          </w:tcPr>
          <w:p>
            <w:pPr>
              <w:jc w:val="right"/>
              <w:ind w:right="80"/>
              <w:spacing w:after="0"/>
              <w:rPr>
                <w:sz w:val="20"/>
                <w:szCs w:val="20"/>
                <w:color w:val="auto"/>
              </w:rPr>
            </w:pPr>
            <w:r>
              <w:rPr>
                <w:rFonts w:ascii="Arial" w:cs="Arial" w:eastAsia="Arial" w:hAnsi="Arial"/>
                <w:sz w:val="18"/>
                <w:szCs w:val="18"/>
                <w:color w:val="auto"/>
              </w:rPr>
              <w:t>58,746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51,616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24,481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Products and Systems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13,197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4"/>
          </w:tcPr>
          <w:p>
            <w:pPr>
              <w:jc w:val="right"/>
              <w:ind w:right="80"/>
              <w:spacing w:after="0"/>
              <w:rPr>
                <w:sz w:val="20"/>
                <w:szCs w:val="20"/>
                <w:color w:val="auto"/>
              </w:rPr>
            </w:pPr>
            <w:r>
              <w:rPr>
                <w:rFonts w:ascii="Arial" w:cs="Arial" w:eastAsia="Arial" w:hAnsi="Arial"/>
                <w:sz w:val="18"/>
                <w:szCs w:val="18"/>
                <w:color w:val="auto"/>
              </w:rPr>
              <w:t>13,592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125,532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96,819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6"/>
          </w:tcPr>
          <w:p>
            <w:pPr>
              <w:ind w:left="40"/>
              <w:spacing w:after="0"/>
              <w:rPr>
                <w:sz w:val="20"/>
                <w:szCs w:val="20"/>
                <w:color w:val="auto"/>
              </w:rPr>
            </w:pPr>
            <w:r>
              <w:rPr>
                <w:rFonts w:ascii="Arial" w:cs="Arial" w:eastAsia="Arial" w:hAnsi="Arial"/>
                <w:sz w:val="14"/>
                <w:szCs w:val="14"/>
                <w:b w:val="1"/>
                <w:bCs w:val="1"/>
                <w:color w:val="auto"/>
              </w:rPr>
              <w:t>February 28, 2013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w w:val="93"/>
              </w:rPr>
              <w:t>May 31, 2012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Services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205,988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2"/>
          </w:tcPr>
          <w:p>
            <w:pPr>
              <w:jc w:val="right"/>
              <w:ind w:right="65"/>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204,209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150,551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82,579</w:t>
            </w:r>
          </w:p>
        </w:tc>
        <w:tc>
          <w:tcPr>
            <w:tcW w:w="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Products and Systems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38,262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43,914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396,914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65"/>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329,816</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Revenues by geographic area for the three and nine months ended February 28, 2013 and February 29, 2012 were as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4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3180" w:type="dxa"/>
            <w:vAlign w:val="bottom"/>
            <w:gridSpan w:val="5"/>
          </w:tcPr>
          <w:p>
            <w:pPr>
              <w:ind w:left="8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February 28, 2013</w:t>
            </w:r>
          </w:p>
        </w:tc>
        <w:tc>
          <w:tcPr>
            <w:tcW w:w="1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February 29, 2012</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6"/>
              </w:rPr>
              <w:t>February 28, 2013</w:t>
            </w: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February 29, 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83,273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74,416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255,108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237,215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Europe</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32,897</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13,721</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72,878</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Other Americas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13,234</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41,163</w:t>
            </w: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32,357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360" w:right="19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420" w:type="dxa"/>
            <w:vAlign w:val="bottom"/>
            <w:gridSpan w:val="2"/>
            <w:shd w:val="clear" w:color="auto" w:fill="CCEEFF"/>
          </w:tcPr>
          <w:p>
            <w:pPr>
              <w:jc w:val="right"/>
              <w:ind w:right="3285"/>
              <w:spacing w:after="0"/>
              <w:rPr>
                <w:sz w:val="20"/>
                <w:szCs w:val="20"/>
                <w:color w:val="auto"/>
              </w:rPr>
            </w:pPr>
            <w:r>
              <w:rPr>
                <w:rFonts w:ascii="Arial" w:cs="Arial" w:eastAsia="Arial" w:hAnsi="Arial"/>
                <w:sz w:val="18"/>
                <w:szCs w:val="18"/>
                <w:color w:val="auto"/>
              </w:rPr>
              <w:t>Asia-Pacific</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4,257</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4,481</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15,628</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12,416</w:t>
            </w:r>
          </w:p>
        </w:tc>
        <w:tc>
          <w:tcPr>
            <w:tcW w:w="1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133,661</w:t>
            </w:r>
          </w:p>
        </w:tc>
        <w:tc>
          <w:tcPr>
            <w:tcW w:w="2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104,118</w:t>
            </w:r>
          </w:p>
        </w:tc>
        <w:tc>
          <w:tcPr>
            <w:tcW w:w="2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384,777</w:t>
            </w:r>
          </w:p>
        </w:tc>
        <w:tc>
          <w:tcPr>
            <w:tcW w:w="2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309,785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394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following Management’s Discussion and Analysis (“MD&amp;A”) provides a narrative of our results of operations and financial condition for the three and nine months ended February 28, 2013 and February 29, 2012. The MD&amp;A should be read together with our condensed consolidated financial statements and related notes included in Item 1 in this Quarterly Report on Form 10-Q and our audited consolidated financial statements and related notes included in our Annual Report on Form 10-K. In this quarterly report, our fiscal years, which end on May 31, are identified according to the calendar year in which they end (e.g., the fiscal year ended May 31, 2012 is referred to as “fiscal 2012”), and unless otherwise specified or the context otherwise requires, “Mistras,” “the Company,” “we,” “us” and “our” refer to Mistras Group, Inc. and its consolidated subsidiaries. The MD&amp;A includes the following sections:</w:t>
      </w:r>
    </w:p>
    <w:p>
      <w:pPr>
        <w:spacing w:after="0" w:line="165" w:lineRule="exact"/>
        <w:rPr>
          <w:sz w:val="20"/>
          <w:szCs w:val="20"/>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Overview</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(Securities Act), and Section 21E of the Securities Exchange Act of 1934 (Exchange Act). Forward-looking statements reflect our current estimates, expectations and projections about our future results, performance, prospects and opportunities. Forward-looking statements include, among other things, the information concerning our possible future results of operations, business and growth strategies, financing plans, our competitive position and the effects of competition, the projected growth of the industries in which we operate, the benefits and synergies to be obtained from our completed and any future acquisitions, and statements of management’s goals and objectives, and other similar expressions concerning matters that are not historical facts. Words such as “may,” “should,” “could,” “would,” “predicts,” “potential,” “continue,” “expects,” “anticipates,” “future,” “intends,” “plans,” “believes,” “estimates,” “appears,” “projects” and similar expressions, as well as statements in the future tense, identify forward-looking statements. Forward-looking statements should not be read as a guarantee of future performance or results, and will not necessarily be accurate indications of the times at, or by which, such performance or results will be achieved. Forward-looking information is based on information available at the time and management’s good faith belief with respect to future events, and is subject to risks and uncertainties that could cause actual performance or results to differ materially from those expressed in the statements. Important factors that could cause such differences include, but are not limited to the factors discussed under the “Risk Factors” section in Part II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are a leading “one source” global provider of technology-enabled asset protection solutions used to evaluate the structural integrity and reliability of critical energy, industrial and public infrastructure. We combine industry-leading products and technologies, expertise in mechanical integrity (MI) and non-destructive testing (NDT) services and proprietary data analysis software to deliver a comprehensive portfolio of customized solutions, ranging from routine inspections to complex, plant-wide asset integrity assessments and management. These mission critical solutions enhance our customers’ ability to extend the useful life of their assets, increase productivity, minimize repair costs, comply with governmental safety and environmental regulations, manage risk and avoid catastrophic disasters. Our operations consist of three reportable segments: Services, International and Products and Systems.</w:t>
      </w:r>
    </w:p>
    <w:p>
      <w:pPr>
        <w:spacing w:after="0" w:line="165" w:lineRule="exact"/>
        <w:rPr>
          <w:sz w:val="20"/>
          <w:szCs w:val="20"/>
          <w:color w:val="auto"/>
        </w:rPr>
      </w:pPr>
    </w:p>
    <w:p>
      <w:pPr>
        <w:ind w:left="660" w:right="140" w:hanging="328"/>
        <w:spacing w:after="0" w:line="256" w:lineRule="auto"/>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provides asset protection solutions primarily in North America with the largest concentration in the United States, consisting primarily of</w:t>
      </w:r>
      <w:r>
        <w:rPr>
          <w:rFonts w:ascii="Arial" w:cs="Arial" w:eastAsia="Arial" w:hAnsi="Arial"/>
          <w:sz w:val="18"/>
          <w:szCs w:val="18"/>
          <w:i w:val="1"/>
          <w:iCs w:val="1"/>
          <w:color w:val="auto"/>
        </w:rPr>
        <w:t xml:space="preserve"> </w:t>
      </w:r>
      <w:r>
        <w:rPr>
          <w:rFonts w:ascii="Arial" w:cs="Arial" w:eastAsia="Arial" w:hAnsi="Arial"/>
          <w:sz w:val="18"/>
          <w:szCs w:val="18"/>
          <w:color w:val="auto"/>
        </w:rPr>
        <w:t>non-destructive testing and inspection services that are used to evaluate the structural integrity and reliability of critical energy, industrial and public infrastructure.</w:t>
      </w:r>
    </w:p>
    <w:p>
      <w:pPr>
        <w:ind w:left="660" w:right="240" w:hanging="328"/>
        <w:spacing w:after="0" w:line="281" w:lineRule="auto"/>
        <w:tabs>
          <w:tab w:leader="none" w:pos="624"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offers services, products and systems similar to those of the other segments to global markets, principally in Europe, the Middle East,</w:t>
      </w:r>
      <w:r>
        <w:rPr>
          <w:rFonts w:ascii="Arial" w:cs="Arial" w:eastAsia="Arial" w:hAnsi="Arial"/>
          <w:sz w:val="16"/>
          <w:szCs w:val="16"/>
          <w:i w:val="1"/>
          <w:iCs w:val="1"/>
          <w:color w:val="auto"/>
        </w:rPr>
        <w:t xml:space="preserve"> </w:t>
      </w:r>
      <w:r>
        <w:rPr>
          <w:rFonts w:ascii="Arial" w:cs="Arial" w:eastAsia="Arial" w:hAnsi="Arial"/>
          <w:sz w:val="16"/>
          <w:szCs w:val="16"/>
          <w:color w:val="auto"/>
        </w:rPr>
        <w:t>Africa, Asia and South America, but not to customers in China and South Korea, which are served by the Products and Systems segment.</w:t>
      </w:r>
    </w:p>
    <w:p>
      <w:pPr>
        <w:spacing w:after="0" w:line="1" w:lineRule="exact"/>
        <w:rPr>
          <w:rFonts w:ascii="Arial" w:cs="Arial" w:eastAsia="Arial" w:hAnsi="Arial"/>
          <w:sz w:val="16"/>
          <w:szCs w:val="16"/>
          <w:color w:val="auto"/>
        </w:rPr>
      </w:pPr>
    </w:p>
    <w:p>
      <w:pPr>
        <w:ind w:left="660" w:right="220" w:hanging="328"/>
        <w:spacing w:after="0" w:line="261" w:lineRule="auto"/>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instrumentation, predominantly in the United States.</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Given the role our services play in ensuring the safe and efficient operation of infrastructure, we have historically provided a majority of our services to our customers on a regular, recurring basis. We serve a global customer base of companies with asset-intensive infrastructure, including companies in the oil and gas, fossil and nuclear power, public infrastructure, chemicals, aerospace and defense, transportation, primary metals and metalworking, pharmaceuticals and food processing industries. As of February 28, 2013, we had approximately 4,500 employees in approximately 90 offices across 16 countries. We have established long-term relationships as a critical solutions provider to many leading companies in our target markets. Our current principal market is the oil and gas industry, which accounted for approximately 50% and 55% of our third quarter revenues of fiscal 2013 and 2012, respectively.</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For the last several years, we have focused on introducing our advanced asset protection solutions to our customers using proprietary, technology-enabled software and testing instruments, including those developed by our Products and Systems segment. During this period, the demand for outsourced asset protection solutions, in general, has increased, creating demand from which our entire industry has benefited. We believe continued growth can be realized in all of our target markets. Concurrent with this growth, we have worked to build our infrastructure to profitably absorb additional growth and have made a number of small acquisitions in an effort to leverage our fixed costs, grow our base of experienced, certified personnel, expand our product and technical capabilities and increase our geographical reach.</w:t>
      </w:r>
    </w:p>
    <w:p>
      <w:pPr>
        <w:spacing w:after="0" w:line="19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have increased our capabilities and the size of our customer base through the development of applied technologies and managed support services, organic growth and the integration of acquired companies. These acquisitions, in the aggregate, have provided us with additional products, technologies, resources</w:t>
      </w:r>
    </w:p>
    <w:p>
      <w:pPr>
        <w:sectPr>
          <w:pgSz w:w="11900" w:h="16838" w:orient="portrait"/>
          <w:cols w:equalWidth="0" w:num="1">
            <w:col w:w="11460"/>
          </w:cols>
          <w:pgMar w:left="240" w:top="140" w:right="199" w:bottom="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and customers that we believe will enhance our advantages over our competition.</w:t>
      </w:r>
    </w:p>
    <w:p>
      <w:pPr>
        <w:spacing w:after="0" w:line="225"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The global economy continues to be fragile. Global financial markets continue to experience uncertainty, including tight liquidity and credit availability, relatively low consumer confidence, slow economic growth, persistently high unemployment rates, volatile currency exchange rates and continued uncertainty about economic stability. However, we believe these conditions have allowed us to capitalize on an opportunity to selectively hire new talented individuals that otherwise might not have been available to us, to acquire and develop new technologies in order to aggressively expand our proprietary portfolio of customized solutions, and to make acquisitions of complementary businesses at reasonable valuations.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February 28, 2013 compared to the three months ended February 29, 2012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of operations for the three months ended February 28, 2013 and February 29, 2012 were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78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2"/>
              </w:rPr>
              <w:t>February 28, 2013</w:t>
            </w:r>
          </w:p>
        </w:tc>
        <w:tc>
          <w:tcPr>
            <w:tcW w:w="1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4"/>
              </w:rPr>
              <w:t>February 29, 2012</w:t>
            </w:r>
          </w:p>
        </w:tc>
        <w:tc>
          <w:tcPr>
            <w:tcW w:w="160" w:type="dxa"/>
            <w:vAlign w:val="bottom"/>
            <w:gridSpan w:val="2"/>
          </w:tcPr>
          <w:p>
            <w:pPr>
              <w:spacing w:after="0"/>
              <w:rPr>
                <w:sz w:val="12"/>
                <w:szCs w:val="12"/>
                <w:color w:val="auto"/>
              </w:rPr>
            </w:pPr>
          </w:p>
        </w:tc>
      </w:tr>
      <w:tr>
        <w:trPr>
          <w:trHeight w:val="142"/>
        </w:trPr>
        <w:tc>
          <w:tcPr>
            <w:tcW w:w="7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gridSpan w:val="4"/>
          </w:tcPr>
          <w:p>
            <w:pPr>
              <w:jc w:val="right"/>
              <w:ind w:right="891"/>
              <w:spacing w:after="0" w:line="142" w:lineRule="exact"/>
              <w:rPr>
                <w:sz w:val="20"/>
                <w:szCs w:val="20"/>
                <w:color w:val="auto"/>
              </w:rPr>
            </w:pPr>
            <w:r>
              <w:rPr>
                <w:rFonts w:ascii="Arial" w:cs="Arial" w:eastAsia="Arial" w:hAnsi="Arial"/>
                <w:sz w:val="14"/>
                <w:szCs w:val="14"/>
                <w:b w:val="1"/>
                <w:bCs w:val="1"/>
                <w:color w:val="auto"/>
              </w:rPr>
              <w:t>($ in thousands)</w:t>
            </w:r>
          </w:p>
        </w:tc>
        <w:tc>
          <w:tcPr>
            <w:tcW w:w="160" w:type="dxa"/>
            <w:vAlign w:val="bottom"/>
            <w:gridSpan w:val="2"/>
          </w:tcPr>
          <w:p>
            <w:pPr>
              <w:spacing w:after="0"/>
              <w:rPr>
                <w:sz w:val="12"/>
                <w:szCs w:val="12"/>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133,661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104,118</w:t>
            </w:r>
          </w:p>
        </w:tc>
        <w:tc>
          <w:tcPr>
            <w:tcW w:w="14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94,736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70,574</w:t>
            </w:r>
          </w:p>
        </w:tc>
        <w:tc>
          <w:tcPr>
            <w:tcW w:w="14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4,719</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3,960</w:t>
            </w:r>
          </w:p>
        </w:tc>
        <w:tc>
          <w:tcPr>
            <w:tcW w:w="140" w:type="dxa"/>
            <w:vAlign w:val="bottom"/>
          </w:tcPr>
          <w:p>
            <w:pPr>
              <w:spacing w:after="0"/>
              <w:rPr>
                <w:sz w:val="18"/>
                <w:szCs w:val="18"/>
                <w:color w:val="auto"/>
              </w:rPr>
            </w:pPr>
          </w:p>
        </w:tc>
      </w:tr>
      <w:tr>
        <w:trPr>
          <w:trHeight w:val="210"/>
        </w:trPr>
        <w:tc>
          <w:tcPr>
            <w:tcW w:w="7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34,206</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800" w:type="dxa"/>
            <w:vAlign w:val="bottom"/>
          </w:tcPr>
          <w:p>
            <w:pPr>
              <w:ind w:left="180"/>
              <w:spacing w:after="0"/>
              <w:rPr>
                <w:sz w:val="20"/>
                <w:szCs w:val="20"/>
                <w:color w:val="auto"/>
              </w:rPr>
            </w:pPr>
            <w:r>
              <w:rPr>
                <w:rFonts w:ascii="Arial" w:cs="Arial" w:eastAsia="Arial" w:hAnsi="Arial"/>
                <w:sz w:val="18"/>
                <w:szCs w:val="18"/>
                <w:i w:val="1"/>
                <w:iCs w:val="1"/>
                <w:color w:val="auto"/>
              </w:rPr>
              <w:t>Gross profit as a % of Revenue</w:t>
            </w: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28.4%</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27,209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20,806</w:t>
            </w:r>
          </w:p>
        </w:tc>
        <w:tc>
          <w:tcPr>
            <w:tcW w:w="140" w:type="dxa"/>
            <w:vAlign w:val="bottom"/>
            <w:shd w:val="clear" w:color="auto" w:fill="CCEEFF"/>
          </w:tcPr>
          <w:p>
            <w:pPr>
              <w:spacing w:after="0"/>
              <w:rPr>
                <w:sz w:val="18"/>
                <w:szCs w:val="18"/>
                <w:color w:val="auto"/>
              </w:rPr>
            </w:pPr>
          </w:p>
        </w:tc>
      </w:tr>
      <w:tr>
        <w:trPr>
          <w:trHeight w:val="216"/>
        </w:trPr>
        <w:tc>
          <w:tcPr>
            <w:tcW w:w="7800" w:type="dxa"/>
            <w:vAlign w:val="bottom"/>
          </w:tcPr>
          <w:p>
            <w:pPr>
              <w:ind w:left="180"/>
              <w:spacing w:after="0"/>
              <w:rPr>
                <w:sz w:val="20"/>
                <w:szCs w:val="20"/>
                <w:color w:val="auto"/>
              </w:rPr>
            </w:pPr>
            <w:r>
              <w:rPr>
                <w:rFonts w:ascii="Arial" w:cs="Arial" w:eastAsia="Arial" w:hAnsi="Arial"/>
                <w:sz w:val="18"/>
                <w:szCs w:val="18"/>
                <w:i w:val="1"/>
                <w:iCs w:val="1"/>
                <w:color w:val="auto"/>
              </w:rPr>
              <w:t>SG&amp;A as a % of Revenue</w:t>
            </w: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engineering</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4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2,473</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1,805</w:t>
            </w:r>
          </w:p>
        </w:tc>
        <w:tc>
          <w:tcPr>
            <w:tcW w:w="14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expense, net</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40" w:type="dxa"/>
            <w:vAlign w:val="bottom"/>
            <w:shd w:val="clear" w:color="auto" w:fill="CCEEFF"/>
          </w:tcPr>
          <w:p>
            <w:pPr>
              <w:spacing w:after="0"/>
              <w:rPr>
                <w:sz w:val="18"/>
                <w:szCs w:val="18"/>
                <w:color w:val="auto"/>
              </w:rPr>
            </w:pPr>
          </w:p>
        </w:tc>
      </w:tr>
      <w:tr>
        <w:trPr>
          <w:trHeight w:val="210"/>
        </w:trPr>
        <w:tc>
          <w:tcPr>
            <w:tcW w:w="780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4,982</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Income from operations as a % of Revenue</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690</w:t>
            </w:r>
          </w:p>
        </w:tc>
        <w:tc>
          <w:tcPr>
            <w:tcW w:w="14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long-term debt</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r>
      <w:tr>
        <w:trPr>
          <w:trHeight w:val="210"/>
        </w:trPr>
        <w:tc>
          <w:tcPr>
            <w:tcW w:w="7800" w:type="dxa"/>
            <w:vAlign w:val="bottom"/>
          </w:tcPr>
          <w:p>
            <w:pPr>
              <w:ind w:left="180"/>
              <w:spacing w:after="0"/>
              <w:rPr>
                <w:sz w:val="20"/>
                <w:szCs w:val="20"/>
                <w:color w:val="auto"/>
              </w:rPr>
            </w:pPr>
            <w:r>
              <w:rPr>
                <w:rFonts w:ascii="Arial" w:cs="Arial" w:eastAsia="Arial" w:hAnsi="Arial"/>
                <w:sz w:val="18"/>
                <w:szCs w:val="18"/>
                <w:color w:val="auto"/>
              </w:rPr>
              <w:t>Income before provision for income taxes</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4,100</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40" w:type="dxa"/>
            <w:vAlign w:val="bottom"/>
            <w:shd w:val="clear" w:color="auto" w:fill="CCEEFF"/>
          </w:tcPr>
          <w:p>
            <w:pPr>
              <w:spacing w:after="0"/>
              <w:rPr>
                <w:sz w:val="18"/>
                <w:szCs w:val="18"/>
                <w:color w:val="auto"/>
              </w:rPr>
            </w:pPr>
          </w:p>
        </w:tc>
      </w:tr>
      <w:tr>
        <w:trPr>
          <w:trHeight w:val="210"/>
        </w:trPr>
        <w:tc>
          <w:tcPr>
            <w:tcW w:w="78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2,751</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 net of taxes</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r>
      <w:tr>
        <w:trPr>
          <w:trHeight w:val="210"/>
        </w:trPr>
        <w:tc>
          <w:tcPr>
            <w:tcW w:w="7800" w:type="dxa"/>
            <w:vAlign w:val="bottom"/>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2,751</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7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EBITDA and Adjusted EBITDA, non-GAAP measures explained below, for the three months ended February 28, 2013 and February 29, 2012 were as follows:</w:t>
      </w:r>
    </w:p>
    <w:p>
      <w:pPr>
        <w:spacing w:after="0" w:line="16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6"/>
          </w:tcPr>
          <w:p>
            <w:pPr>
              <w:ind w:left="78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78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4"/>
              </w:rPr>
              <w:t>February 28, 2013</w:t>
            </w:r>
          </w:p>
        </w:tc>
        <w:tc>
          <w:tcPr>
            <w:tcW w:w="1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4"/>
              </w:rPr>
              <w:t>February 29, 2012</w:t>
            </w:r>
          </w:p>
        </w:tc>
        <w:tc>
          <w:tcPr>
            <w:tcW w:w="100" w:type="dxa"/>
            <w:vAlign w:val="bottom"/>
            <w:gridSpan w:val="2"/>
          </w:tcPr>
          <w:p>
            <w:pPr>
              <w:spacing w:after="0"/>
              <w:rPr>
                <w:sz w:val="12"/>
                <w:szCs w:val="12"/>
                <w:color w:val="auto"/>
              </w:rPr>
            </w:pPr>
          </w:p>
        </w:tc>
      </w:tr>
      <w:tr>
        <w:trPr>
          <w:trHeight w:val="142"/>
        </w:trPr>
        <w:tc>
          <w:tcPr>
            <w:tcW w:w="7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00" w:type="dxa"/>
            <w:vAlign w:val="bottom"/>
            <w:gridSpan w:val="4"/>
          </w:tcPr>
          <w:p>
            <w:pPr>
              <w:jc w:val="right"/>
              <w:ind w:right="912"/>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gridSpan w:val="2"/>
          </w:tcPr>
          <w:p>
            <w:pPr>
              <w:spacing w:after="0"/>
              <w:rPr>
                <w:sz w:val="12"/>
                <w:szCs w:val="12"/>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 and Adjusted EBITDA data</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Net income attributable to Mistras Group,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2,751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3,037</w:t>
            </w:r>
          </w:p>
        </w:tc>
        <w:tc>
          <w:tcPr>
            <w:tcW w:w="8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w:t>
            </w:r>
          </w:p>
        </w:tc>
        <w:tc>
          <w:tcPr>
            <w:tcW w:w="8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1,548</w:t>
            </w:r>
          </w:p>
        </w:tc>
        <w:tc>
          <w:tcPr>
            <w:tcW w:w="8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7,192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5,765</w:t>
            </w:r>
          </w:p>
        </w:tc>
        <w:tc>
          <w:tcPr>
            <w:tcW w:w="80" w:type="dxa"/>
            <w:vAlign w:val="bottom"/>
            <w:shd w:val="clear" w:color="auto" w:fill="CCEEFF"/>
          </w:tcPr>
          <w:p>
            <w:pPr>
              <w:spacing w:after="0"/>
              <w:rPr>
                <w:sz w:val="18"/>
                <w:szCs w:val="18"/>
                <w:color w:val="auto"/>
              </w:rPr>
            </w:pPr>
          </w:p>
        </w:tc>
      </w:tr>
      <w:tr>
        <w:trPr>
          <w:trHeight w:val="210"/>
        </w:trPr>
        <w:tc>
          <w:tcPr>
            <w:tcW w:w="7840" w:type="dxa"/>
            <w:vAlign w:val="bottom"/>
          </w:tcPr>
          <w:p>
            <w:pPr>
              <w:spacing w:after="0"/>
              <w:rPr>
                <w:sz w:val="20"/>
                <w:szCs w:val="20"/>
                <w:color w:val="auto"/>
              </w:rPr>
            </w:pPr>
            <w:r>
              <w:rPr>
                <w:rFonts w:ascii="Arial" w:cs="Arial" w:eastAsia="Arial" w:hAnsi="Arial"/>
                <w:sz w:val="18"/>
                <w:szCs w:val="18"/>
                <w:color w:val="auto"/>
              </w:rPr>
              <w:t>EBITDA</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w w:val="83"/>
              </w:rPr>
              <w:t>12,174</w:t>
            </w:r>
          </w:p>
        </w:tc>
        <w:tc>
          <w:tcPr>
            <w:tcW w:w="3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1,244</w:t>
            </w:r>
          </w:p>
        </w:tc>
        <w:tc>
          <w:tcPr>
            <w:tcW w:w="8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Acquisition-related expense, net</w:t>
            </w: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973</w:t>
            </w:r>
          </w:p>
        </w:tc>
        <w:tc>
          <w:tcPr>
            <w:tcW w:w="8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long-term debt</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r>
      <w:tr>
        <w:trPr>
          <w:trHeight w:val="210"/>
        </w:trPr>
        <w:tc>
          <w:tcPr>
            <w:tcW w:w="784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83"/>
              </w:rPr>
              <w:t>12,506</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About Non-GAAP Measures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EBITDA and Adjusted EBITDA are performance measures used by management that are not calculated in accordance with U.S. generally accepted accounting principles (GAAP). EBITDA is defined in this Quarterly Report as net income attributable to Mistras Group, Inc. plus: interest expense, provision for income taxes and depreciation and amortization. Adjusted EBITDA is defined in this Quarterly Report as net income attributable to Mistras Group, Inc. plus: interest expense, provision for income taxes, depreciation and amortization, stock-based compensation expense, and, if applicable,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certain acquisition-related expenses (including adjustments to the estimated fair value of contingent consideration) and certain non-recurring items (which items are listed below or in the reconciliation table above).</w:t>
      </w:r>
    </w:p>
    <w:p>
      <w:pPr>
        <w:sectPr>
          <w:pgSz w:w="11900" w:h="16838" w:orient="portrait"/>
          <w:cols w:equalWidth="0" w:num="1">
            <w:col w:w="11420"/>
          </w:cols>
          <w:pgMar w:left="240" w:top="125" w:right="239" w:bottom="153" w:gutter="0" w:footer="0" w:header="0"/>
        </w:sectPr>
      </w:pPr>
    </w:p>
    <w:bookmarkStart w:id="17" w:name="page18"/>
    <w:bookmarkEnd w:id="17"/>
    <w:p>
      <w:pPr>
        <w:spacing w:after="0" w:line="19"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Our management uses Adjusted EBITDA as a measure of operating performance to assist in comparing performance from period to period on a consistent basis, as a measure for planning and forecasting overall expectations and for evaluating actual results against such expectations. Adjusted EBITDA is also used as a performance evaluation metric for our executive and employee incentive compensation programs.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investors and other users of our financial statements benefit from the presentation of Adjusted EBITDA in evaluating our operating performance because it provides an additional tool to compare our operating performance on a consistent basis and measure underlying trends and results in our business. Adjusted EBITDA removes the impact of certain items that management believes do not directly reflect our core operations. For instance, Adjusted EBITDA generally excludes interest expense, taxes and depreciation and amortization, each of which can vary substantially from company to company depending upon accounting methods and the book value and age of assets, capital structure, capital investment cycles and the method by which assets were acquired. It also eliminates stock-based compensation, which is a non-cash expense and is excluded by management when evaluating the underlying performance of our business operations.</w:t>
      </w:r>
    </w:p>
    <w:p>
      <w:pPr>
        <w:spacing w:after="0" w:line="18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While Adjusted EBITDA is a term and financial measurement commonly used by investors and securities analysts, it has limitations. As a non-GAAP measurement, Adjusted EBITDA has no standard meaning and, therefore, may not be comparable with similar measurements for other companies. Adjusted EBITDA is generally limited as an analytical tool because it excludes charges and expenses we do incur as part of our operations. For example, Adjusted EBITDA excludes income taxes, but we generally incur significant U.S. federal, state and foreign income taxes each year and the provision for income taxes is a necessary cost. Adjusted EBITDA should not be considered in isolation or as a substitute for analyzing our results as reported under GAAP.</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Revenues were $133.7 million for the three months ended February 28, 2013 compared to $104.1 million for the three months ended February 29,</w:t>
      </w:r>
      <w:r>
        <w:rPr>
          <w:rFonts w:ascii="Arial" w:cs="Arial" w:eastAsia="Arial" w:hAnsi="Arial"/>
          <w:sz w:val="18"/>
          <w:szCs w:val="18"/>
          <w:i w:val="1"/>
          <w:iCs w:val="1"/>
          <w:color w:val="auto"/>
        </w:rPr>
        <w:t xml:space="preserve"> </w:t>
      </w:r>
      <w:r>
        <w:rPr>
          <w:rFonts w:ascii="Arial" w:cs="Arial" w:eastAsia="Arial" w:hAnsi="Arial"/>
          <w:sz w:val="18"/>
          <w:szCs w:val="18"/>
          <w:color w:val="auto"/>
        </w:rPr>
        <w:t>2012. Revenues by segment for the third quarter of fiscal 2013 and fiscal 2012 were as follows:</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7"/>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6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4"/>
              </w:rPr>
              <w:t>February 28, 2013</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4"/>
              </w:rPr>
              <w:t>February 29, 2012</w:t>
            </w:r>
          </w:p>
        </w:tc>
        <w:tc>
          <w:tcPr>
            <w:tcW w:w="100" w:type="dxa"/>
            <w:vAlign w:val="bottom"/>
            <w:gridSpan w:val="2"/>
          </w:tcPr>
          <w:p>
            <w:pPr>
              <w:spacing w:after="0"/>
              <w:rPr>
                <w:sz w:val="12"/>
                <w:szCs w:val="12"/>
                <w:color w:val="auto"/>
              </w:rPr>
            </w:pPr>
          </w:p>
        </w:tc>
      </w:tr>
      <w:tr>
        <w:trPr>
          <w:trHeight w:val="142"/>
        </w:trPr>
        <w:tc>
          <w:tcPr>
            <w:tcW w:w="6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00" w:type="dxa"/>
            <w:vAlign w:val="bottom"/>
            <w:gridSpan w:val="5"/>
          </w:tcPr>
          <w:p>
            <w:pPr>
              <w:jc w:val="right"/>
              <w:ind w:right="913"/>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gridSpan w:val="2"/>
          </w:tcPr>
          <w:p>
            <w:pPr>
              <w:spacing w:after="0"/>
              <w:rPr>
                <w:sz w:val="12"/>
                <w:szCs w:val="12"/>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90,537</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80,895</w:t>
            </w:r>
          </w:p>
        </w:tc>
        <w:tc>
          <w:tcPr>
            <w:tcW w:w="80" w:type="dxa"/>
            <w:vAlign w:val="bottom"/>
          </w:tcPr>
          <w:p>
            <w:pPr>
              <w:spacing w:after="0"/>
              <w:rPr>
                <w:sz w:val="18"/>
                <w:szCs w:val="18"/>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17,164</w:t>
            </w: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7,645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9,824</w:t>
            </w:r>
          </w:p>
        </w:tc>
        <w:tc>
          <w:tcPr>
            <w:tcW w:w="80" w:type="dxa"/>
            <w:vAlign w:val="bottom"/>
          </w:tcPr>
          <w:p>
            <w:pPr>
              <w:spacing w:after="0"/>
              <w:rPr>
                <w:sz w:val="18"/>
                <w:szCs w:val="18"/>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(3,765)</w:t>
            </w:r>
          </w:p>
        </w:tc>
      </w:tr>
      <w:tr>
        <w:trPr>
          <w:trHeight w:val="210"/>
        </w:trPr>
        <w:tc>
          <w:tcPr>
            <w:tcW w:w="60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133,661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104,118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estimate our growth rates for the third quarter of fiscal 2013 and fiscal 2012 were as follows: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2"/>
              </w:rPr>
              <w:t>February 28, 2013</w:t>
            </w: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4"/>
              </w:rPr>
              <w:t>February 29, 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gridSpan w:val="4"/>
          </w:tcPr>
          <w:p>
            <w:pPr>
              <w:jc w:val="right"/>
              <w:ind w:right="913"/>
              <w:spacing w:after="0" w:line="142" w:lineRule="exact"/>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Revenue growth</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 Growth over prior year</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Comprised of:</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 of organic growth</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 of acquisition growth</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 foreign exchange increase (decrease)</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Revenues increased $29.5 million, or approximately 28%, for the three months ended February 28, 2013 compared to the three months ended February 29, 2012 as a result of growth in our International and Services segments. The growth in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International segment was principally attributable to growth from our fiscal 2012 and fiscal 2013 acquisitions, while growth in our Services segment was primarily due to organic growth. In the third quarter of fiscal 2013, we estimate that our acquisition growth was approximately 23% compared to approximately 15% in the third quarter of fiscal 2012. For the third quarter of fiscal 2013 and 2012, we estimate that our organic growth rate was approximately 6% and 17%, respectively.</w:t>
      </w:r>
    </w:p>
    <w:p>
      <w:pPr>
        <w:spacing w:after="0" w:line="187"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We continued to experience growth in many of our target markets during the third quarter of fiscal 2013. Oil and gas is our largest target market and represented approximately 50% of total revenues in the third quarter of fiscal 2013, compared to approximately 55% in the third quarter of fiscal 2012. Oil and gas revenue in the third quarter of fiscal 2013 increased approximately 16% over the prior year with the largest increase coming from the midstream section of the oil and gas industry. We continued to experience significant growth in most of our other target markets outside of oil and gas, including power generation, aerospace, industrial and infrastructure. Taken as a group, revenues for all target markets other than oil and gas grew approximately 43% in the third quarter of fiscal 2013 over the prior year period. Our largest customer in both periods was BP plc. (BP) and its affiliated companies, accounting for approximately 13% of our revenues in the third quarter of fiscal 2013 and approximately 16% in the third quarter of fiscal 2012. Our top ten customers represented approximately 41% and 38% of our revenues in the third quarter of fiscal 2013 and fiscal 2012, respectively.</w:t>
      </w:r>
    </w:p>
    <w:p>
      <w:pPr>
        <w:spacing w:after="0" w:line="166"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i w:val="1"/>
          <w:iCs w:val="1"/>
          <w:color w:val="auto"/>
        </w:rPr>
        <w:t>Gross Profit</w:t>
      </w:r>
      <w:r>
        <w:rPr>
          <w:rFonts w:ascii="Arial" w:cs="Arial" w:eastAsia="Arial" w:hAnsi="Arial"/>
          <w:sz w:val="17"/>
          <w:szCs w:val="17"/>
          <w:color w:val="auto"/>
        </w:rPr>
        <w:t>. Our gross profit was $34.2 million and increased $4.6 million, or 16% in the third quarter of fiscal 2013 compared to $29.6 million in the third</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fiscal 2012. Gross profit by segment for the three months ended February 28, 2013 and February 29, 2012 was as follows:</w:t>
      </w:r>
    </w:p>
    <w:p>
      <w:pPr>
        <w:spacing w:after="0" w:line="138"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1"/>
              </w:rPr>
              <w:t>Three months ended</w:t>
            </w:r>
          </w:p>
        </w:tc>
      </w:tr>
      <w:tr>
        <w:trPr>
          <w:trHeight w:val="142"/>
        </w:trPr>
        <w:tc>
          <w:tcPr>
            <w:tcW w:w="6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February 28, 2013</w:t>
            </w: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February 29, 2012</w:t>
            </w:r>
          </w:p>
        </w:tc>
        <w:tc>
          <w:tcPr>
            <w:tcW w:w="100" w:type="dxa"/>
            <w:vAlign w:val="bottom"/>
          </w:tcPr>
          <w:p>
            <w:pPr>
              <w:spacing w:after="0"/>
              <w:rPr>
                <w:sz w:val="12"/>
                <w:szCs w:val="12"/>
                <w:color w:val="auto"/>
              </w:rPr>
            </w:pPr>
          </w:p>
        </w:tc>
      </w:tr>
      <w:tr>
        <w:trPr>
          <w:trHeight w:val="142"/>
        </w:trPr>
        <w:tc>
          <w:tcPr>
            <w:tcW w:w="6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0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100" w:type="dxa"/>
            <w:vAlign w:val="bottom"/>
          </w:tcPr>
          <w:p>
            <w:pPr>
              <w:spacing w:after="0"/>
              <w:rPr>
                <w:sz w:val="12"/>
                <w:szCs w:val="12"/>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20,496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20,640</w:t>
            </w: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4,586</w:t>
            </w: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3,790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4,938</w:t>
            </w: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w:t>
            </w:r>
          </w:p>
        </w:tc>
      </w:tr>
      <w:tr>
        <w:trPr>
          <w:trHeight w:val="20"/>
        </w:trPr>
        <w:tc>
          <w:tcPr>
            <w:tcW w:w="6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57" w:orient="portrait"/>
          <w:cols w:equalWidth="0" w:num="1">
            <w:col w:w="11420"/>
          </w:cols>
          <w:pgMar w:left="240" w:top="125" w:right="239" w:bottom="0" w:gutter="0" w:footer="0" w:header="0"/>
        </w:sectPr>
      </w:pPr>
    </w:p>
    <w:bookmarkStart w:id="18" w:name="page19"/>
    <w:bookmarkEnd w:id="18"/>
    <w:p>
      <w:pPr>
        <w:spacing w:after="0" w:line="32" w:lineRule="exact"/>
        <w:rPr>
          <w:sz w:val="20"/>
          <w:szCs w:val="20"/>
          <w:color w:val="auto"/>
        </w:rPr>
      </w:pPr>
    </w:p>
    <w:p>
      <w:pPr>
        <w:ind w:left="7000"/>
        <w:spacing w:after="0"/>
        <w:tabs>
          <w:tab w:leader="none" w:pos="7840" w:val="left"/>
          <w:tab w:leader="none" w:pos="8620" w:val="left"/>
          <w:tab w:leader="none" w:pos="9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34,206</w:t>
        <w:tab/>
        <w:t>$</w:t>
      </w:r>
      <w:r>
        <w:rPr>
          <w:sz w:val="20"/>
          <w:szCs w:val="20"/>
          <w:color w:val="auto"/>
        </w:rPr>
        <w:tab/>
      </w:r>
      <w:r>
        <w:rPr>
          <w:rFonts w:ascii="Arial" w:cs="Arial" w:eastAsia="Arial" w:hAnsi="Arial"/>
          <w:sz w:val="16"/>
          <w:szCs w:val="16"/>
          <w:color w:val="auto"/>
        </w:rPr>
        <w:t>29,584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14605</wp:posOffset>
            </wp:positionV>
            <wp:extent cx="190373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03730" cy="26035"/>
                    </a:xfrm>
                    <a:prstGeom prst="rect">
                      <a:avLst/>
                    </a:prstGeom>
                    <a:noFill/>
                  </pic:spPr>
                </pic:pic>
              </a:graphicData>
            </a:graphic>
          </wp:anchor>
        </w:drawing>
      </w:r>
    </w:p>
    <w:p>
      <w:pPr>
        <w:spacing w:after="0" w:line="24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As a percentage of revenues, our gross profit was approximately 26% and 28%, respectively, in the third quarters of fiscal 2013 and fiscal 2012. Cost of revenues, excluding depreciation, as a percentage of revenues was 71% and 68% in the third quarter of fiscal 2013 and fiscal 2012, respectively. Depreciation expense included in the determination of gross profit for the third quarter of fiscal 2013 and fiscal 2012 was $4.7 million and $4.0 million, respectively.</w:t>
      </w:r>
    </w:p>
    <w:p>
      <w:pPr>
        <w:spacing w:after="0" w:line="14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280 basis point decrease in our gross profit as a percentage of revenues was primarily attributable to a decrease in gross profit margin in each of the segments. The Services Segment decrease was primarily attributed to the mix of project work in the quarter. In addition, revenue from advanced services, which typically command higher gross profit margins, declined as a percentage of total revenues in the quarter versus the prior year, contributing to lower gross profit margins. Additional margin erosion was caused by an increase in employee fringe benefit costs. The International segments’ fiscal 2012 and fiscal 2013 acquisitions contributed to the decreased gross profit margin, as these companies primarily provide lower margin, traditional NDT services. Additionally, revenues from these service offerings in our International segment increased faster than our product sales, which also lowered our gross profit margin. Also contributing to the decrease in gross profit as a percentage of revenues is a change in the mix of Products and Systems segment revenues, which in the quarter included lower overall revenue from large inspection systems, which reduced margins.</w:t>
      </w:r>
    </w:p>
    <w:p>
      <w:pPr>
        <w:spacing w:after="0" w:line="179" w:lineRule="exact"/>
        <w:rPr>
          <w:sz w:val="20"/>
          <w:szCs w:val="20"/>
          <w:color w:val="auto"/>
        </w:rPr>
      </w:pPr>
    </w:p>
    <w:p>
      <w:pPr>
        <w:jc w:val="center"/>
        <w:ind w:right="400"/>
        <w:spacing w:after="0"/>
        <w:rPr>
          <w:sz w:val="20"/>
          <w:szCs w:val="20"/>
          <w:color w:val="auto"/>
        </w:rPr>
      </w:pPr>
      <w:r>
        <w:rPr>
          <w:rFonts w:ascii="Arial" w:cs="Arial" w:eastAsia="Arial" w:hAnsi="Arial"/>
          <w:sz w:val="16"/>
          <w:szCs w:val="16"/>
          <w:i w:val="1"/>
          <w:iCs w:val="1"/>
          <w:color w:val="auto"/>
        </w:rPr>
        <w:t>Income from Operations</w:t>
      </w:r>
      <w:r>
        <w:rPr>
          <w:rFonts w:ascii="Arial" w:cs="Arial" w:eastAsia="Arial" w:hAnsi="Arial"/>
          <w:sz w:val="16"/>
          <w:szCs w:val="16"/>
          <w:color w:val="auto"/>
        </w:rPr>
        <w:t>. Our income from operations by segment for the three months ended February 28, 2013 and February 29, 2012 were as follows: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7"/>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6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4"/>
              </w:rPr>
              <w:t>February 28, 2013</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4"/>
              </w:rPr>
              <w:t>February 29, 2012</w:t>
            </w:r>
          </w:p>
        </w:tc>
        <w:tc>
          <w:tcPr>
            <w:tcW w:w="100" w:type="dxa"/>
            <w:vAlign w:val="bottom"/>
            <w:gridSpan w:val="2"/>
          </w:tcPr>
          <w:p>
            <w:pPr>
              <w:spacing w:after="0"/>
              <w:rPr>
                <w:sz w:val="12"/>
                <w:szCs w:val="12"/>
                <w:color w:val="auto"/>
              </w:rPr>
            </w:pPr>
          </w:p>
        </w:tc>
      </w:tr>
      <w:tr>
        <w:trPr>
          <w:trHeight w:val="142"/>
        </w:trPr>
        <w:tc>
          <w:tcPr>
            <w:tcW w:w="6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00" w:type="dxa"/>
            <w:vAlign w:val="bottom"/>
            <w:gridSpan w:val="5"/>
          </w:tcPr>
          <w:p>
            <w:pPr>
              <w:jc w:val="right"/>
              <w:ind w:right="913"/>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gridSpan w:val="2"/>
          </w:tcPr>
          <w:p>
            <w:pPr>
              <w:spacing w:after="0"/>
              <w:rPr>
                <w:sz w:val="12"/>
                <w:szCs w:val="12"/>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6,293</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7,186</w:t>
            </w:r>
          </w:p>
        </w:tc>
        <w:tc>
          <w:tcPr>
            <w:tcW w:w="80" w:type="dxa"/>
            <w:vAlign w:val="bottom"/>
          </w:tcPr>
          <w:p>
            <w:pPr>
              <w:spacing w:after="0"/>
              <w:rPr>
                <w:sz w:val="18"/>
                <w:szCs w:val="18"/>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1,699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2,392</w:t>
            </w:r>
          </w:p>
        </w:tc>
        <w:tc>
          <w:tcPr>
            <w:tcW w:w="80" w:type="dxa"/>
            <w:vAlign w:val="bottom"/>
          </w:tcPr>
          <w:p>
            <w:pPr>
              <w:spacing w:after="0"/>
              <w:rPr>
                <w:sz w:val="18"/>
                <w:szCs w:val="18"/>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(4,477)</w:t>
            </w:r>
          </w:p>
        </w:tc>
      </w:tr>
      <w:tr>
        <w:trPr>
          <w:trHeight w:val="210"/>
        </w:trPr>
        <w:tc>
          <w:tcPr>
            <w:tcW w:w="60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4,982</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Our income from operations of $5.0 million for the third quarter of fiscal 2013 decreased $0.4 million, or 8%, compared to the third quarter of fiscal 2012. As a percentage of revenues, our income from operations was approximately 4% and 5% in the third quarter of fiscal 2013 and fiscal 2012, respectively.</w:t>
      </w:r>
    </w:p>
    <w:p>
      <w:pPr>
        <w:spacing w:after="0" w:line="12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SG&amp;A expenses, as a percentage of revenues, was approximately 20% for each of the third quarters of fiscal 2013 and fiscal 2012 and increased approximately $6.4 million in fiscal 2013. SG&amp;A for companies acquired within the last twelve months accounted for approximately $4.9 million of the total increase. The increase in expense was primarily due to the cost of additional salary and other infrastructure costs to support our growth in revenues, including the addition of new locations and personnel in connection with our recent acquisitions. Excluding acquisitions, our SG&amp;A expenses included higher compensation and benefit expenses of $1.2 million over the same period in the prior year attributed to normal salary increases, as well as our investment in additional management and corporate staff to support our growth. Other increases in SG&amp;A expenses, excluding acquisitions, included increased professional fees of $0.8 million, stock compensation expense of $0.3 million and marketing costs of $0.2 million, partially offset by a decrease to the provision for doubtful accounts of approximately $0.5 million. Depreciation and amortization included in the determination of income from operations for the third quarter of fiscal 2013 and fiscal 2012 was $2.5 million and $1.8 million, respectively.</w:t>
      </w:r>
    </w:p>
    <w:p>
      <w:pPr>
        <w:spacing w:after="0" w:line="18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acquisition-related expense, net for the third quarter of fiscal 2013 was attributed to adjustments to the estimated fair value of certain acquisition-related contingent consideration liabilities that resulted in a net increase to income from operations of $1.5 million. This was offset by $0.3 million in professional fees and other expenses in connection with our fiscal 2013 acquisition activity. Our acquisition-related expense for the three months ended February 29, 2012 included $1.0 million in professional fees and other expenses in connection with our fiscal 2012 acquisition activity and $0.1 million in interest accretion related to our acquisition-related contingent consideration liabilities.</w:t>
      </w:r>
    </w:p>
    <w:p>
      <w:pPr>
        <w:spacing w:after="0" w:line="188"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was $0.9 million and $0.7 million for the third quarter of fiscal 2013 and 2012, respectively. The increase in the third</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fiscal 2013 related to an increase in average borrowings in the current year quarter compared to prior year.</w:t>
      </w:r>
    </w:p>
    <w:p>
      <w:pPr>
        <w:spacing w:after="0" w:line="14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effective income tax rate was approximately 33% and 34% for the third quarter of fiscal 2013 and 2012, respectively. The decrease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changes in the geographic mix of earnings in various state and foreign jurisdictions and higher tax credits, partially offset by an increase related to the impact of certain permanent tax differences.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February 28, 2013 compared to the nine months ended February 29, 2012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of operations for the nine months ended February 28, 2013 and February 29, 2012 were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Nine months ended</w:t>
            </w:r>
          </w:p>
        </w:tc>
      </w:tr>
      <w:tr>
        <w:trPr>
          <w:trHeight w:val="142"/>
        </w:trPr>
        <w:tc>
          <w:tcPr>
            <w:tcW w:w="78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2"/>
              </w:rPr>
              <w:t>February 28, 2013</w:t>
            </w:r>
          </w:p>
        </w:tc>
        <w:tc>
          <w:tcPr>
            <w:tcW w:w="1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4"/>
              </w:rPr>
              <w:t>February 29, 2012</w:t>
            </w:r>
          </w:p>
        </w:tc>
        <w:tc>
          <w:tcPr>
            <w:tcW w:w="160" w:type="dxa"/>
            <w:vAlign w:val="bottom"/>
          </w:tcPr>
          <w:p>
            <w:pPr>
              <w:spacing w:after="0"/>
              <w:rPr>
                <w:sz w:val="12"/>
                <w:szCs w:val="12"/>
                <w:color w:val="auto"/>
              </w:rPr>
            </w:pPr>
          </w:p>
        </w:tc>
      </w:tr>
      <w:tr>
        <w:trPr>
          <w:trHeight w:val="142"/>
        </w:trPr>
        <w:tc>
          <w:tcPr>
            <w:tcW w:w="7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gridSpan w:val="4"/>
          </w:tcPr>
          <w:p>
            <w:pPr>
              <w:jc w:val="center"/>
              <w:ind w:right="13"/>
              <w:spacing w:after="0" w:line="142" w:lineRule="exact"/>
              <w:rPr>
                <w:sz w:val="20"/>
                <w:szCs w:val="20"/>
                <w:color w:val="auto"/>
              </w:rPr>
            </w:pPr>
            <w:r>
              <w:rPr>
                <w:rFonts w:ascii="Arial" w:cs="Arial" w:eastAsia="Arial" w:hAnsi="Arial"/>
                <w:sz w:val="14"/>
                <w:szCs w:val="14"/>
                <w:b w:val="1"/>
                <w:bCs w:val="1"/>
                <w:color w:val="auto"/>
                <w:w w:val="92"/>
              </w:rPr>
              <w:t>($ in thousands)</w:t>
            </w:r>
          </w:p>
        </w:tc>
        <w:tc>
          <w:tcPr>
            <w:tcW w:w="160" w:type="dxa"/>
            <w:vAlign w:val="bottom"/>
          </w:tcPr>
          <w:p>
            <w:pPr>
              <w:spacing w:after="0"/>
              <w:rPr>
                <w:sz w:val="12"/>
                <w:szCs w:val="12"/>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384,777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309,785</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261,791</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206,364</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13,158</w:t>
            </w: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11,202</w:t>
            </w:r>
          </w:p>
        </w:tc>
      </w:tr>
      <w:tr>
        <w:trPr>
          <w:trHeight w:val="210"/>
        </w:trPr>
        <w:tc>
          <w:tcPr>
            <w:tcW w:w="7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109,828</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92,219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800" w:type="dxa"/>
            <w:vAlign w:val="bottom"/>
          </w:tcPr>
          <w:p>
            <w:pPr>
              <w:ind w:left="180"/>
              <w:spacing w:after="0"/>
              <w:rPr>
                <w:sz w:val="20"/>
                <w:szCs w:val="20"/>
                <w:color w:val="auto"/>
              </w:rPr>
            </w:pPr>
            <w:r>
              <w:rPr>
                <w:rFonts w:ascii="Arial" w:cs="Arial" w:eastAsia="Arial" w:hAnsi="Arial"/>
                <w:sz w:val="18"/>
                <w:szCs w:val="18"/>
                <w:i w:val="1"/>
                <w:iCs w:val="1"/>
                <w:color w:val="auto"/>
              </w:rPr>
              <w:t>Gross profit as a % of Revenue</w:t>
            </w: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29.8%</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74,063</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59,565</w:t>
            </w:r>
          </w:p>
        </w:tc>
      </w:tr>
    </w:tbl>
    <w:p>
      <w:pPr>
        <w:sectPr>
          <w:pgSz w:w="11900" w:h="16870" w:orient="portrait"/>
          <w:cols w:equalWidth="0" w:num="1">
            <w:col w:w="11420"/>
          </w:cols>
          <w:pgMar w:left="240" w:top="125" w:right="239" w:bottom="0" w:gutter="0" w:footer="0" w:header="0"/>
        </w:sectPr>
      </w:pPr>
    </w:p>
    <w:bookmarkStart w:id="19" w:name="page20"/>
    <w:bookmarkEnd w:id="19"/>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7800" w:type="dxa"/>
            <w:vAlign w:val="bottom"/>
          </w:tcPr>
          <w:p>
            <w:pPr>
              <w:ind w:left="180"/>
              <w:spacing w:after="0"/>
              <w:rPr>
                <w:sz w:val="20"/>
                <w:szCs w:val="20"/>
                <w:color w:val="auto"/>
              </w:rPr>
            </w:pPr>
            <w:r>
              <w:rPr>
                <w:rFonts w:ascii="Arial" w:cs="Arial" w:eastAsia="Arial" w:hAnsi="Arial"/>
                <w:sz w:val="18"/>
                <w:szCs w:val="18"/>
                <w:i w:val="1"/>
                <w:iCs w:val="1"/>
                <w:color w:val="auto"/>
              </w:rPr>
              <w:t>SG&amp;A as a % of Revenue</w:t>
            </w:r>
          </w:p>
        </w:tc>
        <w:tc>
          <w:tcPr>
            <w:tcW w:w="4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19.2%</w:t>
            </w:r>
          </w:p>
        </w:tc>
        <w:tc>
          <w:tcPr>
            <w:tcW w:w="48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engineering</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1,801</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4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6,535</w:t>
            </w:r>
          </w:p>
        </w:tc>
        <w:tc>
          <w:tcPr>
            <w:tcW w:w="4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4,787</w:t>
            </w:r>
          </w:p>
        </w:tc>
        <w:tc>
          <w:tcPr>
            <w:tcW w:w="14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expense, net</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(1,006)</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40" w:type="dxa"/>
            <w:vAlign w:val="bottom"/>
            <w:shd w:val="clear" w:color="auto" w:fill="CCEEFF"/>
          </w:tcPr>
          <w:p>
            <w:pPr>
              <w:spacing w:after="0"/>
              <w:rPr>
                <w:sz w:val="18"/>
                <w:szCs w:val="18"/>
                <w:color w:val="auto"/>
              </w:rPr>
            </w:pPr>
          </w:p>
        </w:tc>
      </w:tr>
      <w:tr>
        <w:trPr>
          <w:trHeight w:val="210"/>
        </w:trPr>
        <w:tc>
          <w:tcPr>
            <w:tcW w:w="780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28,435</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25,089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Income from operations as a % of Revenue</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4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2,458</w:t>
            </w:r>
          </w:p>
        </w:tc>
        <w:tc>
          <w:tcPr>
            <w:tcW w:w="4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2,121</w:t>
            </w:r>
          </w:p>
        </w:tc>
        <w:tc>
          <w:tcPr>
            <w:tcW w:w="14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long-term debt</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r>
      <w:tr>
        <w:trPr>
          <w:trHeight w:val="210"/>
        </w:trPr>
        <w:tc>
          <w:tcPr>
            <w:tcW w:w="7800" w:type="dxa"/>
            <w:vAlign w:val="bottom"/>
          </w:tcPr>
          <w:p>
            <w:pPr>
              <w:ind w:left="180"/>
              <w:spacing w:after="0"/>
              <w:rPr>
                <w:sz w:val="20"/>
                <w:szCs w:val="20"/>
                <w:color w:val="auto"/>
              </w:rPr>
            </w:pPr>
            <w:r>
              <w:rPr>
                <w:rFonts w:ascii="Arial" w:cs="Arial" w:eastAsia="Arial" w:hAnsi="Arial"/>
                <w:sz w:val="18"/>
                <w:szCs w:val="18"/>
                <w:color w:val="auto"/>
              </w:rPr>
              <w:t>Income before provision for income taxes</w:t>
            </w: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25,977</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9,749</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8,672</w:t>
            </w:r>
          </w:p>
        </w:tc>
        <w:tc>
          <w:tcPr>
            <w:tcW w:w="140" w:type="dxa"/>
            <w:vAlign w:val="bottom"/>
            <w:shd w:val="clear" w:color="auto" w:fill="CCEEFF"/>
          </w:tcPr>
          <w:p>
            <w:pPr>
              <w:spacing w:after="0"/>
              <w:rPr>
                <w:sz w:val="18"/>
                <w:szCs w:val="18"/>
                <w:color w:val="auto"/>
              </w:rPr>
            </w:pPr>
          </w:p>
        </w:tc>
      </w:tr>
      <w:tr>
        <w:trPr>
          <w:trHeight w:val="210"/>
        </w:trPr>
        <w:tc>
          <w:tcPr>
            <w:tcW w:w="78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16,228</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14,183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 net of taxes</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r>
      <w:tr>
        <w:trPr>
          <w:trHeight w:val="210"/>
        </w:trPr>
        <w:tc>
          <w:tcPr>
            <w:tcW w:w="7800" w:type="dxa"/>
            <w:vAlign w:val="bottom"/>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16,195</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7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EBITDA and Adjusted EBITDA, non-GAAP measures explained below, for the nine months ended February 28, 2013 and February 29, 2012, were as follows:</w:t>
      </w:r>
    </w:p>
    <w:p>
      <w:pPr>
        <w:spacing w:after="0" w:line="16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6"/>
          </w:tcPr>
          <w:p>
            <w:pPr>
              <w:ind w:left="80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78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4"/>
              </w:rPr>
              <w:t>February 28, 2013</w:t>
            </w:r>
          </w:p>
        </w:tc>
        <w:tc>
          <w:tcPr>
            <w:tcW w:w="1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4"/>
              </w:rPr>
              <w:t>February 29, 2012</w:t>
            </w:r>
          </w:p>
        </w:tc>
        <w:tc>
          <w:tcPr>
            <w:tcW w:w="100" w:type="dxa"/>
            <w:vAlign w:val="bottom"/>
            <w:gridSpan w:val="2"/>
          </w:tcPr>
          <w:p>
            <w:pPr>
              <w:spacing w:after="0"/>
              <w:rPr>
                <w:sz w:val="12"/>
                <w:szCs w:val="12"/>
                <w:color w:val="auto"/>
              </w:rPr>
            </w:pPr>
          </w:p>
        </w:tc>
      </w:tr>
      <w:tr>
        <w:trPr>
          <w:trHeight w:val="142"/>
        </w:trPr>
        <w:tc>
          <w:tcPr>
            <w:tcW w:w="7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00" w:type="dxa"/>
            <w:vAlign w:val="bottom"/>
            <w:gridSpan w:val="4"/>
          </w:tcPr>
          <w:p>
            <w:pPr>
              <w:jc w:val="right"/>
              <w:ind w:right="912"/>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gridSpan w:val="2"/>
          </w:tcPr>
          <w:p>
            <w:pPr>
              <w:spacing w:after="0"/>
              <w:rPr>
                <w:sz w:val="12"/>
                <w:szCs w:val="12"/>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 and Adjusted EBITDA data</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Net income attributable to Mistras Group,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16,195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14,221</w:t>
            </w:r>
          </w:p>
        </w:tc>
        <w:tc>
          <w:tcPr>
            <w:tcW w:w="8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2,458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2,121</w:t>
            </w:r>
          </w:p>
        </w:tc>
        <w:tc>
          <w:tcPr>
            <w:tcW w:w="8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9,749</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8,672</w:t>
            </w:r>
          </w:p>
        </w:tc>
        <w:tc>
          <w:tcPr>
            <w:tcW w:w="8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19,693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15,989</w:t>
            </w:r>
          </w:p>
        </w:tc>
        <w:tc>
          <w:tcPr>
            <w:tcW w:w="80" w:type="dxa"/>
            <w:vAlign w:val="bottom"/>
            <w:shd w:val="clear" w:color="auto" w:fill="CCEEFF"/>
          </w:tcPr>
          <w:p>
            <w:pPr>
              <w:spacing w:after="0"/>
              <w:rPr>
                <w:sz w:val="18"/>
                <w:szCs w:val="18"/>
                <w:color w:val="auto"/>
              </w:rPr>
            </w:pPr>
          </w:p>
        </w:tc>
      </w:tr>
      <w:tr>
        <w:trPr>
          <w:trHeight w:val="210"/>
        </w:trPr>
        <w:tc>
          <w:tcPr>
            <w:tcW w:w="7840" w:type="dxa"/>
            <w:vAlign w:val="bottom"/>
          </w:tcPr>
          <w:p>
            <w:pPr>
              <w:spacing w:after="0"/>
              <w:rPr>
                <w:sz w:val="20"/>
                <w:szCs w:val="20"/>
                <w:color w:val="auto"/>
              </w:rPr>
            </w:pPr>
            <w:r>
              <w:rPr>
                <w:rFonts w:ascii="Arial" w:cs="Arial" w:eastAsia="Arial" w:hAnsi="Arial"/>
                <w:sz w:val="18"/>
                <w:szCs w:val="18"/>
                <w:color w:val="auto"/>
              </w:rPr>
              <w:t>EBITDA</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48,095</w:t>
            </w:r>
          </w:p>
        </w:tc>
        <w:tc>
          <w:tcPr>
            <w:tcW w:w="3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3,791</w:t>
            </w:r>
          </w:p>
        </w:tc>
        <w:tc>
          <w:tcPr>
            <w:tcW w:w="8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Acquisition-related expense, net</w:t>
            </w: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1,009</w:t>
            </w:r>
          </w:p>
        </w:tc>
        <w:tc>
          <w:tcPr>
            <w:tcW w:w="8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long-term debt</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r>
      <w:tr>
        <w:trPr>
          <w:trHeight w:val="210"/>
        </w:trPr>
        <w:tc>
          <w:tcPr>
            <w:tcW w:w="784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51,838</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45,916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explanation and definition of EBITDA and Adjusted EBITDA above on page 23.</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Revenues were $384.8 million for the nine months ended February 28, 2013 compared to $309.8 million for the nine months ended February 29,</w:t>
      </w:r>
      <w:r>
        <w:rPr>
          <w:rFonts w:ascii="Arial" w:cs="Arial" w:eastAsia="Arial" w:hAnsi="Arial"/>
          <w:sz w:val="18"/>
          <w:szCs w:val="18"/>
          <w:i w:val="1"/>
          <w:iCs w:val="1"/>
          <w:color w:val="auto"/>
        </w:rPr>
        <w:t xml:space="preserve"> </w:t>
      </w:r>
      <w:r>
        <w:rPr>
          <w:rFonts w:ascii="Arial" w:cs="Arial" w:eastAsia="Arial" w:hAnsi="Arial"/>
          <w:sz w:val="18"/>
          <w:szCs w:val="18"/>
          <w:color w:val="auto"/>
        </w:rPr>
        <w:t>2012. Revenues by segment for the nine months ended February 28, 2013 and February 29, 2012 were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7"/>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6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4"/>
              </w:rPr>
              <w:t>February 28, 2013</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4"/>
              </w:rPr>
              <w:t>February 29, 2012</w:t>
            </w:r>
          </w:p>
        </w:tc>
        <w:tc>
          <w:tcPr>
            <w:tcW w:w="100" w:type="dxa"/>
            <w:vAlign w:val="bottom"/>
            <w:gridSpan w:val="2"/>
          </w:tcPr>
          <w:p>
            <w:pPr>
              <w:spacing w:after="0"/>
              <w:rPr>
                <w:sz w:val="12"/>
                <w:szCs w:val="12"/>
                <w:color w:val="auto"/>
              </w:rPr>
            </w:pPr>
          </w:p>
        </w:tc>
      </w:tr>
      <w:tr>
        <w:trPr>
          <w:trHeight w:val="142"/>
        </w:trPr>
        <w:tc>
          <w:tcPr>
            <w:tcW w:w="6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00" w:type="dxa"/>
            <w:vAlign w:val="bottom"/>
            <w:gridSpan w:val="5"/>
          </w:tcPr>
          <w:p>
            <w:pPr>
              <w:jc w:val="right"/>
              <w:ind w:right="913"/>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gridSpan w:val="2"/>
          </w:tcPr>
          <w:p>
            <w:pPr>
              <w:spacing w:after="0"/>
              <w:rPr>
                <w:sz w:val="12"/>
                <w:szCs w:val="12"/>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278,147</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253,493</w:t>
            </w:r>
          </w:p>
        </w:tc>
        <w:tc>
          <w:tcPr>
            <w:tcW w:w="80" w:type="dxa"/>
            <w:vAlign w:val="bottom"/>
          </w:tcPr>
          <w:p>
            <w:pPr>
              <w:spacing w:after="0"/>
              <w:rPr>
                <w:sz w:val="18"/>
                <w:szCs w:val="18"/>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88,722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38,794</w:t>
            </w: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25,618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26,429</w:t>
            </w:r>
          </w:p>
        </w:tc>
        <w:tc>
          <w:tcPr>
            <w:tcW w:w="80" w:type="dxa"/>
            <w:vAlign w:val="bottom"/>
          </w:tcPr>
          <w:p>
            <w:pPr>
              <w:spacing w:after="0"/>
              <w:rPr>
                <w:sz w:val="18"/>
                <w:szCs w:val="18"/>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(8,931)</w:t>
            </w:r>
          </w:p>
        </w:tc>
      </w:tr>
      <w:tr>
        <w:trPr>
          <w:trHeight w:val="210"/>
        </w:trPr>
        <w:tc>
          <w:tcPr>
            <w:tcW w:w="60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384,777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309,785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estimate our growth rates for the nine months ended February 28, 2013 and February 29, 2012 were as follows: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4"/>
              </w:rPr>
              <w:t>February 28, 2013</w:t>
            </w:r>
          </w:p>
        </w:tc>
        <w:tc>
          <w:tcPr>
            <w:tcW w:w="1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February 29, 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gridSpan w:val="4"/>
          </w:tcPr>
          <w:p>
            <w:pPr>
              <w:jc w:val="center"/>
              <w:ind w:right="13"/>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Revenue growth</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74,992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 Growth over prior year</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Comprised of:</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 of organic growth</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 of acquisition growth</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 foreign exchange increase (decrease)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Revenues increased $75.0 million, or approximately 24% for the nine months ended February 28, 2013 compared to the nine months ended February 29, 2012 principally attributable to growth in our International segment and approximately 10% in our Services segment. Our International segment revenue growth primarily resulted from our fiscal 2012 and fiscal 2013 acquisitions. For the nine months ended February 28, 2013, we estimate that our acquisition growth was approximately 20% compared to approximately 12%, in the nine months ended February 29, 2012. For the nine months ended February 28, 2013 and February 29, 2012, we estimate that our organic growth rate was approximately 5% and 19%, respectively.</w:t>
      </w:r>
    </w:p>
    <w:p>
      <w:pPr>
        <w:spacing w:after="0" w:line="173"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We continued to experience growth in many of our target markets during the first nine months of fiscal 2013. Oil and gas is our largest target market and in the first nine months of fiscal 2013 represented approximately 50% of total revenues, compared to approximately 56% in the comparable period of fiscal 2012. Oil and gas revenue in the first nine months of fiscal 2013 increased approximately 11% over the prior year period with the largest increases coming from the midstream section of the oil and gas industry. We also experienced growth in several of our other target markets outside of oil and gas, including power generation, aerospace and defense, industrial, infrastructure and process industries, which include chemical and pharmaceutical. Taken as a group, revenues for all target markets other than oil and gas grew approximately 41% in the nine months ended February 28, 2013 over the comparable prior year</w:t>
      </w:r>
    </w:p>
    <w:p>
      <w:pPr>
        <w:sectPr>
          <w:pgSz w:w="11900" w:h="16838" w:orient="portrait"/>
          <w:cols w:equalWidth="0" w:num="1">
            <w:col w:w="11420"/>
          </w:cols>
          <w:pgMar w:left="240" w:top="125" w:right="239" w:bottom="0" w:gutter="0" w:footer="0" w:header="0"/>
        </w:sectPr>
      </w:pPr>
    </w:p>
    <w:bookmarkStart w:id="20" w:name="page21"/>
    <w:bookmarkEnd w:id="20"/>
    <w:p>
      <w:pPr>
        <w:spacing w:after="0" w:line="6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period. Our largest customer in both periods was BP plc., (BP), accounting for approximately 12% and 16% of our revenues for the nine months ended February 28, 2013 and February 29, 2012, respectively. Our top ten customers represented approximately 34% and 40% of our revenues for the nine months ended February 28, 2013 and February 29, 2012.</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Our gross profit was $109.8 million and increased $17.6 million, or 19%, during the nine months ended February 28, 2013 compared to $92.2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during the nine months ended February 29, 2012. Gross profit by segment for the nine months ended February 28, 2013 and February 29, 2012 were as follows: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7"/>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6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February 28, 2013</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4"/>
              </w:rPr>
              <w:t>February 29, 2012</w:t>
            </w:r>
          </w:p>
        </w:tc>
        <w:tc>
          <w:tcPr>
            <w:tcW w:w="100" w:type="dxa"/>
            <w:vAlign w:val="bottom"/>
            <w:gridSpan w:val="2"/>
          </w:tcPr>
          <w:p>
            <w:pPr>
              <w:spacing w:after="0"/>
              <w:rPr>
                <w:sz w:val="12"/>
                <w:szCs w:val="12"/>
                <w:color w:val="auto"/>
              </w:rPr>
            </w:pPr>
          </w:p>
        </w:tc>
      </w:tr>
      <w:tr>
        <w:trPr>
          <w:trHeight w:val="142"/>
        </w:trPr>
        <w:tc>
          <w:tcPr>
            <w:tcW w:w="6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00" w:type="dxa"/>
            <w:vAlign w:val="bottom"/>
            <w:gridSpan w:val="5"/>
          </w:tcPr>
          <w:p>
            <w:pPr>
              <w:jc w:val="right"/>
              <w:ind w:right="913"/>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gridSpan w:val="2"/>
          </w:tcPr>
          <w:p>
            <w:pPr>
              <w:spacing w:after="0"/>
              <w:rPr>
                <w:sz w:val="12"/>
                <w:szCs w:val="12"/>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72,128</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68,001</w:t>
            </w:r>
          </w:p>
        </w:tc>
        <w:tc>
          <w:tcPr>
            <w:tcW w:w="80" w:type="dxa"/>
            <w:vAlign w:val="bottom"/>
          </w:tcPr>
          <w:p>
            <w:pPr>
              <w:spacing w:after="0"/>
              <w:rPr>
                <w:sz w:val="18"/>
                <w:szCs w:val="18"/>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12,263</w:t>
            </w: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13,010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12,952</w:t>
            </w:r>
          </w:p>
        </w:tc>
        <w:tc>
          <w:tcPr>
            <w:tcW w:w="80" w:type="dxa"/>
            <w:vAlign w:val="bottom"/>
          </w:tcPr>
          <w:p>
            <w:pPr>
              <w:spacing w:after="0"/>
              <w:rPr>
                <w:sz w:val="18"/>
                <w:szCs w:val="18"/>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(997)</w:t>
            </w:r>
          </w:p>
        </w:tc>
      </w:tr>
      <w:tr>
        <w:trPr>
          <w:trHeight w:val="210"/>
        </w:trPr>
        <w:tc>
          <w:tcPr>
            <w:tcW w:w="60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109,828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92,219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As a percentage of revenues, our gross profit decreased 130 basis points to approximately 28.5% in the first nine months of fiscal 2013 compared to the comparable prior year period. Cost of revenues, excluding depreciation, as a percentage of revenues was approximately 68% and 67% in the nine months ended February 28, 2013 and February 29, 2012, respectively. Depreciation expense included in the determination of gross profit for the nine months ended February 28, 2013 and February 29, 2012 was $13.2 million and $11.2 million, respectively.</w:t>
      </w:r>
    </w:p>
    <w:p>
      <w:pPr>
        <w:spacing w:after="0" w:line="17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130 basis point decrease in our gross profit margin was primarily attributable to decrease in our International segment, which relates to our fiscal 2012 and fiscal 2013 acquisitions, as these companies primarily provide lower margin, traditional NDT services. Additionally, these service offerings in our International segment are increasing faster than our higher margin product sales, which also lowers our overall gross profit margin. The Services segment also decreased primarily due to project mix during the third quarter of fiscal 2013. These decreases were offset by improvements in our Products and Systems segment due to a change in the mix of overall products sales in the nine months ended February 28, 2013 compared to the prior year period.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from Operations</w:t>
      </w:r>
      <w:r>
        <w:rPr>
          <w:rFonts w:ascii="Arial" w:cs="Arial" w:eastAsia="Arial" w:hAnsi="Arial"/>
          <w:sz w:val="16"/>
          <w:szCs w:val="16"/>
          <w:color w:val="auto"/>
        </w:rPr>
        <w:t>. Our income from operations by segment for the nine months ended February 28, 2013 and February 29, 2012 were as follows:</w:t>
      </w:r>
    </w:p>
    <w:p>
      <w:pPr>
        <w:spacing w:after="0" w:line="240"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7"/>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6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4"/>
              </w:rPr>
              <w:t>February 28, 2013</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4"/>
              </w:rPr>
              <w:t>February 29, 2012</w:t>
            </w:r>
          </w:p>
        </w:tc>
        <w:tc>
          <w:tcPr>
            <w:tcW w:w="100" w:type="dxa"/>
            <w:vAlign w:val="bottom"/>
            <w:gridSpan w:val="2"/>
          </w:tcPr>
          <w:p>
            <w:pPr>
              <w:spacing w:after="0"/>
              <w:rPr>
                <w:sz w:val="12"/>
                <w:szCs w:val="12"/>
                <w:color w:val="auto"/>
              </w:rPr>
            </w:pPr>
          </w:p>
        </w:tc>
      </w:tr>
      <w:tr>
        <w:trPr>
          <w:trHeight w:val="142"/>
        </w:trPr>
        <w:tc>
          <w:tcPr>
            <w:tcW w:w="6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00" w:type="dxa"/>
            <w:vAlign w:val="bottom"/>
            <w:gridSpan w:val="5"/>
          </w:tcPr>
          <w:p>
            <w:pPr>
              <w:jc w:val="right"/>
              <w:ind w:right="913"/>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gridSpan w:val="2"/>
          </w:tcPr>
          <w:p>
            <w:pPr>
              <w:spacing w:after="0"/>
              <w:rPr>
                <w:sz w:val="12"/>
                <w:szCs w:val="12"/>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28,597</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27,927</w:t>
            </w:r>
          </w:p>
        </w:tc>
        <w:tc>
          <w:tcPr>
            <w:tcW w:w="80" w:type="dxa"/>
            <w:vAlign w:val="bottom"/>
          </w:tcPr>
          <w:p>
            <w:pPr>
              <w:spacing w:after="0"/>
              <w:rPr>
                <w:sz w:val="18"/>
                <w:szCs w:val="18"/>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2,373</w:t>
            </w: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6,481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5,652</w:t>
            </w:r>
          </w:p>
        </w:tc>
        <w:tc>
          <w:tcPr>
            <w:tcW w:w="80" w:type="dxa"/>
            <w:vAlign w:val="bottom"/>
          </w:tcPr>
          <w:p>
            <w:pPr>
              <w:spacing w:after="0"/>
              <w:rPr>
                <w:sz w:val="18"/>
                <w:szCs w:val="18"/>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(10,863)</w:t>
            </w:r>
          </w:p>
        </w:tc>
      </w:tr>
      <w:tr>
        <w:trPr>
          <w:trHeight w:val="210"/>
        </w:trPr>
        <w:tc>
          <w:tcPr>
            <w:tcW w:w="60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28,435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income from operations of $28.4 million for the nine months February 28, 2013 increased $3.3 million, or 13%, compared to $25.1 million for the nine months ended February 29, 2012. As a percentage of revenues, our income from operations was approximately 7% and 8% for the first nine months of fiscal 2013 and 2012, respectively.</w:t>
      </w:r>
    </w:p>
    <w:p>
      <w:pPr>
        <w:spacing w:after="0" w:line="18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SG&amp;A expenses, as a percentage of revenues, was approximately 19% for each of the nine month periods ended February 28, 2013 and February 29, 2012, increasing approximately $14.5 million in fiscal 2013. SG&amp;A for companies acquired within the last twelve months accounted for approximately $11.8 million of the total increase. The increase in expense was primarily due to the cost of additional salary and other infrastructure costs to support our growth in revenues, including the addition of new locations and personnel in connection with our recent acquisitions. Excluding acquisitions, our SG&amp;A expenses included higher compensation and benefit expenses of $2.0 million over the same period in the prior year attributed to normal salary increases, as well as our investment in additional management and corporate staff to support our growth. Other increases in SG&amp;A expenses, excluding acquisitions, included increased stock compensation costs of $1.0 million and professional fees of $0.5 million, partially offset by a decrease to the provision for doubtful accounts of $0.5 million. Depreciation and amortization included in the determination of income from operations for the nine months ended February 28, 2013 and February 29, 2012 was $6.5 million and $4.8 million, respectively each representing approximately 2% of revenues.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acquisition-related expense, net for the nine months ended February 28, 2013 resulted from adjustments to the estimated fair value of certain acquisition-related contingent consideration liabilities that resulted in a net increase to income from operations of $2.1 million. This was offset by $1.2 million in professional fees and other expenses in connection with our fiscal 2013 acquisition activity. Our acquisition-related expense for the nine months ended February 29, 2012 included $1.4 million in professional fees and other expenses in connection with our fiscal 2012 acquisition activity. This was offset by adjustments to the estimated fair value of certain acquisition-related contingent consideration liabilities that resulted in a net increase to income from operations of $0.4 million.</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for the nine months ended February 28, 2013 was $2.5 million, an increase of $0.3 million when compared to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The increase related to an increase in average borrowings in the current year period compared to the prior year.</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effective income tax rate was approximately 38% for each of the nine month periods ended February 28, 2013 and February 29, 2012,</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ectPr>
          <w:pgSz w:w="11900" w:h="16902" w:orient="portrait"/>
          <w:cols w:equalWidth="0" w:num="1">
            <w:col w:w="11400"/>
          </w:cols>
          <w:pgMar w:left="240" w:top="125" w:right="259" w:bottom="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Table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in the table below:</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7"/>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6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4"/>
              </w:rPr>
              <w:t>February 28, 2013</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4"/>
              </w:rPr>
              <w:t>February 29, 2012</w:t>
            </w:r>
          </w:p>
        </w:tc>
        <w:tc>
          <w:tcPr>
            <w:tcW w:w="100" w:type="dxa"/>
            <w:vAlign w:val="bottom"/>
            <w:gridSpan w:val="2"/>
          </w:tcPr>
          <w:p>
            <w:pPr>
              <w:spacing w:after="0"/>
              <w:rPr>
                <w:sz w:val="12"/>
                <w:szCs w:val="12"/>
                <w:color w:val="auto"/>
              </w:rPr>
            </w:pPr>
          </w:p>
        </w:tc>
      </w:tr>
      <w:tr>
        <w:trPr>
          <w:trHeight w:val="142"/>
        </w:trPr>
        <w:tc>
          <w:tcPr>
            <w:tcW w:w="6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00" w:type="dxa"/>
            <w:vAlign w:val="bottom"/>
            <w:gridSpan w:val="5"/>
          </w:tcPr>
          <w:p>
            <w:pPr>
              <w:jc w:val="right"/>
              <w:ind w:right="913"/>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gridSpan w:val="2"/>
          </w:tcPr>
          <w:p>
            <w:pPr>
              <w:spacing w:after="0"/>
              <w:rPr>
                <w:sz w:val="12"/>
                <w:szCs w:val="12"/>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27,548</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20,972</w:t>
            </w:r>
          </w:p>
        </w:tc>
        <w:tc>
          <w:tcPr>
            <w:tcW w:w="80" w:type="dxa"/>
            <w:vAlign w:val="bottom"/>
          </w:tcPr>
          <w:p>
            <w:pPr>
              <w:spacing w:after="0"/>
              <w:rPr>
                <w:sz w:val="18"/>
                <w:szCs w:val="18"/>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(32,816)</w:t>
            </w: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15,070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9,441</w:t>
            </w:r>
          </w:p>
        </w:tc>
        <w:tc>
          <w:tcPr>
            <w:tcW w:w="8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(545)</w:t>
            </w: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(2,948</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nine months ended February 28, 2013, cash provided by our operating activities was $27.5 million, an increase of $6.6 million from the comparable period of fiscal 2012. Positive operating cash flow was primarily attributable to higher net income, excluding depreciation, amortization and other non-cash expenses, of $42.0 million. In addition, the Company significantly reduced its investment in operating assets and liabilities, net of acquisitions, during the period due to a reduction of accrued expenses, accounts payable and other liabilities which decreased operating cash flow, offset by better management of accounts receivable and other elements of working capital.</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nine months ended February 29, 2012, cash provided by our operating activities was $21.0 million, an increase of $2.3 million from the comparable period of fiscal 2011. Positive operating cash flow was primarily attributable to higher net income, excluding depreciation, amortization and other non-cash expenses, of $34.1 million offset by $13.1 million of cash utilized to fund an increase in our working capital, which primarily related to an increase in our trade accounts receivable.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During the nine months ended February 28, 2013, cash used in investing activities was $42.4 million, an increase of $9.6 million from the comparable period of fiscal 2012. Cash used in investing activities included our acquisition of three companies for an aggregate of $33.6 million, net of cash acquired. Also contributing to the increase were cash purchases of property, plant and equipment of $8.9 million, related to equipment used by our technicians.</w:t>
      </w:r>
    </w:p>
    <w:p>
      <w:pPr>
        <w:spacing w:after="0" w:line="14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During the nine months ended February 29, 2012, cash used in investing activities was $32.8 million, an increase of $8.2 million from the comparable period of fiscal 2011. Cash used in investing activities included our acquisition of eight companies for an aggregate of $26.3 million, net of cash acquired. Cash purchases of property, plant and equipment were $6.4 million and were primarily related to equipment used by our technicians.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Net cash provided by financing activities was $15.1 million for the nine months ended February 28, 2013, an increase of $5.6 million from the comparable period of fiscal 2012. Net cash provided by financing activities related primarily to net borrowings of $26.0 million from our revolving credit facility offset by payments of capital lease obligations, notes payable and other long-term debt, and acquisition related contingent consideration of $5.1 million, $4.6 million, $1.9 million, respectively.</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cash provided by financing activities was $9.4 million for the nine months ended February 29, 2012, an increase of $13.1 million from the comparable period of fiscal 2011. Net cash provided by financing activities related primarily to net borrowings under our revolving credit facility of $19.1 million and proceeds of $1.5 million received from the exercise of stock options, offset by repayments of our capital lease obligations, notes payable and other long-term debt, and other short-term borrowings of $5.1 million, $4.4 million, $1.9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Exchange Rate Changes on Cash and Cash Equivalents</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effect of exchange rate changes on our cash and cash equivalents was approximately $0.3 million and ($0.6) million for the nine months ended February 28, 2013 and February 29, 2012,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As of February 28, 2013, we had cash and cash equivalents totaling $8.9 million and available borrowing capacity of $70.7 million under our current revolving credit facility. As of February 28, 2013, there were outstanding borrowings of $51.0 million and a total of $3.3 million of outstanding letters of credit under the existing revolving credit facility. We finance our operations primarily through our existing cash balances, cash collected from operations, bank borrowings and capital lease financing. We believe these sources are sufficient to fund our operations for the foreseeable future.</w:t>
      </w:r>
    </w:p>
    <w:p>
      <w:pPr>
        <w:spacing w:after="0" w:line="15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December 2011, we entered into a Third Amended and Restated Credit Agreement (Credit Agreement) with Bank of America, N.A., as agent for the lenders and a lender, and JPMorgan Chase Bank, N.A., Keybank National Association and TD Bank, N.A., as lenders. The Credit Agreement provides us with a $125 million revolving line of credit, which, under certain circumstances, can be increased to $150 million. The Credit Agreement has a maturity date of December 20, 2016 and permits us to borrow up to $30 million in non-US dollar currencies and to use up to $10 million of the credit limit for the issuance of letters of credit. Loans under the Credit Agreement bear interest, at our option, at LIBOR plus an applicable LIBOR margin ranging from 1% to 2%, or a base rate less a margin of 0.25% to 1.25% or based upon our Funded Debt Leverage Ratio. Funded Debt Leverage Ratio is generally the ratio of (1) all outstanding indebtedness for borrowed money and other interest-bearing indebtedness as of the date of determination to (2) EBITDA, as defined in the Credit</w:t>
      </w:r>
    </w:p>
    <w:p>
      <w:pPr>
        <w:sectPr>
          <w:pgSz w:w="11900" w:h="16838" w:orient="portrait"/>
          <w:cols w:equalWidth="0" w:num="1">
            <w:col w:w="11400"/>
          </w:cols>
          <w:pgMar w:left="240" w:top="337" w:right="259" w:bottom="0" w:gutter="0" w:footer="0" w:header="0"/>
        </w:sectPr>
      </w:pPr>
    </w:p>
    <w:bookmarkStart w:id="22" w:name="page23"/>
    <w:bookmarkEnd w:id="22"/>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Agreement, (which is (a) net income, less (b) income (or plus loss) from discontinued operations and extraordinary items, plus (c) income tax expenses, plus</w:t>
      </w:r>
    </w:p>
    <w:p>
      <w:pPr>
        <w:spacing w:after="0" w:line="46" w:lineRule="exact"/>
        <w:rPr>
          <w:sz w:val="20"/>
          <w:szCs w:val="20"/>
          <w:color w:val="auto"/>
        </w:rPr>
      </w:pPr>
    </w:p>
    <w:p>
      <w:pPr>
        <w:ind w:right="80" w:firstLine="8"/>
        <w:spacing w:after="0" w:line="290" w:lineRule="auto"/>
        <w:tabs>
          <w:tab w:leader="none" w:pos="2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interest expense, plus (e) depreciation, depletion, and amortization (including non-cash loss on retirement of assets), plus (f) stock compensation expense, less (g) cash expense related to stock compensation, plus or minus certain other adjustments) for the period of four consecutive fiscal quarters immediately preceding the date of determination. We have the benefit of the lowest margin if our Funded Debt Leverage Ratio is equal to or less than 0.5 to 1, and the margin increases as the ratio increases, to the maximum margin if the ratio is greater than 2.5 to 1. We will also bear additional costs for market disruption, regulatory changes effecting the lenders’ funding costs, and default pricing of an additional 2% interest rate margin if the Funded Debt Leverage Ratio exceeds 3.0 to 1. Amounts borrowed under our Credit Agreement are secured by liens on substantially all of our assets.</w:t>
      </w:r>
    </w:p>
    <w:p>
      <w:pPr>
        <w:spacing w:after="0" w:line="16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Credit Agreement contains financial covenants requiring that we maintain a Funded Debt Leverage Ratio of less than 3.0 to 1 and an Interest Coverage Ratio of at least 3.0 to 1. Interest Coverage Ratio means the ratio, as of any date of determination, of (a) EBITDA, as defined in the Credit Agreement, for the 12 month period immediately preceding the date of determination, to (b) all interest, premium payments, debt discount, fees, charges and related expenses of us and our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Credit Agreement also limits our ability to, among other things, create liens, make investments, incur more indebtedness, merge or consolidate, make dispositions of property, pay dividends and make distributions to stockholders, enter into a new line of business, enter into transactions with affiliates and enter into burdensome agreements. The Credit Agreement does not limit our ability to acquire other businesses or companies except that the acquired business or company must be in our line of business, we must be in compliance with the financial covenants on a pro forma basis after taking into account the acquisition, and, if the acquired business is a separate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subsidiary, in certain circumstances the lenders will receive the benefit of a guaranty of the subsidiary and liens on its assets and a pledge of its stock.</w:t>
      </w:r>
    </w:p>
    <w:p>
      <w:pPr>
        <w:spacing w:after="0" w:line="2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February 28, 2013, we were in compliance with the terms of the credit agreement, and we will continuously monitor our compliance with the covenants contained in our new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Sources of Cash</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expect our future sources of cash to include cash flow from operations and cash borrowed under our Credit Agreement. This revolving credit facility 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available for cash advances required for working capital and for letters of credit to support our operations. To meet our short-and long-term liquidity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requirements, we expect primarily to rely on cash generated from our operating activities and borrowings under our Credit Agreement. We are currently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funding our acquisitions through our available cash, borrowings under our Credit Agreement and seller notes. We have an effective shelf registration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 with the SEC for the issuance of up to approximately $64.2 million of securities, including shares of common and preferred stock,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warrants and units. Accordingly, we may also seek to obtain capital through the issuance of debt or equity securities, or a combination of both.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2013, there were outstanding borrowings of approximately $50.0 million and approximately $3.3 million of outstanding letters of credit under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Uses of Cash</w:t>
      </w:r>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expect our future uses of cash will primarily be for acquisitions, international expansion, purchases or manufacture of field testing equipment to support growth, additional investments in technology and software products and the replacement of existing assets and equipment used in our operations. We often make purchases to support new sources of revenues, particularly in our Services segment. We historically spend approximately 3% to 4% of our total revenues on capital expenditures, excluding acquisitions, and expect to fund these expenditures through a combination of cash and lease financing.</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anticipated acquisitions may also require capital. Since the beginning of fiscal 2013, we completed the acquisition of three companies, with an initial cash outlay of approximately $35.0 million. In some cases, additional equipment will be needed to upgrade the capabilities of these acquired companies. In addition, our future acquisition and capital spending may increase as we pursue growth opportunities. Other investments in infrastructure, training and software may also be required to match our growth, but we plan to continue using a disciplined approach to building our business. In addition, we will use cash to fund our operating leases, capital leases and long-term debt repayments and various other obligations as they arise.</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also expect to use cash to support our working capital requirements for our operations, particularly in the event of further growth and due to the impacts of seasonality on our business. Our future working capital requirements will depend on many factors, including the rate of our revenue growth, our introduction of new solutions and enhancements to existing solutions and our expansion of sales and marketing and product development activities. To the extent that our cash and cash equivalents and future cash flows from operating activities are insufficient to fund our future activities, we may need to raise additional funds through bank credit arrangements, public or private equity financings, or debt financings. We also may need to raise additional funds in the event we determine in the future to effect one or more acquisitions of businesses, technologies or products that will complement our existing operations. In the event additional funding is required, we may not be able to obtain bank credit arrangements or effect an equity or debt financing on terms acceptable to us or at all.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In fiscal 2013, the Company completed the acquisition of three asset protection companies specializing in destructive and non-destructive services and inspection, and in-house component inspection. The Company acquired 100% of the common stock of the acquirees in exchange for approximately $35.0 million in cash, and $7.7 million in notes payable. The note is payable in three equal installments of approximately $2.6 million due on the each of the first three anniversary dates of the closing date. In addition, the acquisition agreements provide for contingent consideration payments totaling approximately $15.0 million upon the achievement of specific annual performance metrics over the next three to five years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During the nine months ended February 28, 2013,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w:t>
      </w:r>
    </w:p>
    <w:p>
      <w:pPr>
        <w:sectPr>
          <w:pgSz w:w="11900" w:h="16850" w:orient="portrait"/>
          <w:cols w:equalWidth="0" w:num="1">
            <w:col w:w="11420"/>
          </w:cols>
          <w:pgMar w:left="240" w:top="125" w:right="239" w:bottom="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purposes.</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foreign currency exposure related to our operations in foreign locations. This foreign currency exposure, particularly the Euro, British Pound Sterling, Brazilian Real, Russian Ruble, Japanese Yen, Canadian Dollar and the Indian Rupee, arises primarily from the translation of our foreign subsidiaries’ financial statements into U.S. Dollars. For example, a portion of our annual sales and operating costs are denominated in British Pound Sterling and we have exposure related to sales and operating costs increasing or decreasing based on changes in currency exchange rates. If the U.S. Dollar increases in value against these foreign currencies, the value in U.S. Dollars of the assets and liabilities originally recorded in these foreign currencies will decrease. Conversely, if the U.S. Dollar decreases in value against these foreign currencies, the value in U.S. Dollars of the assets and liabilities originally recorded in these foreign currencies will increase. Thus, increases and decreases in the value of the U.S. Dollar relative to these foreign currencies have a direct impact on the value in U.S. Dollars of our foreign currency denominated assets and liabilities, even if the value of these items has not changed in their original currency. For our foreign subsidiaries, assets and liabilities are translated at period ending rates of exchange. Translation adjustments for the assets and liability accounts are included in accumulated other comprehensive loss in stockholders’ equity (deficit). We had approximately $1.9 million of foreign currency translation losses in accumulated other comprehensive income as of February 28, 2013. We do not currently enter into forward exchange contracts to hedge exposures to foreign currencies. We may consider entering into hedging or forward exchange contracts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interest rate on our Credit Agreement currently ranges from 1.40% to 2.40% and is variable and adjusts periodically. As of February 28, 2013, there were outstanding borrowings of $51.0 million under our Credit Agreement. A hypothetical 100 basis point adverse shift in interest rates would not have had a material effect on our results of operations.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From time to time, we may enter into interest rate swap contracts whereby we would receive or pay an amount equal to the difference between a fixed rate and LIBOR on a quarterly basis in order to reduce our potential exposure to interest rate fluctuations. All gains and losses are recognized as an adjustment to interest expense and the combined fair values are recorded in other liabilities on the consolidated balance sheet. As of February 28, 2013, we had no such contracts in effect.</w:t>
      </w:r>
    </w:p>
    <w:p>
      <w:pPr>
        <w:spacing w:after="0" w:line="18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had cash and cash equivalents of $8.9 million as of February 28, 2013. These amounts are held for working capital purposes and were invested primarily in bank deposits, money market funds and short-term, interest-bearing, investment-grade securities. Due to the short-term nature of these investments, we believe that we do not have any material exposure to changes in the fair value of our investment portfolio as a result of changes in interest rates.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believe that we have material exposure to market risk with respect to investments, as our investments consist primarily of highly liquid investments purchased with a remaining maturity of three months or less. We do not use derivative financial instruments for speculative or trading purposes; however, this does not preclude our adoption of specific hedging strategies in the future.</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As of February 28, 2013, the Company carried out an evaluation, under the supervision and with the participation of the Company’s management, including the Company’s Chief Executive Officer and the Company’s Chief Financial Officer, of the effectiveness of the design and operation of the Company’s disclosure controls and procedures, as such term is defined in Rule 13a-15(e). Based on the evaluation, the Company’s Chief Executive Officer and Chief Financial Officer have concluded that the Company’s disclosure controls and procedures are effective to ensure that information required to be disclosed by the Company in the reports it files or submits under the Securities Exchange Act of 1934, as amended, is recorded, processed, summarized and reported within the time periods specified in Securities and Exchange Commission rules and forms.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Company’s quarter ended February 28, 2013 that has materially affected, or is reasonably likely to materially affect, such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ectPr>
          <w:pgSz w:w="11900" w:h="16838" w:orient="portrait"/>
          <w:cols w:equalWidth="0" w:num="1">
            <w:col w:w="11400"/>
          </w:cols>
          <w:pgMar w:left="240" w:top="341" w:right="259" w:bottom="0" w:gutter="0" w:footer="0" w:header="0"/>
        </w:sectPr>
      </w:pPr>
    </w:p>
    <w:bookmarkStart w:id="24" w:name="page25"/>
    <w:bookmarkEnd w:id="24"/>
    <w:p>
      <w:pPr>
        <w:ind w:right="20"/>
        <w:spacing w:after="0" w:line="290" w:lineRule="auto"/>
        <w:rPr>
          <w:sz w:val="20"/>
          <w:szCs w:val="20"/>
          <w:color w:val="auto"/>
        </w:rPr>
      </w:pPr>
      <w:r>
        <w:rPr>
          <w:rFonts w:ascii="Arial" w:cs="Arial" w:eastAsia="Arial" w:hAnsi="Arial"/>
          <w:sz w:val="16"/>
          <w:szCs w:val="16"/>
          <w:color w:val="auto"/>
        </w:rPr>
        <w:t>We have received notice of a governmental investigation concerning an environmental incident which occurred in February 2011, outside on the premises of our Cudahy, California facility. We acquired this facility as part of the acquisition in October 2010 of the assets and ongoing business operations of General Testing and Inspection, Inc. (“GTI”), a business which provides in-house or shop inspection and non-destructive testing at the Cudahy premises. On February 11, 2011, while liquid hazardous waste was being pumped into the tanker truck of an unaffiliated certified hazardous waste transporter at the Cudahy facility, a chemical reaction occurred that caused an emission of a vapor cloud. No human injury or property damage was reported or appears to have been caused as a result of the incident. The incident was investigated by the L.A. Country Fire Department (the “Fire Department”) and the U.S. Environmental Protection Agency (“EPA”). At the conclusion of the Fire Department’s investigation, the Fire Department imposed on the Company a fine in the amount of $4,000 for alleged violations of the California Health and Safety Code in April 2011, which was paid shortly thereafter.</w:t>
      </w:r>
    </w:p>
    <w:p>
      <w:pPr>
        <w:spacing w:after="0" w:line="16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received no further governmental communications or notices concerning fines or sanctions related to the incident until January 13, 2012, when we received grand jury subpoenas from the U.S. Attorney’s Office for the Central District of California addressed to the Company, GTI and an employee of the Company. These subpoenas were issued in connection with an EPA criminal investigation. The subpoena received by the Company requested documents and information relating to, among other things, our handling, identification, storage and disposal of hazardous waste, training records, corporate environmental policies, the acquisition of GTI and any ongoing organizational relationship with GTI, and analytical results of the tests concerning the hazardous materials involved in the incident. In April 2012, we were informed by the U.S. Attorney’s Office for the Central District of California that we are a target of a criminal investigation into potential violations of the Resource Conservation and Recovery Act. The violations are alleged to be related to purportedly improper storage and labeling of hazardous waste at the Cudahy facility. This U.S. Attorney’s Office also raised a concern about a possible obstruction of justice issue involving the conduct of one or more of our employees at this facility. Upon receiving the subpoenas, we engaged our outside legal counsel to assist us in conducting an investigation concerning the incident, including interviews with our current employees. To date, we have produced documents in response to the subpoena, and are aware of at least one of our employees having testified before the grand jury.</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While management cannot predict the ultimate outcome of this matter, based on our internal investigation to date, management does not believe the outcome will have a material effect on the Company’s financial condition, results of operations, or its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12 to the financial statements included in this report for a description of our other legal proceedings.</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addition to the other information set forth in this report, you should carefully consider the risk factors discussed under the “Risk Factors” section included in our 2012 Annual Report on Form 10-K. There have been no material changes to the risk factors previously disclosed in the Annual Report.</w:t>
      </w:r>
    </w:p>
    <w:p>
      <w:pPr>
        <w:spacing w:after="0" w:line="14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29" w:lineRule="exact"/>
        <w:rPr>
          <w:sz w:val="20"/>
          <w:szCs w:val="20"/>
          <w:color w:val="auto"/>
        </w:rPr>
      </w:pPr>
    </w:p>
    <w:p>
      <w:pPr>
        <w:ind w:left="660" w:right="8800" w:hanging="652"/>
        <w:spacing w:after="0" w:line="501" w:lineRule="auto"/>
        <w:tabs>
          <w:tab w:leader="none" w:pos="267"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ind w:left="660" w:right="6980" w:hanging="652"/>
        <w:spacing w:after="0" w:line="498" w:lineRule="auto"/>
        <w:tabs>
          <w:tab w:leader="none" w:pos="267"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line="5"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Repurchases of Our Equity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240" w:type="dxa"/>
            <w:vAlign w:val="bottom"/>
            <w:gridSpan w:val="2"/>
          </w:tcPr>
          <w:p>
            <w:pPr>
              <w:ind w:left="200"/>
              <w:spacing w:after="0"/>
              <w:rPr>
                <w:sz w:val="20"/>
                <w:szCs w:val="20"/>
                <w:color w:val="auto"/>
              </w:rPr>
            </w:pPr>
            <w:r>
              <w:rPr>
                <w:rFonts w:ascii="Arial" w:cs="Arial" w:eastAsia="Arial" w:hAnsi="Arial"/>
                <w:sz w:val="18"/>
                <w:szCs w:val="18"/>
                <w:b w:val="1"/>
                <w:bCs w:val="1"/>
                <w:color w:val="auto"/>
              </w:rPr>
              <w:t>Other Information</w:t>
            </w:r>
          </w:p>
        </w:tc>
      </w:tr>
      <w:tr>
        <w:trPr>
          <w:trHeight w:val="432"/>
        </w:trPr>
        <w:tc>
          <w:tcPr>
            <w:tcW w:w="1180" w:type="dxa"/>
            <w:vAlign w:val="bottom"/>
          </w:tcPr>
          <w:p>
            <w:pPr>
              <w:ind w:left="660"/>
              <w:spacing w:after="0"/>
              <w:rPr>
                <w:sz w:val="20"/>
                <w:szCs w:val="20"/>
                <w:color w:val="auto"/>
              </w:rPr>
            </w:pPr>
            <w:r>
              <w:rPr>
                <w:rFonts w:ascii="Arial" w:cs="Arial" w:eastAsia="Arial" w:hAnsi="Arial"/>
                <w:sz w:val="18"/>
                <w:szCs w:val="18"/>
                <w:color w:val="auto"/>
              </w:rPr>
              <w:t>None.</w:t>
            </w:r>
          </w:p>
        </w:tc>
        <w:tc>
          <w:tcPr>
            <w:tcW w:w="280" w:type="dxa"/>
            <w:vAlign w:val="bottom"/>
          </w:tcPr>
          <w:p>
            <w:pPr>
              <w:spacing w:after="0"/>
              <w:rPr>
                <w:sz w:val="24"/>
                <w:szCs w:val="24"/>
                <w:color w:val="auto"/>
              </w:rPr>
            </w:pPr>
          </w:p>
        </w:tc>
        <w:tc>
          <w:tcPr>
            <w:tcW w:w="9960" w:type="dxa"/>
            <w:vAlign w:val="bottom"/>
          </w:tcPr>
          <w:p>
            <w:pPr>
              <w:spacing w:after="0"/>
              <w:rPr>
                <w:sz w:val="24"/>
                <w:szCs w:val="24"/>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40" w:type="dxa"/>
            <w:vAlign w:val="bottom"/>
            <w:gridSpan w:val="2"/>
          </w:tcPr>
          <w:p>
            <w:pPr>
              <w:ind w:left="200"/>
              <w:spacing w:after="0"/>
              <w:rPr>
                <w:sz w:val="20"/>
                <w:szCs w:val="20"/>
                <w:color w:val="auto"/>
              </w:rPr>
            </w:pPr>
            <w:r>
              <w:rPr>
                <w:rFonts w:ascii="Arial" w:cs="Arial" w:eastAsia="Arial" w:hAnsi="Arial"/>
                <w:sz w:val="18"/>
                <w:szCs w:val="18"/>
                <w:b w:val="1"/>
                <w:bCs w:val="1"/>
                <w:color w:val="auto"/>
              </w:rPr>
              <w:t>Exhibits</w:t>
            </w:r>
          </w:p>
        </w:tc>
      </w:tr>
      <w:tr>
        <w:trPr>
          <w:trHeight w:val="365"/>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tcPr>
          <w:p>
            <w:pPr>
              <w:spacing w:after="0"/>
              <w:rPr>
                <w:sz w:val="24"/>
                <w:szCs w:val="24"/>
                <w:color w:val="auto"/>
              </w:rPr>
            </w:pPr>
          </w:p>
        </w:tc>
        <w:tc>
          <w:tcPr>
            <w:tcW w:w="9960" w:type="dxa"/>
            <w:vAlign w:val="bottom"/>
            <w:tcBorders>
              <w:bottom w:val="single" w:sz="8" w:color="auto"/>
            </w:tcBorders>
          </w:tcPr>
          <w:p>
            <w:pPr>
              <w:ind w:left="462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180" w:type="dxa"/>
            <w:vAlign w:val="bottom"/>
          </w:tcPr>
          <w:p>
            <w:pPr>
              <w:spacing w:after="0"/>
              <w:rPr>
                <w:sz w:val="20"/>
                <w:szCs w:val="20"/>
                <w:color w:val="auto"/>
              </w:rPr>
            </w:pPr>
            <w:r>
              <w:rPr>
                <w:rFonts w:ascii="Arial" w:cs="Arial" w:eastAsia="Arial" w:hAnsi="Arial"/>
                <w:sz w:val="18"/>
                <w:szCs w:val="18"/>
                <w:color w:val="auto"/>
              </w:rPr>
              <w:t>31.1</w:t>
            </w:r>
          </w:p>
        </w:tc>
        <w:tc>
          <w:tcPr>
            <w:tcW w:w="10240" w:type="dxa"/>
            <w:vAlign w:val="bottom"/>
            <w:gridSpan w:val="2"/>
          </w:tcPr>
          <w:p>
            <w:pPr>
              <w:ind w:left="280"/>
              <w:spacing w:after="0"/>
              <w:rPr>
                <w:sz w:val="20"/>
                <w:szCs w:val="20"/>
                <w:color w:val="auto"/>
              </w:rPr>
            </w:pPr>
            <w:r>
              <w:rPr>
                <w:rFonts w:ascii="Arial" w:cs="Arial" w:eastAsia="Arial" w:hAnsi="Arial"/>
                <w:sz w:val="18"/>
                <w:szCs w:val="18"/>
                <w:color w:val="auto"/>
              </w:rPr>
              <w:t>Certification of Chief Executive Officer pursuant to Rule 13a-14(a) under the Securities Exchange Act of 1934.</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31.2</w:t>
            </w:r>
          </w:p>
        </w:tc>
        <w:tc>
          <w:tcPr>
            <w:tcW w:w="10240" w:type="dxa"/>
            <w:vAlign w:val="bottom"/>
            <w:gridSpan w:val="2"/>
          </w:tcPr>
          <w:p>
            <w:pPr>
              <w:ind w:left="280"/>
              <w:spacing w:after="0"/>
              <w:rPr>
                <w:sz w:val="20"/>
                <w:szCs w:val="20"/>
                <w:color w:val="auto"/>
              </w:rPr>
            </w:pPr>
            <w:r>
              <w:rPr>
                <w:rFonts w:ascii="Arial" w:cs="Arial" w:eastAsia="Arial" w:hAnsi="Arial"/>
                <w:sz w:val="18"/>
                <w:szCs w:val="18"/>
                <w:color w:val="auto"/>
              </w:rPr>
              <w:t>Certification of Chief Financial Officer pursuant to Rule 13a-14(a) under the Securities Exchange Act of 1934.</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10240" w:type="dxa"/>
            <w:vAlign w:val="bottom"/>
            <w:gridSpan w:val="2"/>
          </w:tcPr>
          <w:p>
            <w:pPr>
              <w:ind w:left="28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101.INS</w:t>
            </w:r>
          </w:p>
        </w:tc>
        <w:tc>
          <w:tcPr>
            <w:tcW w:w="10240" w:type="dxa"/>
            <w:vAlign w:val="bottom"/>
            <w:gridSpan w:val="2"/>
          </w:tcPr>
          <w:p>
            <w:pPr>
              <w:ind w:left="280"/>
              <w:spacing w:after="0"/>
              <w:rPr>
                <w:sz w:val="20"/>
                <w:szCs w:val="20"/>
                <w:color w:val="auto"/>
              </w:rPr>
            </w:pPr>
            <w:r>
              <w:rPr>
                <w:rFonts w:ascii="Arial" w:cs="Arial" w:eastAsia="Arial" w:hAnsi="Arial"/>
                <w:sz w:val="18"/>
                <w:szCs w:val="18"/>
                <w:color w:val="auto"/>
              </w:rPr>
              <w:t>XBRL Instance Document</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101.SCH</w:t>
            </w:r>
          </w:p>
        </w:tc>
        <w:tc>
          <w:tcPr>
            <w:tcW w:w="10240" w:type="dxa"/>
            <w:vAlign w:val="bottom"/>
            <w:gridSpan w:val="2"/>
          </w:tcPr>
          <w:p>
            <w:pPr>
              <w:ind w:left="280"/>
              <w:spacing w:after="0"/>
              <w:rPr>
                <w:sz w:val="20"/>
                <w:szCs w:val="20"/>
                <w:color w:val="auto"/>
              </w:rPr>
            </w:pPr>
            <w:r>
              <w:rPr>
                <w:rFonts w:ascii="Arial" w:cs="Arial" w:eastAsia="Arial" w:hAnsi="Arial"/>
                <w:sz w:val="18"/>
                <w:szCs w:val="18"/>
                <w:color w:val="auto"/>
              </w:rPr>
              <w:t>XBRL Schema Document</w:t>
            </w:r>
          </w:p>
        </w:tc>
      </w:tr>
    </w:tbl>
    <w:p>
      <w:pPr>
        <w:sectPr>
          <w:pgSz w:w="11900" w:h="16838" w:orient="portrait"/>
          <w:cols w:equalWidth="0" w:num="1">
            <w:col w:w="11420"/>
          </w:cols>
          <w:pgMar w:left="240" w:top="341" w:right="2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3300" w:type="dxa"/>
            <w:vAlign w:val="bottom"/>
          </w:tcPr>
          <w:p>
            <w:pPr>
              <w:ind w:left="380"/>
              <w:spacing w:after="0"/>
              <w:rPr>
                <w:sz w:val="20"/>
                <w:szCs w:val="20"/>
                <w:color w:val="auto"/>
              </w:rPr>
            </w:pPr>
            <w:r>
              <w:rPr>
                <w:rFonts w:ascii="Arial" w:cs="Arial" w:eastAsia="Arial" w:hAnsi="Arial"/>
                <w:sz w:val="18"/>
                <w:szCs w:val="18"/>
                <w:color w:val="auto"/>
                <w:w w:val="95"/>
              </w:rPr>
              <w:t>XBRL Calculation Linkbase Document</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3300" w:type="dxa"/>
            <w:vAlign w:val="bottom"/>
          </w:tcPr>
          <w:p>
            <w:pPr>
              <w:ind w:left="380"/>
              <w:spacing w:after="0"/>
              <w:rPr>
                <w:sz w:val="20"/>
                <w:szCs w:val="20"/>
                <w:color w:val="auto"/>
              </w:rPr>
            </w:pPr>
            <w:r>
              <w:rPr>
                <w:rFonts w:ascii="Arial" w:cs="Arial" w:eastAsia="Arial" w:hAnsi="Arial"/>
                <w:sz w:val="18"/>
                <w:szCs w:val="18"/>
                <w:color w:val="auto"/>
              </w:rPr>
              <w:t>XBRL Labels Linkbase Document</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3300" w:type="dxa"/>
            <w:vAlign w:val="bottom"/>
          </w:tcPr>
          <w:p>
            <w:pPr>
              <w:ind w:left="380"/>
              <w:spacing w:after="0"/>
              <w:rPr>
                <w:sz w:val="20"/>
                <w:szCs w:val="20"/>
                <w:color w:val="auto"/>
              </w:rPr>
            </w:pPr>
            <w:r>
              <w:rPr>
                <w:rFonts w:ascii="Arial" w:cs="Arial" w:eastAsia="Arial" w:hAnsi="Arial"/>
                <w:sz w:val="18"/>
                <w:szCs w:val="18"/>
                <w:color w:val="auto"/>
                <w:w w:val="91"/>
              </w:rPr>
              <w:t>XBRL Presentation Linkbase Document</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3300" w:type="dxa"/>
            <w:vAlign w:val="bottom"/>
          </w:tcPr>
          <w:p>
            <w:pPr>
              <w:ind w:left="380"/>
              <w:spacing w:after="0"/>
              <w:rPr>
                <w:sz w:val="20"/>
                <w:szCs w:val="20"/>
                <w:color w:val="auto"/>
              </w:rPr>
            </w:pPr>
            <w:r>
              <w:rPr>
                <w:rFonts w:ascii="Arial" w:cs="Arial" w:eastAsia="Arial" w:hAnsi="Arial"/>
                <w:sz w:val="18"/>
                <w:szCs w:val="18"/>
                <w:color w:val="auto"/>
                <w:w w:val="99"/>
              </w:rPr>
              <w:t>XBRL Definition Linkbase Document</w:t>
            </w:r>
          </w:p>
        </w:tc>
      </w:tr>
    </w:tbl>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MISTRAS GROUP, INC.</w:t>
      </w:r>
    </w:p>
    <w:p>
      <w:pPr>
        <w:spacing w:after="0" w:line="229" w:lineRule="exact"/>
        <w:rPr>
          <w:sz w:val="20"/>
          <w:szCs w:val="20"/>
          <w:color w:val="auto"/>
        </w:rPr>
      </w:pPr>
    </w:p>
    <w:p>
      <w:pPr>
        <w:jc w:val="center"/>
        <w:ind w:left="5560"/>
        <w:spacing w:after="0"/>
        <w:tabs>
          <w:tab w:leader="none" w:pos="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FRANCIS T. JOYCE</w:t>
      </w:r>
    </w:p>
    <w:p>
      <w:pPr>
        <w:spacing w:after="0" w:line="23" w:lineRule="exact"/>
        <w:rPr>
          <w:sz w:val="20"/>
          <w:szCs w:val="20"/>
          <w:color w:val="auto"/>
        </w:rPr>
      </w:pPr>
    </w:p>
    <w:p>
      <w:pPr>
        <w:jc w:val="center"/>
        <w:ind w:left="2700"/>
        <w:spacing w:after="0"/>
        <w:rPr>
          <w:sz w:val="20"/>
          <w:szCs w:val="20"/>
          <w:color w:val="auto"/>
        </w:rPr>
      </w:pPr>
      <w:r>
        <w:rPr>
          <w:rFonts w:ascii="Arial" w:cs="Arial" w:eastAsia="Arial" w:hAnsi="Arial"/>
          <w:sz w:val="18"/>
          <w:szCs w:val="18"/>
          <w:color w:val="auto"/>
        </w:rPr>
        <w:t>Francis T.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 w:lineRule="exact"/>
        <w:rPr>
          <w:sz w:val="20"/>
          <w:szCs w:val="20"/>
          <w:color w:val="auto"/>
        </w:rPr>
      </w:pPr>
    </w:p>
    <w:p>
      <w:pPr>
        <w:ind w:left="6480"/>
        <w:spacing w:after="0"/>
        <w:rPr>
          <w:sz w:val="20"/>
          <w:szCs w:val="20"/>
          <w:color w:val="auto"/>
        </w:rPr>
      </w:pPr>
      <w:r>
        <w:rPr>
          <w:rFonts w:ascii="Arial" w:cs="Arial" w:eastAsia="Arial" w:hAnsi="Arial"/>
          <w:sz w:val="16"/>
          <w:szCs w:val="16"/>
          <w:color w:val="auto"/>
        </w:rPr>
        <w:t>Executive Vice President, Chief Financial Officer and Treasurer</w:t>
      </w:r>
    </w:p>
    <w:p>
      <w:pPr>
        <w:spacing w:after="0" w:line="32"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Financial Officer and duly authorized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9, 2013</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80"/>
          </w:cols>
          <w:pgMar w:left="240" w:top="341" w:right="57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Sotirios J. Vahaviolos, certify that:</w:t>
      </w:r>
    </w:p>
    <w:p>
      <w:pPr>
        <w:spacing w:after="0" w:line="22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225" w:lineRule="exact"/>
        <w:rPr>
          <w:rFonts w:ascii="Arial" w:cs="Arial" w:eastAsia="Arial" w:hAnsi="Arial"/>
          <w:sz w:val="18"/>
          <w:szCs w:val="18"/>
          <w:color w:val="auto"/>
        </w:rPr>
      </w:pPr>
    </w:p>
    <w:p>
      <w:pPr>
        <w:jc w:val="both"/>
        <w:ind w:left="660" w:right="280" w:hanging="652"/>
        <w:spacing w:after="0" w:line="264" w:lineRule="auto"/>
        <w:tabs>
          <w:tab w:leader="none" w:pos="6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5"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2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8"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652"/>
        <w:spacing w:after="0" w:line="342" w:lineRule="auto"/>
        <w:tabs>
          <w:tab w:leader="none" w:pos="66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40" w:hanging="644"/>
        <w:spacing w:after="0" w:line="342" w:lineRule="auto"/>
        <w:tabs>
          <w:tab w:leader="none" w:pos="1294"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9, 2013</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Sotirios J. Vahaviolos</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-130810</wp:posOffset>
            </wp:positionV>
            <wp:extent cx="35077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Francis T. Joyce, certify that:</w:t>
      </w:r>
    </w:p>
    <w:p>
      <w:pPr>
        <w:spacing w:after="0" w:line="22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225" w:lineRule="exact"/>
        <w:rPr>
          <w:rFonts w:ascii="Arial" w:cs="Arial" w:eastAsia="Arial" w:hAnsi="Arial"/>
          <w:sz w:val="18"/>
          <w:szCs w:val="18"/>
          <w:color w:val="auto"/>
        </w:rPr>
      </w:pPr>
    </w:p>
    <w:p>
      <w:pPr>
        <w:jc w:val="both"/>
        <w:ind w:left="660" w:right="280" w:hanging="652"/>
        <w:spacing w:after="0" w:line="264" w:lineRule="auto"/>
        <w:tabs>
          <w:tab w:leader="none" w:pos="6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5"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29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8"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652"/>
        <w:spacing w:after="0" w:line="342" w:lineRule="auto"/>
        <w:tabs>
          <w:tab w:leader="none" w:pos="66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40" w:hanging="644"/>
        <w:spacing w:after="0" w:line="342" w:lineRule="auto"/>
        <w:tabs>
          <w:tab w:leader="none" w:pos="1294"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9, 2013</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Francis T. Joyce</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Francis T.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-130810</wp:posOffset>
            </wp:positionV>
            <wp:extent cx="35077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2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February 28, 2013 (the “Report”), fully complies with the requirements of Section 13(a) of the Securities Exchange Act of 1934 and that the information contained in such report fairly presents, in all material respects, the financial condition and results of operations of the Company. This written statement is being furnished to the Securities and Exchange Commission as an exhibit to the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April 9, 2013</w:t>
      </w:r>
    </w:p>
    <w:p>
      <w:pPr>
        <w:spacing w:after="0" w:line="200" w:lineRule="exact"/>
        <w:rPr>
          <w:sz w:val="20"/>
          <w:szCs w:val="20"/>
          <w:color w:val="auto"/>
        </w:rPr>
      </w:pPr>
    </w:p>
    <w:p>
      <w:pPr>
        <w:spacing w:after="0" w:line="24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Sotirios J. Vahaviolos</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-130810</wp:posOffset>
            </wp:positionV>
            <wp:extent cx="35077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Francis T. Joyce</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Francis T.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-130810</wp:posOffset>
            </wp:positionV>
            <wp:extent cx="35077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o"/>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1."/>
      <w:numFmt w:val="decimal"/>
      <w:start w:val="3"/>
    </w:lvl>
  </w:abstractNum>
  <w:abstractNum w:abstractNumId="4">
    <w:nsid w:val="1F16E9E8"/>
    <w:multiLevelType w:val="hybridMultilevel"/>
    <w:lvl w:ilvl="0">
      <w:lvlJc w:val="left"/>
      <w:lvlText w:val="%1."/>
      <w:numFmt w:val="decimal"/>
      <w:start w:val="4"/>
    </w:lvl>
  </w:abstractNum>
  <w:abstractNum w:abstractNumId="5">
    <w:nsid w:val="1190CDE7"/>
    <w:multiLevelType w:val="hybridMultilevel"/>
    <w:lvl w:ilvl="0">
      <w:lvlJc w:val="left"/>
      <w:lvlText w:val="%1."/>
      <w:numFmt w:val="decimal"/>
      <w:start w:val="5"/>
    </w:lvl>
  </w:abstractNum>
  <w:abstractNum w:abstractNumId="6">
    <w:nsid w:val="66EF438D"/>
    <w:multiLevelType w:val="hybridMultilevel"/>
    <w:lvl w:ilvl="0">
      <w:lvlJc w:val="left"/>
      <w:lvlText w:val="%1."/>
      <w:numFmt w:val="decimal"/>
      <w:start w:val="9"/>
    </w:lvl>
  </w:abstractNum>
  <w:abstractNum w:abstractNumId="7">
    <w:nsid w:val="140E0F76"/>
    <w:multiLevelType w:val="hybridMultilevel"/>
    <w:lvl w:ilvl="0">
      <w:lvlJc w:val="left"/>
      <w:lvlText w:val="(%1)"/>
      <w:numFmt w:val="lowerLetter"/>
      <w:start w:val="7"/>
    </w:lvl>
  </w:abstractNum>
  <w:abstractNum w:abstractNumId="8">
    <w:nsid w:val="3352255A"/>
    <w:multiLevelType w:val="hybridMultilevel"/>
    <w:lvl w:ilvl="0">
      <w:lvlJc w:val="left"/>
      <w:lvlText w:val="%1."/>
      <w:numFmt w:val="decimal"/>
      <w:start w:val="11"/>
    </w:lvl>
  </w:abstractNum>
  <w:abstractNum w:abstractNumId="9">
    <w:nsid w:val="109CF92E"/>
    <w:multiLevelType w:val="hybridMultilevel"/>
    <w:lvl w:ilvl="0">
      <w:lvlJc w:val="left"/>
      <w:lvlText w:val="%1."/>
      <w:numFmt w:val="decimal"/>
      <w:start w:val="12"/>
    </w:lvl>
  </w:abstractNum>
  <w:abstractNum w:abstractNumId="10">
    <w:nsid w:val="DED7263"/>
    <w:multiLevelType w:val="hybridMultilevel"/>
    <w:lvl w:ilvl="0">
      <w:lvlJc w:val="left"/>
      <w:lvlText w:val="%1."/>
      <w:numFmt w:val="decimal"/>
      <w:start w:val="13"/>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lowerLetter"/>
      <w:start w:val="4"/>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2019-12-07T18:59:20Z</dcterms:created>
  <dcterms:modified xsi:type="dcterms:W3CDTF">2019-12-07T18:59:20Z</dcterms:modified>
</cp:coreProperties>
</file>