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4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August 31, 2013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2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400" w:type="dxa"/>
            <w:vAlign w:val="bottom"/>
            <w:gridSpan w:val="3"/>
          </w:tcPr>
          <w:p>
            <w:pPr>
              <w:ind w:left="2740"/>
              <w:spacing w:after="0"/>
              <w:rPr>
                <w:sz w:val="20"/>
                <w:szCs w:val="20"/>
                <w:color w:val="auto"/>
              </w:rPr>
            </w:pPr>
            <w:r>
              <w:rPr>
                <w:rFonts w:ascii="Arial" w:cs="Arial" w:eastAsia="Arial" w:hAnsi="Arial"/>
                <w:sz w:val="18"/>
                <w:szCs w:val="18"/>
                <w:b w:val="1"/>
                <w:bCs w:val="1"/>
                <w:color w:val="auto"/>
              </w:rPr>
              <w:t>For the transition period to</w:t>
            </w:r>
          </w:p>
        </w:tc>
        <w:tc>
          <w:tcPr>
            <w:tcW w:w="152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35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Commission file number 001- 34481</w:t>
            </w:r>
          </w:p>
        </w:tc>
        <w:tc>
          <w:tcPr>
            <w:tcW w:w="1520" w:type="dxa"/>
            <w:vAlign w:val="bottom"/>
          </w:tcPr>
          <w:p>
            <w:pPr>
              <w:spacing w:after="0"/>
              <w:rPr>
                <w:sz w:val="24"/>
                <w:szCs w:val="24"/>
                <w:color w:val="auto"/>
              </w:rPr>
            </w:pPr>
          </w:p>
        </w:tc>
      </w:tr>
      <w:tr>
        <w:trPr>
          <w:trHeight w:val="324"/>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8"/>
        </w:trPr>
        <w:tc>
          <w:tcPr>
            <w:tcW w:w="2900" w:type="dxa"/>
            <w:vAlign w:val="bottom"/>
          </w:tcPr>
          <w:p>
            <w:pPr>
              <w:spacing w:after="0"/>
              <w:rPr>
                <w:sz w:val="24"/>
                <w:szCs w:val="24"/>
                <w:color w:val="auto"/>
              </w:rPr>
            </w:pPr>
          </w:p>
        </w:tc>
        <w:tc>
          <w:tcPr>
            <w:tcW w:w="3500" w:type="dxa"/>
            <w:vAlign w:val="bottom"/>
            <w:gridSpan w:val="2"/>
          </w:tcPr>
          <w:p>
            <w:pPr>
              <w:jc w:val="center"/>
              <w:ind w:right="640"/>
              <w:spacing w:after="0"/>
              <w:rPr>
                <w:sz w:val="20"/>
                <w:szCs w:val="20"/>
                <w:color w:val="auto"/>
              </w:rPr>
            </w:pPr>
            <w:r>
              <w:rPr>
                <w:rFonts w:ascii="Arial" w:cs="Arial" w:eastAsia="Arial" w:hAnsi="Arial"/>
                <w:sz w:val="32"/>
                <w:szCs w:val="32"/>
                <w:b w:val="1"/>
                <w:bCs w:val="1"/>
                <w:color w:val="auto"/>
                <w:w w:val="94"/>
              </w:rPr>
              <w:t>Mistras Group, Inc.</w:t>
            </w: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324"/>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9"/>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57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0"/>
              </w:rPr>
              <w:t>(609) 716-4000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20"/>
          </w:cols>
          <w:pgMar w:left="240" w:top="233" w:right="339" w:bottom="0" w:gutter="0" w:footer="0" w:header="0"/>
        </w:sectPr>
      </w:pPr>
    </w:p>
    <w:p>
      <w:pPr>
        <w:spacing w:after="0" w:line="222"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ind w:left="12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680" w:space="720"/>
            <w:col w:w="3920"/>
          </w:cols>
          <w:pgMar w:left="240" w:top="233" w:right="33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October 1, 2013, the registrant had 28,375,135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20"/>
          </w:cols>
          <w:pgMar w:left="240" w:top="233"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18"/>
        </w:trPr>
        <w:tc>
          <w:tcPr>
            <w:tcW w:w="298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440" w:type="dxa"/>
            <w:vAlign w:val="bottom"/>
            <w:gridSpan w:val="13"/>
          </w:tcPr>
          <w:p>
            <w:pPr>
              <w:spacing w:after="0"/>
              <w:rPr>
                <w:sz w:val="24"/>
                <w:szCs w:val="24"/>
                <w:color w:val="auto"/>
              </w:rPr>
            </w:pPr>
          </w:p>
        </w:tc>
        <w:tc>
          <w:tcPr>
            <w:tcW w:w="1000" w:type="dxa"/>
            <w:vAlign w:val="bottom"/>
          </w:tcPr>
          <w:p>
            <w:pPr>
              <w:spacing w:after="0"/>
              <w:rPr>
                <w:sz w:val="24"/>
                <w:szCs w:val="24"/>
                <w:color w:val="auto"/>
              </w:rPr>
            </w:pPr>
          </w:p>
        </w:tc>
      </w:tr>
      <w:tr>
        <w:trPr>
          <w:trHeight w:val="412"/>
        </w:trPr>
        <w:tc>
          <w:tcPr>
            <w:tcW w:w="62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5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Condensed Consolidated Balance Sheets as of August 31, 2013 and May 31, 201</w:t>
              </w:r>
            </w:hyperlink>
            <w:r>
              <w:rPr>
                <w:rFonts w:ascii="Arial" w:cs="Arial" w:eastAsia="Arial" w:hAnsi="Arial"/>
                <w:sz w:val="18"/>
                <w:szCs w:val="18"/>
                <w:color w:val="000000"/>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Unaudited Condensed Consolidated Statements of Income for the three months ended August 31, 2013 and 2012</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Condensed Consolidated Statements of Comprehensive Income for the three months ended August 31,</w:t>
              </w:r>
            </w:hyperlink>
          </w:p>
        </w:tc>
        <w:tc>
          <w:tcPr>
            <w:tcW w:w="100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2013 and 2012</w:t>
              </w:r>
            </w:hyperlink>
          </w:p>
        </w:tc>
        <w:tc>
          <w:tcPr>
            <w:tcW w:w="38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Cash Flows for the three months ended August 31, 2013 and 2012</w:t>
              </w:r>
            </w:hyperlink>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Unaudited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ITEM 2.</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3.</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4.</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42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II—OTHER INFORMATION</w:t>
              </w:r>
            </w:hyperlink>
          </w:p>
        </w:tc>
        <w:tc>
          <w:tcPr>
            <w:tcW w:w="100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1.</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8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2.</w:t>
              </w:r>
            </w:hyperlink>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3.</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4.</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5.</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72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6.</w:t>
              </w:r>
            </w:hyperlink>
          </w:p>
        </w:tc>
        <w:tc>
          <w:tcPr>
            <w:tcW w:w="60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6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31, 2013</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Assets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106,258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137,688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68,076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50,560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assets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44,875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6,945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69,403</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72,216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45,495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11,278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17,054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28,375,135 and 28,210,862 shares issued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as of August 31, 2013 and May 31, 2013, respectively</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196,377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24,623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(4,717)</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216,787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372,668</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August 31,</w:t>
            </w:r>
          </w:p>
        </w:tc>
      </w:tr>
      <w:tr>
        <w:trPr>
          <w:trHeight w:val="142"/>
        </w:trPr>
        <w:tc>
          <w:tcPr>
            <w:tcW w:w="83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128,342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99,225</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14,162</w:t>
            </w:r>
          </w:p>
        </w:tc>
      </w:tr>
      <w:tr>
        <w:trPr>
          <w:trHeight w:val="21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100" w:type="dxa"/>
            <w:vAlign w:val="bottom"/>
            <w:tcBorders>
              <w:bottom w:val="single" w:sz="8" w:color="CCEEFF"/>
            </w:tcBorders>
          </w:tcPr>
          <w:p>
            <w:pPr>
              <w:spacing w:after="0"/>
              <w:rPr>
                <w:sz w:val="18"/>
                <w:szCs w:val="18"/>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88,624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70,516</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79,670</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23,492</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0"/>
        </w:trPr>
        <w:tc>
          <w:tcPr>
            <w:tcW w:w="83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10"/>
        </w:trPr>
        <w:tc>
          <w:tcPr>
            <w:tcW w:w="83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r>
      <w:tr>
        <w:trPr>
          <w:trHeight w:val="210"/>
        </w:trPr>
        <w:tc>
          <w:tcPr>
            <w:tcW w:w="8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5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Mistras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tcPr>
          <w:p>
            <w:pPr>
              <w:spacing w:after="0"/>
              <w:rPr>
                <w:sz w:val="21"/>
                <w:szCs w:val="21"/>
                <w:color w:val="auto"/>
              </w:rPr>
            </w:pPr>
          </w:p>
        </w:tc>
      </w:tr>
      <w:tr>
        <w:trPr>
          <w:trHeight w:val="170"/>
        </w:trPr>
        <w:tc>
          <w:tcPr>
            <w:tcW w:w="8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28,045</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29,109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65" w:orient="portrait"/>
          <w:cols w:equalWidth="0" w:num="1">
            <w:col w:w="11420"/>
          </w:cols>
          <w:pgMar w:left="240" w:top="125" w:right="239" w:bottom="0" w:gutter="0" w:footer="0" w:header="0"/>
        </w:sectPr>
      </w:pPr>
    </w:p>
    <w:p>
      <w:pPr>
        <w:spacing w:after="0" w:line="20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6350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8220"/>
        <w:spacing w:after="0"/>
        <w:tabs>
          <w:tab w:leader="none" w:pos="10240" w:val="left"/>
        </w:tabs>
        <w:rPr>
          <w:sz w:val="20"/>
          <w:szCs w:val="20"/>
          <w:color w:val="auto"/>
        </w:rPr>
      </w:pPr>
      <w:r>
        <w:rPr>
          <w:rFonts w:ascii="Arial" w:cs="Arial" w:eastAsia="Arial" w:hAnsi="Arial"/>
          <w:sz w:val="13"/>
          <w:szCs w:val="13"/>
          <w:b w:val="1"/>
          <w:bCs w:val="1"/>
          <w:color w:val="auto"/>
        </w:rPr>
        <w:t>2013</w:t>
      </w:r>
      <w:r>
        <w:rPr>
          <w:sz w:val="20"/>
          <w:szCs w:val="20"/>
          <w:color w:val="auto"/>
        </w:rPr>
        <w:tab/>
      </w:r>
      <w:r>
        <w:rPr>
          <w:rFonts w:ascii="Arial" w:cs="Arial" w:eastAsia="Arial" w:hAnsi="Arial"/>
          <w:sz w:val="13"/>
          <w:szCs w:val="13"/>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5" w:orient="portrait"/>
          <w:cols w:equalWidth="0" w:num="1">
            <w:col w:w="11420"/>
          </w:cols>
          <w:pgMar w:left="240" w:top="12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attributable to Mistras Group, Inc.</w:t>
            </w: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Three months ended August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5,635</w:t>
            </w:r>
          </w:p>
        </w:tc>
        <w:tc>
          <w:tcPr>
            <w:tcW w:w="140" w:type="dxa"/>
            <w:vAlign w:val="bottom"/>
          </w:tcPr>
          <w:p>
            <w:pPr>
              <w:spacing w:after="0"/>
              <w:rPr>
                <w:sz w:val="18"/>
                <w:szCs w:val="18"/>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sale of assets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Fair value adjustment to contingent consideration liabilities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(gain) loss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16,240</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(2,762)</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(6,372)</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r>
      <w:tr>
        <w:trPr>
          <w:trHeight w:val="21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21,546</w:t>
            </w:r>
          </w:p>
        </w:tc>
        <w:tc>
          <w:tcPr>
            <w:tcW w:w="100" w:type="dxa"/>
            <w:vAlign w:val="bottom"/>
            <w:tcBorders>
              <w:bottom w:val="single" w:sz="8" w:color="CCEEFF"/>
            </w:tcBorders>
          </w:tcPr>
          <w:p>
            <w:pPr>
              <w:spacing w:after="0"/>
              <w:rPr>
                <w:sz w:val="18"/>
                <w:szCs w:val="18"/>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(2,714)</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(repayments) against current revolver</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(15,000)</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Excess tax benefit from stock compensation</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(10,069)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(19,786)</w:t>
            </w:r>
          </w:p>
        </w:tc>
        <w:tc>
          <w:tcPr>
            <w:tcW w:w="100" w:type="dxa"/>
            <w:vAlign w:val="bottom"/>
            <w:tcBorders>
              <w:bottom w:val="single" w:sz="8" w:color="CCEEFF"/>
            </w:tcBorders>
          </w:tcPr>
          <w:p>
            <w:pPr>
              <w:spacing w:after="0"/>
              <w:rPr>
                <w:sz w:val="18"/>
                <w:szCs w:val="18"/>
                <w:color w:val="auto"/>
              </w:rPr>
            </w:pPr>
          </w:p>
        </w:tc>
      </w:tr>
      <w:tr>
        <w:trPr>
          <w:trHeight w:val="21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8,410</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880" w:type="dxa"/>
            <w:vAlign w:val="bottom"/>
            <w:gridSpan w:val="2"/>
            <w:shd w:val="clear" w:color="auto" w:fill="CCEEFF"/>
          </w:tcPr>
          <w:p>
            <w:pPr>
              <w:jc w:val="right"/>
              <w:ind w:right="8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108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8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18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2,475</w:t>
            </w:r>
          </w:p>
        </w:tc>
        <w:tc>
          <w:tcPr>
            <w:tcW w:w="140" w:type="dxa"/>
            <w:vAlign w:val="bottom"/>
          </w:tcPr>
          <w:p>
            <w:pPr>
              <w:spacing w:after="0"/>
              <w:rPr>
                <w:sz w:val="20"/>
                <w:szCs w:val="20"/>
                <w:color w:val="auto"/>
              </w:rPr>
            </w:pPr>
          </w:p>
        </w:tc>
        <w:tc>
          <w:tcPr>
            <w:tcW w:w="10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ectPr>
          <w:pgSz w:w="11900" w:h="16838" w:orient="portrait"/>
          <w:cols w:equalWidth="0" w:num="1">
            <w:col w:w="11420"/>
          </w:cols>
          <w:pgMar w:left="240" w:top="140" w:right="239" w:bottom="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services, destructive testing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2014 and 2013.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2013, as filed with the Securities and Exchange Commission on August 14,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Where the Company’s ownership interest is less than 100%, the noncontrolling interests are reported in stockholders’ equity in the accompanying consolidated balance sheets. The noncontrolling interests in operating results, net of tax, is classified separately in the accompanying consolidated statements of income.</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Accordingly, the Company’s International segment subsidiaries are consolidated on a one-month lag. Therefore, in the fiscal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as of or for any period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For the three months ended August 31, 2013, the Company reclassified $0.3 million related to interest accretion imputed on its acquisition-related contingent consideration liabilities from interest expense to acquisition-related expense, net, which is a component of income from operations. See Note 4 —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for further discussion with regards to acquisition related expense, net.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Our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our Annual Report. On an ongoing basis, we evaluate our estimates and assumptions, including, among other things those related to revenue recognition, valuations of accounts receivable, long-lived assets, goodwill, deferred tax assets and uncertain tax positions. Since the date of our Annual Report, there have been no material changes to our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2013, the FASB issued Accounting Standard Update (ASU) 2013-02, Reporting of Amounts Reclassified Out of Accumulated Other Comprehensive Income, which expands the disclosure requirements for amounts reclassified out of accumulated other comprehensive income. The update requires an entity to present either parenthetically on the face of the financial statement where net income is presented or in the notes to the financial statements, the effect of significant items reclassified in their entirety from accumulated other comprehensive income and identification of the respective line items effecting net income for instances when reclassification is required under GAAP. For items that are not required by GAAP to be reclassified in their entirety to net income, an entity is required to cross-reference to other disclosures as required by GAAP. The update 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w:t>
      </w:r>
    </w:p>
    <w:p>
      <w:pPr>
        <w:sectPr>
          <w:pgSz w:w="11900" w:h="16838" w:orient="portrait"/>
          <w:cols w:equalWidth="0" w:num="1">
            <w:col w:w="11400"/>
          </w:cols>
          <w:pgMar w:left="240" w:top="121" w:right="259" w:bottom="41" w:gutter="0" w:footer="0" w:header="0"/>
        </w:sectPr>
      </w:pPr>
    </w:p>
    <w:bookmarkStart w:id="5" w:name="page6"/>
    <w:bookmarkEnd w:id="5"/>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likely have a material impact on the Company’s current or future consolidated financial statements.</w:t>
      </w:r>
    </w:p>
    <w:p>
      <w:pPr>
        <w:spacing w:after="0" w:line="166"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recognized share-based compensation expense related to stock option awards of approximately $0.7 million and $0.8 million for three months ended August 31, 2013 and 2012, respectively. As of August 31, 2013, there was approximately $0.1 million of unrecognized compensation costs, net of estimated forfeitures, related to stock option awards, which are expected to be recognized over a remaining weighted average period of 1.2 years. Cash proceeds from, and the aggregate intrinsic value of, stock options exercised during the three months ended August 31, 2013 and 2012 were as follows:</w:t>
      </w:r>
    </w:p>
    <w:p>
      <w:pPr>
        <w:spacing w:after="0" w:line="146"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6350</wp:posOffset>
            </wp:positionV>
            <wp:extent cx="1912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5780"/>
        <w:spacing w:after="0"/>
        <w:tabs>
          <w:tab w:leader="none" w:pos="74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-3175</wp:posOffset>
            </wp:positionV>
            <wp:extent cx="1912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w:t>
            </w: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326</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August 31, 2013 or August 31, 2012.</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recognized approximately $0.8 million and $0.6 million in share-based compensation expense related to restricted stock unit awards during the first quarter of fiscal 2014 and 2013, respectively. As of August 31, 2013, there was approximately $11.1 million of unrecognized compensation costs, net of estimated forfeitures, related to restricted stock unit awards, which are expected to be recognized over a remaining weighted average period of 2.9 years.</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the first quarter of fiscal 2014 and 2013 respectively, the Company granted approximately 10,000 and 13,000 shares of fully-vested common stock to its five non-employee directors, in connection with its non-employee director compensation plan. These shares had a grant date fair value of approximately $0.2 million and $0.3 million, respectively, which was recorded as share-based compensation expense during the quarter ended August 31, 2013 and 2012.</w:t>
      </w:r>
    </w:p>
    <w:p>
      <w:pPr>
        <w:spacing w:after="0" w:line="14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the first quarter of fiscal 2014 and 2013 respectively, approximately 175,000 and 123,000 restricted stock units vested. The fair value of these units was $3.2 million and $1.9 million, respectively. Upon vesting, restricted stock units are generally net share-settled to cover the required withholding tax and the remaining amount is converted into an equivalent number of shares of common stock. The restricted stock units that vested in the first quarters of fiscal 2014 and 2013 were net-share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settled such that the Company withheld shares with value equivalent to the employees’ minimum statutory obligation for the applicable income and other employment taxes, and remitted the cash to the appropriate taxing authorities. The Company withheld approximately 54,000 and 37,000 shares in the first quarter of fiscal 2014 and 2013, respectively. The shares withheld were based on the value of the restricted stock units on their vesting date as determined by the Company’s closing stock price. Total payments for the employees’ tax obligations to the taxing authorities were $1.0 million and $0.8 million and are reflected as a financing activity within the condensed consolidated statements of cash flows for the three months ended August 31, 2013 and 2012, respectively.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74"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stockholders by the weighted average number of shares outstanding during the period. Diluted earnings per share is computed by dividing net income attributable to stockholders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Numerator:</w:t>
            </w: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Mistras Group, Inc.</w:t>
            </w:r>
          </w:p>
        </w:tc>
        <w:tc>
          <w:tcPr>
            <w:tcW w:w="3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Denominator:</w:t>
            </w: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28,241</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28,045</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14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Net income attributable to Mistras Group, Inc.</w:t>
            </w:r>
          </w:p>
        </w:tc>
        <w:tc>
          <w:tcPr>
            <w:tcW w:w="300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5,641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28,241</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 outstanding</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effect of restricted stock units outstanding</w:t>
            </w:r>
          </w:p>
        </w:tc>
        <w:tc>
          <w:tcPr>
            <w:tcW w:w="2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29,109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months ended August 31, 2013, the Company incurred acquisition-related costs of $0.1 million in connection with due diligence, professional fees, and other expenses for certain fiscal 2014 acquisition activity. Additionally, the Company adjusted the fair value of certain acquisition-related contingent consideration liabilities. For the three months ended August 31, 2013, the adjustments resulted in a net decrease of approximately $2.2 million to the Company’s acquisition-related contingent consideration liabilities, which were approximately $13.0 million as of August 31, 2013 and recorded on the balance sheet in accrued expenses and other liabilities. These adjustments also resulted in a corresponding net increase to income from operations of approximately $2.2 million for the three months ended August 31, 2013. The fair value adjustments to acquisition-related contingent consideration liabilities and the acquisition-related transaction costs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have been classified as acquisition-related expense, net, in the statement of income for the three months ended August 31, 2013.</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the three months ended August 31, 2012, the Company incurred acquisition-related costs of $0.6 million in connection with due diligence, professional fees, and other expenses for its fiscal 2013 acquisition activity. Additionally, the Company adjusted the fair value of certain acquisition-related contingent consideration liabilities. For the three months ended August 31, 2012, the adjustments resulted in a net decrease of approximately $0.8 million to the Company’s acquisition-related contingent consideration liabilities, which were approximately $11.6 million as of August 31, 2012 and recorded on the balance sheet in accrued expenses and other liabilities. These adjustments also resulted in a corresponding net increase to income from operations of approximately $0.8 for the three months ended August 31, 2013. The Company recorded interest accretion related to its contingent consideration liabilities of $0.3 million for the three months ended August 31, 2012. The fair value adjustments to acquisition-related contingent consideration liabilities, related interest accretion and the acquisition-related transaction costs have been classified as acquisition-related expense, net, in the statement of operations for the three months ended August 31,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Interest accretion during the three months ended August 31, 2012 was previously recorded in interest expense.</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Company’s fiscal 2013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135,838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complete any acquisitions during the three months ended August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0"/>
                <w:szCs w:val="20"/>
                <w:color w:val="auto"/>
              </w:rPr>
            </w:pPr>
          </w:p>
        </w:tc>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3"/>
          </w:tcPr>
          <w:p>
            <w:pPr>
              <w:spacing w:after="0"/>
              <w:rPr>
                <w:sz w:val="20"/>
                <w:szCs w:val="20"/>
                <w:color w:val="auto"/>
              </w:rPr>
            </w:pPr>
            <w:r>
              <w:rPr>
                <w:rFonts w:ascii="Arial" w:cs="Arial" w:eastAsia="Arial" w:hAnsi="Arial"/>
                <w:sz w:val="18"/>
                <w:szCs w:val="18"/>
                <w:color w:val="auto"/>
              </w:rPr>
              <w:t>Accounts receivable consist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August 31,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108,224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110,438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412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Inventories, net</w:t>
            </w: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 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Services-related consumable supplies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40" w:type="dxa"/>
            <w:vAlign w:val="bottom"/>
            <w:vMerge w:val="restart"/>
          </w:tcPr>
          <w:p>
            <w:pPr>
              <w:jc w:val="right"/>
              <w:ind w:right="20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6480" w:type="dxa"/>
            <w:vAlign w:val="bottom"/>
          </w:tcPr>
          <w:p>
            <w:pPr>
              <w:ind w:left="560"/>
              <w:spacing w:after="0"/>
              <w:rPr>
                <w:sz w:val="20"/>
                <w:szCs w:val="20"/>
                <w:color w:val="auto"/>
              </w:rPr>
            </w:pPr>
            <w:r>
              <w:rPr>
                <w:rFonts w:ascii="Arial" w:cs="Arial" w:eastAsia="Arial" w:hAnsi="Arial"/>
                <w:sz w:val="18"/>
                <w:szCs w:val="18"/>
                <w:b w:val="1"/>
                <w:bCs w:val="1"/>
                <w:color w:val="auto"/>
              </w:rPr>
              <w:t>Property, Plant and Equipment, net</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Useful Life</w:t>
            </w:r>
          </w:p>
        </w:tc>
        <w:tc>
          <w:tcPr>
            <w:tcW w:w="14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August 31, 2013</w:t>
            </w:r>
          </w:p>
        </w:tc>
        <w:tc>
          <w:tcPr>
            <w:tcW w:w="1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2013</w:t>
            </w:r>
          </w:p>
        </w:tc>
      </w:tr>
      <w:tr>
        <w:trPr>
          <w:trHeight w:val="142"/>
        </w:trPr>
        <w:tc>
          <w:tcPr>
            <w:tcW w:w="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21,109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20,973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124,665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121,563</w:t>
            </w: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(85,385)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(81,603)</w:t>
            </w: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2013 and 2012 was approximately $4.6 million and $4.4 million,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31, 2013</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2,840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workers’ compensation and health benefits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Total</w:t>
            </w:r>
          </w:p>
        </w:tc>
        <w:tc>
          <w:tcPr>
            <w:tcW w:w="6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5500" w:type="dxa"/>
            <w:vAlign w:val="bottom"/>
          </w:tcPr>
          <w:p>
            <w:pPr>
              <w:ind w:left="500"/>
              <w:spacing w:after="0"/>
              <w:rPr>
                <w:sz w:val="20"/>
                <w:szCs w:val="20"/>
                <w:color w:val="auto"/>
              </w:rPr>
            </w:pPr>
            <w:r>
              <w:rPr>
                <w:rFonts w:ascii="Arial" w:cs="Arial" w:eastAsia="Arial" w:hAnsi="Arial"/>
                <w:sz w:val="18"/>
                <w:szCs w:val="18"/>
                <w:b w:val="1"/>
                <w:bCs w:val="1"/>
                <w:color w:val="auto"/>
              </w:rPr>
              <w:t>Long-Term Debt</w:t>
            </w: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August 31, 2013</w:t>
            </w:r>
          </w:p>
        </w:tc>
        <w:tc>
          <w:tcPr>
            <w:tcW w:w="18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14,603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52,900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(7,405)</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August 31, 2013, there were outstanding borrowings of $33.0 million and a total of $4.5 million of outstanding letters of credit under the current revolving credit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0.25% to 1.25%,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2" w:lineRule="exact"/>
        <w:rPr>
          <w:sz w:val="20"/>
          <w:szCs w:val="20"/>
          <w:color w:val="auto"/>
        </w:rPr>
      </w:pPr>
    </w:p>
    <w:p>
      <w:pPr>
        <w:ind w:right="60" w:firstLine="8"/>
        <w:spacing w:after="0" w:line="290"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ectPr>
          <w:pgSz w:w="11900" w:h="16838" w:orient="portrait"/>
          <w:cols w:equalWidth="0" w:num="1">
            <w:col w:w="11420"/>
          </w:cols>
          <w:pgMar w:left="240" w:top="121" w:right="239" w:bottom="79" w:gutter="0" w:footer="0" w:header="0"/>
        </w:sectPr>
      </w:pPr>
    </w:p>
    <w:bookmarkStart w:id="8" w:name="page9"/>
    <w:bookmarkEnd w:id="8"/>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2013, the Company was in compliance with the terms of the credit agreement, and expects to be in compliance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acquisitions through end of fiscal 2013, the Company issued subordinated notes payable to the sellers. The maturity of these notes range from three to five years from the date of acquisition with stated interest rates ranging from 0% to 4%. The Company has discounted these obligations to reflect a 2% to 4% market interest rate. Unamortized discount on the notes was de minimis as of August 31, 2013 and May 31, 2013. Amortization is recorded as interest expense in the condensed consolidated statements of income.</w:t>
      </w:r>
    </w:p>
    <w:p>
      <w:pPr>
        <w:spacing w:after="0" w:line="187" w:lineRule="exact"/>
        <w:rPr>
          <w:sz w:val="20"/>
          <w:szCs w:val="20"/>
          <w:color w:val="auto"/>
        </w:rPr>
      </w:pPr>
    </w:p>
    <w:p>
      <w:pPr>
        <w:jc w:val="both"/>
        <w:ind w:right="78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approximated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w w:val="90"/>
              </w:rPr>
              <w:t>August 31, 2013</w:t>
            </w: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13,038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w w:val="93"/>
              </w:rPr>
              <w:t>May 31, 2013</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acquired businesses,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ectPr>
          <w:pgSz w:w="11900" w:h="16838" w:orient="portrait"/>
          <w:cols w:equalWidth="0" w:num="1">
            <w:col w:w="11400"/>
          </w:cols>
          <w:pgMar w:left="240" w:top="125" w:right="259" w:bottom="0" w:gutter="0" w:footer="0" w:header="0"/>
        </w:sectPr>
      </w:pPr>
    </w:p>
    <w:bookmarkStart w:id="9" w:name="page10"/>
    <w:bookmarkEnd w:id="9"/>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believes that, except for the matters discussed below, the reasonably possible range of loss for all other pending legal proceeding to which the Company is a party in the aggregate is immaterial. The costs of defense and amounts that may be paid in such matters may be covered by insurance.</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January 2012, the Company received notice of a governmental investigation concerning an environmental incident which occurred in February 2011 outside on the premises of the Company’s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2013, the Company performed radiography work on the construction of a pipeline project in Georgia. The Company has received notice that the pipeline project owner contends that certain of the x-ray images the Company’s technicians prepared regarding the project did not meet the code quality interpretation standards required by API (American Petroleum Institute) 1103. The project owner is claiming damages as a result of the alleged quality defects of the Company’s x-ray images. This matter is in the early stages of investigation and no lawsuit has yet to be filed. At the present time, the Company is unable to determine the likely outcome or reasonably estimate the amount or range of potential liability related to this matter, and accordingly, has not established any reserves for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August 31, 2013, total potential acquisition-related contingent consideration ranged from zero to $23.9 million and would be payable upon the achievement of specific performance metrics by certain of the acquired companies over the next five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9 -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660" w:right="24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34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660" w:right="66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1 — </w:t>
      </w:r>
      <w:r>
        <w:rPr>
          <w:rFonts w:ascii="Arial" w:cs="Arial" w:eastAsia="Arial" w:hAnsi="Arial"/>
          <w:sz w:val="17"/>
          <w:szCs w:val="17"/>
          <w:i w:val="1"/>
          <w:iCs w:val="1"/>
          <w:color w:val="auto"/>
        </w:rPr>
        <w:t>Description of Business and Basis of Presentation</w:t>
      </w:r>
      <w:r>
        <w:rPr>
          <w:rFonts w:ascii="Arial" w:cs="Arial" w:eastAsia="Arial" w:hAnsi="Arial"/>
          <w:sz w:val="17"/>
          <w:szCs w:val="17"/>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segment for the periods shown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ectPr>
          <w:pgSz w:w="11900" w:h="16888"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2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95,810</w:t>
            </w:r>
          </w:p>
        </w:tc>
        <w:tc>
          <w:tcPr>
            <w:tcW w:w="280" w:type="dxa"/>
            <w:vAlign w:val="bottom"/>
          </w:tcPr>
          <w:p>
            <w:pPr>
              <w:spacing w:after="0"/>
              <w:rPr>
                <w:sz w:val="18"/>
                <w:szCs w:val="18"/>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Revenues by operating segment include intercompany transactions, which are eliminated in Corporate and eliminations. The Services segment had sales to other operating segments of $2.2 million and $1.1 million for the three months ended August 31, 2013 and 2012, respectively. The International segment had sales to other operating segments of $0.1 million for each of the three month periods ended August 31, 2013 and 2012. The Products and Systems segment had sales to other operating segments of $1.9 million and $1.7 million for the three months ended August 31, 2013 and 2012, respectively.</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Three months ended August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760" w:type="dxa"/>
            <w:vAlign w:val="bottom"/>
            <w:gridSpan w:val="3"/>
          </w:tcPr>
          <w:p>
            <w:pPr>
              <w:jc w:val="right"/>
              <w:ind w:right="70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26,747</w:t>
            </w:r>
          </w:p>
        </w:tc>
        <w:tc>
          <w:tcPr>
            <w:tcW w:w="280" w:type="dxa"/>
            <w:vAlign w:val="bottom"/>
          </w:tcPr>
          <w:p>
            <w:pPr>
              <w:spacing w:after="0"/>
              <w:rPr>
                <w:sz w:val="18"/>
                <w:szCs w:val="18"/>
                <w:color w:val="auto"/>
              </w:rPr>
            </w:pPr>
          </w:p>
        </w:tc>
        <w:tc>
          <w:tcPr>
            <w:tcW w:w="840" w:type="dxa"/>
            <w:vAlign w:val="bottom"/>
            <w:gridSpan w:val="3"/>
          </w:tcPr>
          <w:p>
            <w:pPr>
              <w:jc w:val="right"/>
              <w:ind w:right="71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39,277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33,717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0"/>
              </w:rPr>
              <w:t>Three months ended August 31,</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760" w:type="dxa"/>
            <w:vAlign w:val="bottom"/>
            <w:gridSpan w:val="3"/>
          </w:tcPr>
          <w:p>
            <w:pPr>
              <w:ind w:left="19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10,846</w:t>
            </w:r>
          </w:p>
        </w:tc>
        <w:tc>
          <w:tcPr>
            <w:tcW w:w="840" w:type="dxa"/>
            <w:vAlign w:val="bottom"/>
            <w:gridSpan w:val="3"/>
          </w:tcPr>
          <w:p>
            <w:pPr>
              <w:jc w:val="right"/>
              <w:ind w:right="69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Products and Systems</w:t>
            </w: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eliminations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(3,731)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2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0" w:type="dxa"/>
            <w:vAlign w:val="bottom"/>
            <w:tcBorders>
              <w:top w:val="single" w:sz="8" w:color="auto"/>
            </w:tcBorders>
          </w:tcPr>
          <w:p>
            <w:pPr>
              <w:jc w:val="right"/>
              <w:ind w:right="69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4,235</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40" w:type="dxa"/>
            <w:vAlign w:val="bottom"/>
            <w:vMerge w:val="restart"/>
          </w:tcPr>
          <w:p>
            <w:pPr>
              <w:jc w:val="right"/>
              <w:ind w:right="77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2013</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9,270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2013</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61,127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13,197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31, 2013</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11" w:name="page12"/>
    <w:bookmarkEnd w:id="11"/>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3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195,196</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200,326</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139,961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138,108</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36,715</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37,948</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0"/>
        </w:trPr>
        <w:tc>
          <w:tcPr>
            <w:tcW w:w="4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372,668</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August 31, 2013 and 2012, respectively,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August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83,157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76,275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Europe</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35,406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16,677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60" w:type="dxa"/>
            <w:vAlign w:val="bottom"/>
            <w:vMerge w:val="restart"/>
          </w:tcPr>
          <w:p>
            <w:pPr>
              <w:jc w:val="right"/>
              <w:ind w:right="77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months ended August 31, 2013 and 2012.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2013. In this quarterly report, our fiscal years, which end on May 31, are identified according to the calendar year in which they end (e.g., the fiscal year ending May 31, 2014 is referred to as “fiscal 2014”), and unless otherwise specified or the context otherwise requires, “Mistras,” “the Company,” “we,” “us” and “our” refer to Mistras Group, Inc. and its consolidated subsidiaries. The MD&amp;A includes disclosure in the following areas:</w:t>
      </w:r>
    </w:p>
    <w:p>
      <w:pPr>
        <w:spacing w:after="0" w:line="189"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II, Item 1A “Risk Factors” and in Item 1 “Business—Forward-Looking Statements,” as well as those discussed in the “Risk Factors” section of our Annual Report on Form 10-K for our fiscal 2013 and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31"/>
          <w:szCs w:val="31"/>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and predictive maintenance (PdM) services, destructive testing services, and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88" w:lineRule="exact"/>
        <w:rPr>
          <w:sz w:val="20"/>
          <w:szCs w:val="20"/>
          <w:color w:val="auto"/>
        </w:rPr>
      </w:pPr>
    </w:p>
    <w:p>
      <w:pPr>
        <w:ind w:left="660" w:right="120" w:hanging="328"/>
        <w:spacing w:after="0" w:line="264"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primarily in North America with the largest concentration in the United States and the Canadian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320" w:hanging="328"/>
        <w:spacing w:after="0" w:line="342"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two segments to global markets, principally in Europe,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East, Africa, Asia and South America, but not to customers in China and South Korea, which are served by the Products and Systems segment.</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60"/>
          </w:cols>
          <w:pgMar w:left="240" w:top="140" w:right="199" w:bottom="0" w:gutter="0" w:footer="0" w:header="0"/>
          <w:type w:val="continuous"/>
        </w:sectPr>
      </w:pPr>
    </w:p>
    <w:bookmarkStart w:id="12" w:name="page13"/>
    <w:bookmarkEnd w:id="12"/>
    <w:p>
      <w:pPr>
        <w:spacing w:after="0" w:line="32" w:lineRule="exact"/>
        <w:rPr>
          <w:sz w:val="20"/>
          <w:szCs w:val="20"/>
          <w:color w:val="auto"/>
        </w:rPr>
      </w:pPr>
    </w:p>
    <w:p>
      <w:pPr>
        <w:ind w:left="660" w:right="18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alternative and renewable energy, public infrastructure, chemicals, aerospace and defense, transportation, primary metals and metalworking, pharmaceutical/biotechnology, food processing industries and research and engineering institutions. As of August 31, 2013, we had approximately 4,400 employees, including approximately 30 Ph.D.’s and 100 other degreed engineers and certified Level III technicians, in approximately 100 offices across 16 countries. We have established long-term relationships as a critical solutions provider to many of the leading companies in our target markets.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customers and geographic reach that we believe will enhance our advantages over our competition.</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global economy has shown some signs of improvement, but continues to be fragile. Global financial markets continue to experience uncertainty, including tight liquidity and credit availability, relatively low consumer confidence, slow economic growth,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August 31, 2013 compared to the three months ended August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August 31, 2013 and 2012 were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135,838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revenues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92,253</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4,308</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Gross profit as a % of Revenue</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28,699</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23,492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SG&amp;A as a % of Revenue</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Research and engineering</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i w:val="1"/>
                <w:iCs w:val="1"/>
                <w:color w:val="auto"/>
              </w:rPr>
              <w:t>Income from operations as a % of Revenue</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8,830</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3,195</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16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August 31, 2013 and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14"/>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2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33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5,641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4,281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3,195</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6,039</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EBITDA</w:t>
            </w:r>
          </w:p>
        </w:tc>
        <w:tc>
          <w:tcPr>
            <w:tcW w:w="2480" w:type="dxa"/>
            <w:vAlign w:val="bottom"/>
          </w:tcPr>
          <w:p>
            <w:pPr>
              <w:spacing w:after="0"/>
              <w:rPr>
                <w:sz w:val="18"/>
                <w:szCs w:val="18"/>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16,346</w:t>
            </w:r>
          </w:p>
        </w:tc>
        <w:tc>
          <w:tcPr>
            <w:tcW w:w="2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13,735</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(2,097)</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15,956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70" w:orient="portrait"/>
          <w:cols w:equalWidth="0" w:num="1">
            <w:col w:w="11420"/>
          </w:cols>
          <w:pgMar w:left="240" w:top="341" w:right="239" w:bottom="0" w:gutter="0" w:footer="0" w:header="0"/>
        </w:sectPr>
      </w:pPr>
    </w:p>
    <w:bookmarkStart w:id="13" w:name="page14"/>
    <w:bookmarkEnd w:id="13"/>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on Form 10-Q as net income attributable to Mistras Group, Inc. plus: interest expense, provision for income taxes and depreciation and amortization. Adjusted EBITDA is defined in this Quarterly Report on Form 10-Q as net income attributable to Mistras Group, Inc. plus: interest expense, provision for income taxes, depreciation and amortization, share-based compensation expense, and, if applicable, certain acquisition related expense (including adjustments to the fair value of contingent consideration) and certain non-recurring items (which items are listed below or in the reconciliation table above).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$135.8 million for the three months ended August 31, 2013 compared to $113.4 million for the three months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Revenues by segment for the first quarter of fiscal 2014 and 2013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11"/>
          </w:tcPr>
          <w:p>
            <w:pPr>
              <w:jc w:val="right"/>
              <w:ind w:right="1300"/>
              <w:spacing w:after="0"/>
              <w:rPr>
                <w:sz w:val="20"/>
                <w:szCs w:val="20"/>
                <w:color w:val="auto"/>
              </w:rPr>
            </w:pPr>
            <w:r>
              <w:rPr>
                <w:rFonts w:ascii="Arial" w:cs="Arial" w:eastAsia="Arial" w:hAnsi="Arial"/>
                <w:sz w:val="14"/>
                <w:szCs w:val="14"/>
                <w:b w:val="1"/>
                <w:bCs w:val="1"/>
                <w:color w:val="auto"/>
                <w:w w:val="91"/>
              </w:rPr>
              <w:t>Three months ended August 31,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95,810</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82,397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6,585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9,534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(4,316)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w w:val="93"/>
              </w:rPr>
              <w:t>We estimate our growth rates for the first quarter of fiscal 2014 and 2013 were as follows:</w:t>
            </w: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11"/>
          </w:tcPr>
          <w:p>
            <w:pPr>
              <w:jc w:val="right"/>
              <w:ind w:right="88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8"/>
          </w:tcPr>
          <w:p>
            <w:pPr>
              <w:jc w:val="right"/>
              <w:ind w:right="1080"/>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22,451</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 Growth over prior year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6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Comprised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 of acquisition growth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foreign exchange (decrease)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Revenues increased $22.5 million, or approximately 20%, for the three months ended August 31, 2013 compared to the three months ended August 31, 2012 as a result of growth in our Services and International segments, partially offset by a decrease in our Products and Systems segment. The increase in our Services segment was due to an increase in the oil &amp; gas, aerospace and industrial industries driven by specific projects and the mid-stream section of the oil &amp; gas industry. Our International segment revenue growth primarily resulted from our fiscal 2013 acquisitions. The decrease in our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and Systems segment was due to lower sales in our Digital Radiography and ultrasonic NDT product lines compared to the prior year. On a consolidated basis, in the first quarter of fiscal 2014, we estimate that our organic growth was approximately 5% compared to approximately 9% in the first quarter of fiscal 2013. For the first quarter of fiscal 2014 and 2013, we estimate that our acquisition growth rate was approximately 16% and 17%, respectively.</w:t>
      </w:r>
    </w:p>
    <w:p>
      <w:pPr>
        <w:spacing w:after="0" w:line="14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continued to experience growth in many of our target markets during the first quarter of fiscal 2014. Oil and gas is our largest target market and represented approximately 48% and 47% of our total revenue in the first quarter of fiscal 2014 and 2013, respectively. Oil and gas revenue in the first quarter</w:t>
      </w:r>
    </w:p>
    <w:p>
      <w:pPr>
        <w:sectPr>
          <w:pgSz w:w="11900" w:h="16948" w:orient="portrait"/>
          <w:cols w:equalWidth="0" w:num="1">
            <w:col w:w="11420"/>
          </w:cols>
          <w:pgMar w:left="240" w:top="341" w:right="239" w:bottom="0" w:gutter="0" w:footer="0" w:header="0"/>
        </w:sectPr>
      </w:pPr>
    </w:p>
    <w:bookmarkStart w:id="14" w:name="page15"/>
    <w:bookmarkEnd w:id="14"/>
    <w:p>
      <w:pPr>
        <w:spacing w:after="0" w:line="1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of fiscal 2014 increased approximately 21% over the prior year with the largest growth coming from the midstream section of the oil and gas industry. We also experienced significant growth in several of our other target markets outside of oil and gas, primarily the aerospace and defense and industrial markets. Taken as a group, revenues for all target markets other than oil and gas grew approximately 19% in the first quarter of fiscal 2014 over the prior year period. Our top ten customers represented approximately 35% of our revenues in the first quarter of fiscal 2014 compared to 32% in the same quarter last year.</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$39.3 million and increased $5.6 million, or 16% in the first quarter of fiscal 2014 compared to $33.7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2013. Gross profit by segment for the three months ended August 31, 2013 and 2012 was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0"/>
              </w:rPr>
              <w:t>Three months ended August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89"/>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tcPr>
          <w:p>
            <w:pPr>
              <w:jc w:val="right"/>
              <w:ind w:right="406"/>
              <w:spacing w:after="0" w:line="142" w:lineRule="exact"/>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7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26,747</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20,940</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10,120</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7,081</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2,384</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39,277</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33,717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percentage of revenues, our gross profit was approximately 29% and 30% for the first quarter of fiscal 2014 and fiscal 2013, respectively. Cost of revenues, excluding depreciation, as a percentage of revenues was approximately 68% and 67% in the first quarter of fiscal 2014 and fiscal 2013, respectively. Depreciation expense included in the determination of gross profit for the first quarter of fiscal 2014 and fiscal 2013 was $4.3 million and $4.1 million, respectively.</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80 basis point decrease in our gross profit as a percentage of revenues was primarily attributable to a decrease in gross profit in our Products segment due to the lower volume and mix of comparatively lower margined products sales in the current quarter compared to the prior year quarter. Also contributing to the decrease was the International segment, which relates to our fiscal 2013 acquisitions, as these companies primarily provide lower margin, traditional NDT services. Additionally, in our International segment the service offerings are increasing faster than our product sales, which also lowered our gross profit margin, a trend we expect to continue. These decreases were offset by improvements in gross profit as a percentage of revenues in our Services segment due to a favorable change in the mix of project work completed during the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by segment for the three months ended August 31, 2013 and 2012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August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4"/>
          </w:tcPr>
          <w:p>
            <w:pPr>
              <w:jc w:val="right"/>
              <w:ind w:right="445"/>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10,846</w:t>
            </w:r>
          </w:p>
        </w:tc>
        <w:tc>
          <w:tcPr>
            <w:tcW w:w="860" w:type="dxa"/>
            <w:vAlign w:val="bottom"/>
            <w:gridSpan w:val="2"/>
          </w:tcPr>
          <w:p>
            <w:pPr>
              <w:jc w:val="right"/>
              <w:ind w:right="68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(3,677)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(3,731)</w:t>
            </w:r>
          </w:p>
        </w:tc>
      </w:tr>
      <w:tr>
        <w:trPr>
          <w:trHeight w:val="210"/>
        </w:trPr>
        <w:tc>
          <w:tcPr>
            <w:tcW w:w="60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income from operations of $9.6 million for the first quarter of fiscal 2014 increased $1.9 million, or 24%, compared to the first quarter of fiscal 2013. As a percentage of revenues, our income from operations was approximately 7% for each of the first quarters of fiscal 2014 and fiscal 2013.</w:t>
      </w:r>
    </w:p>
    <w:p>
      <w:pPr>
        <w:spacing w:after="0" w:line="14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SG&amp;A expenses, as a percentage of revenues, was approximately 21% for each of the first quarters of fiscal 2014 and 2013, increasing approximately $5.2 million in fiscal 2014. Of this amount, SG&amp;A for companies acquired within the last twelve months accounted for approximately $3.7 million of the total increase. Excluding acquisitions, our SG&amp;A expenses increased $1.5 million primarily due to higher compensation and benefit expenses, attributed to normal salary increases, as well as our investment in additional management and corporate staff to support our growth. Depreciation and amortization included in the determination of income from operations for the first quarter of fiscal 2014 and fiscal 2013 was $2.5 million and $1.9 million, respectively, each representing approximately 2% of revenues.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acquisition-related expense, net consists primarily of adjustments to the estimated fair value of certain acquisition-related contingent consideration liabilities that resulted in a net increase to income from operations of $2.2 million for the first quarter of fiscal 2014. This was offset by $0.1 million in professional fees and other expenses in connection with our fiscal 2014 acquisition activity. Acquisition-related expense, net for the first quarter of fiscal 2013 resulted in a net increase to income from operations of $0.5 million. This was offset by $0.6 million in professional fees and other expenses in connection with our fiscal 2013 acquisition activity.</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$0.7 million and $0.8 million for the first quarter of fiscal 2014 and 2013, respectively. The decrease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2014 related to a decrease in average interest rates in the current year quarter compared to the prior year.</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effective income tax rate was approximately 36% for the first quarter of fiscal 2014 compared to approximately 38% for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2013. The decrease was primarily due to changes in the geographic mix of earnings in the various state and foreign jurisdictions.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6350</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7220"/>
        <w:spacing w:after="0"/>
        <w:tabs>
          <w:tab w:leader="none" w:pos="88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wp:posOffset>
            </wp:positionV>
            <wp:extent cx="1912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76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579755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36195"/>
                    </a:xfrm>
                    <a:prstGeom prst="rect">
                      <a:avLst/>
                    </a:prstGeom>
                    <a:noFill/>
                  </pic:spPr>
                </pic:pic>
              </a:graphicData>
            </a:graphic>
          </wp:anchor>
        </w:drawing>
      </w:r>
    </w:p>
    <w:p>
      <w:pPr>
        <w:sectPr>
          <w:pgSz w:w="11900" w:h="16849" w:orient="portrait"/>
          <w:cols w:equalWidth="0" w:num="1">
            <w:col w:w="11420"/>
          </w:cols>
          <w:pgMar w:left="240" w:top="125"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11,538</w:t>
            </w:r>
          </w:p>
        </w:tc>
        <w:tc>
          <w:tcPr>
            <w:tcW w:w="180" w:type="dxa"/>
            <w:vAlign w:val="bottom"/>
          </w:tcPr>
          <w:p>
            <w:pPr>
              <w:spacing w:after="0"/>
              <w:rPr>
                <w:sz w:val="18"/>
                <w:szCs w:val="18"/>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21,546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(19,786)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660"/>
              <w:spacing w:after="0"/>
              <w:rPr>
                <w:sz w:val="20"/>
                <w:szCs w:val="20"/>
                <w:color w:val="auto"/>
              </w:rPr>
            </w:pPr>
            <w:r>
              <w:rPr>
                <w:rFonts w:ascii="Arial" w:cs="Arial" w:eastAsia="Arial" w:hAnsi="Arial"/>
                <w:sz w:val="18"/>
                <w:szCs w:val="18"/>
                <w:color w:val="auto"/>
              </w:rPr>
              <w:t>Net change in cash and cash equivalents</w:t>
            </w:r>
          </w:p>
        </w:tc>
        <w:tc>
          <w:tcPr>
            <w:tcW w:w="20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80" w:type="dxa"/>
            <w:vAlign w:val="bottom"/>
            <w:vMerge w:val="restart"/>
          </w:tcPr>
          <w:p>
            <w:pPr>
              <w:jc w:val="right"/>
              <w:ind w:right="77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During the three months ended August 31, 2013, cash provided by our operating activities was $11.5 million, a decrease of $10.0 million from the comparable period of fiscal 2013. Positive operating cash flow was primarily attributable to our net income, excluding depreciation, amortization and other non-cash expenses of $12.6 million. The decrease of cash provided by our operating activities was primarily due to a decrease in our working capital compared to prior year, driven by trade accounts receivable, partially offset by accrued expenses and other current liabilities.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August 31, 2012, cash provided by our operating activities was $21.5 million, an increase of $8.7 million from the comparable period of fiscal 2012. Positive operating cash flow was primarily attributable to higher net income, excluding depreciation, amortization and other non-cash expenses of $12.6 million and $9.0 million of cash provided by an increase in our working capital, which primarily related to collections of our trade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three months ended August 31, 2013, cash used in investing activities was $2.5 million, a decrease of $0.1 million from the comparable period of fiscal 2013. Cash used in investing activities included purchases of property, plant and equipment of $2.5 million and were primarily related to equipment used by our technicians.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three months ended August 31, 2012, cash used in investing activities was $2.6 million, a decrease of $6.2 million from the comparable period of fiscal 2012. Cash used in investing activities included purchases of property, plant and equipment of $2.7 million and were primarily related to equipment used by our technicians.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used in financing activities was $10.1 million for the three months ended August 31, 2013, a decrease of $9.7 million from the $19.8 million in cash used in the comparable period of fiscal 2013. Net cash used in financing activities related primarily to repayments of our revolving credit facility, capital lease obligations and long-term debt of $6.6 million, $1.9 million and $0.9 million, respectively.</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cash used in financing activities was $19.8 million for the three months ended August 31, 2013, an increase of $11.2 million from the comparable period of fiscal 2012. Net cash used in financing activities related primarily to repayments of our revolving credit facility, capital lease obligations, long-term debt, and contingent consideration of $15.0 million, $1.6 million, $1.6 million, and $1.1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 Changes on Cash and Cash Equivalents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$0.2 million and ($0.2) million for the three months ended August 31,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August 31, 2013, we had cash and cash equivalents totaling $6.9 million and available borrowing capacity of $87.5 million under our current revolving credit facility. As of August 31, 2013, there were outstanding borrowings of $33.0 million and a total of $4.5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LIBOR plus an applicable LIBOR margin ranging from 1% to 2%, or a base rate margin less a margin of 1.25% to 0.25%, at our option, 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sz w:val="20"/>
          <w:szCs w:val="20"/>
          <w:color w:val="auto"/>
        </w:rPr>
      </w:pPr>
    </w:p>
    <w:p>
      <w:pPr>
        <w:ind w:right="560" w:firstLine="8"/>
        <w:spacing w:after="0" w:line="255"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depletion, and amortization (including non-cash loss on retirement of assets), plus (f) share-based compensation expense, less (g) cash expense related to share-based compensation, plus or minus certain other adjustments) for the period of four consecutive fiscal quarters immediately preceding the date of determination. We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w:t>
      </w:r>
    </w:p>
    <w:p>
      <w:pPr>
        <w:sectPr>
          <w:pgSz w:w="11900" w:h="16838" w:orient="portrait"/>
          <w:cols w:equalWidth="0" w:num="1">
            <w:col w:w="11460"/>
          </w:cols>
          <w:pgMar w:left="240" w:top="140" w:right="199" w:bottom="0" w:gutter="0" w:footer="0" w:header="0"/>
        </w:sectPr>
      </w:pPr>
    </w:p>
    <w:bookmarkStart w:id="16" w:name="page17"/>
    <w:bookmarkEnd w:id="16"/>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funding costs, and default pricing of an additional 2% interest rate margin if the Funded Debt Leverage Ratio exceeds 3.0 to 1. Amounts borrowed under our Credit Agreement are secured by liens on substantially all of our assets.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August 31, 2013,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revolving credit facility. Our revolving credit facility is available for cash advances required for working capital and for letters of credit to support our operations.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September 30, 2013, there were outstanding borrowings of approximately $36.2 million and approximately $3.6 million of outstanding letters of credit under our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future acquisitions may also require capital. We acquired three companies in fiscal 2013, with an initial cash outlay of $35.0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three months ended August 31, 2013,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fiscal 2013.</w:t>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w:t>
      </w:r>
    </w:p>
    <w:p>
      <w:pPr>
        <w:sectPr>
          <w:pgSz w:w="11900" w:h="16908" w:orient="portrait"/>
          <w:cols w:equalWidth="0" w:num="1">
            <w:col w:w="11420"/>
          </w:cols>
          <w:pgMar w:left="240" w:top="125" w:right="239" w:bottom="0" w:gutter="0" w:footer="0" w:header="0"/>
        </w:sectPr>
      </w:pPr>
    </w:p>
    <w:bookmarkStart w:id="17" w:name="page18"/>
    <w:bookmarkEnd w:id="17"/>
    <w:p>
      <w:pPr>
        <w:jc w:val="both"/>
        <w:ind w:right="100"/>
        <w:spacing w:after="0" w:line="288" w:lineRule="auto"/>
        <w:rPr>
          <w:sz w:val="20"/>
          <w:szCs w:val="20"/>
          <w:color w:val="auto"/>
        </w:rPr>
      </w:pPr>
      <w:r>
        <w:rPr>
          <w:rFonts w:ascii="Arial" w:cs="Arial" w:eastAsia="Arial" w:hAnsi="Arial"/>
          <w:sz w:val="16"/>
          <w:szCs w:val="16"/>
          <w:color w:val="auto"/>
        </w:rPr>
        <w:t>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w:t>
      </w:r>
    </w:p>
    <w:p>
      <w:pPr>
        <w:spacing w:after="0" w:line="270" w:lineRule="auto"/>
        <w:rPr>
          <w:sz w:val="20"/>
          <w:szCs w:val="20"/>
          <w:color w:val="auto"/>
        </w:rPr>
      </w:pPr>
      <w:r>
        <w:rPr>
          <w:rFonts w:ascii="Arial" w:cs="Arial" w:eastAsia="Arial" w:hAnsi="Arial"/>
          <w:sz w:val="17"/>
          <w:szCs w:val="17"/>
          <w:color w:val="auto"/>
        </w:rPr>
        <w:t>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had approximately $0.3 million and $2.0 million of foreign currency translation losses in other comprehensive income for the first three months of fiscal 2014 and 2013, respectively. We do not currently enter into forward exchange contracts to hedge exposures to foreign currencies. We may consider entering into hedging or forward exchange contracts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had cash and cash equivalents of $6.9 million at August 31, 2013.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do not believe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2013, the Company carried out an evaluation, under the supervision and with the participation of the Company’s management, including the Company’s Chief Executive Officer and the Company’s Principal Financial Officer, of the effectiveness of the design and operation of the Company’s disclosure controls and procedures, as such term is defined in Rule 13a-15(e). Based on the evaluation, the Company’s Chief Executive Officer and Principal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August 31, 2013 that has materially affected, or is reasonably likely to materially affect, such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consolidated financial statements included in this report for a description of our legal proceedings. There have been no material developments with regard to any matters disclosed under Part I, Item 3 “Legal Proceedings” in our fiscal 2013 Annual Report on Form 10-K, filed with the SEC on August 14, 2013, except as described in Note 11.</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under the “Risk Factors” section included in our fiscal 2013 Annual Report on Form 10-K. There have been no material changes to the risk factors previously disclosed in the Annual Report.</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780" w:hanging="652"/>
        <w:spacing w:after="0" w:line="501" w:lineRule="auto"/>
        <w:tabs>
          <w:tab w:leader="none" w:pos="26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60" w:hanging="652"/>
        <w:spacing w:after="0" w:line="498" w:lineRule="auto"/>
        <w:tabs>
          <w:tab w:leader="none" w:pos="26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ectPr>
          <w:pgSz w:w="11900" w:h="16838" w:orient="portrait"/>
          <w:cols w:equalWidth="0" w:num="1">
            <w:col w:w="11400"/>
          </w:cols>
          <w:pgMar w:left="240" w:top="125" w:right="259" w:bottom="32" w:gutter="0" w:footer="0" w:header="0"/>
        </w:sectPr>
      </w:pPr>
    </w:p>
    <w:bookmarkStart w:id="18" w:name="page19"/>
    <w:bookmarkEnd w:id="18"/>
    <w:p>
      <w:pPr>
        <w:ind w:right="320"/>
        <w:spacing w:after="0" w:line="342" w:lineRule="auto"/>
        <w:rPr>
          <w:sz w:val="20"/>
          <w:szCs w:val="20"/>
          <w:color w:val="auto"/>
        </w:rPr>
      </w:pPr>
      <w:r>
        <w:rPr>
          <w:rFonts w:ascii="Arial" w:cs="Arial" w:eastAsia="Arial" w:hAnsi="Arial"/>
          <w:sz w:val="16"/>
          <w:szCs w:val="16"/>
          <w:color w:val="auto"/>
        </w:rPr>
        <w:t>The following sets forth the shares of our common stock we acquired during the quarter pursuant to the surrender of shares by employees to satisfy tax withholding obligations in connection with the vesting of restricted stock units. There were no share repurchases during the months of June and July 2013.</w:t>
      </w:r>
    </w:p>
    <w:p>
      <w:pPr>
        <w:spacing w:after="0" w:line="10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 Ending</w:t>
            </w:r>
          </w:p>
        </w:tc>
        <w:tc>
          <w:tcPr>
            <w:tcW w:w="2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Number of Shares (or</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Price Paid per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2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Units) Purchased</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Share (or Unit)</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31, 2013</w:t>
            </w:r>
          </w:p>
        </w:tc>
        <w:tc>
          <w:tcPr>
            <w:tcW w:w="3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54,131</w:t>
            </w:r>
          </w:p>
        </w:tc>
        <w:tc>
          <w:tcPr>
            <w:tcW w:w="3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48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0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8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gridSpan w:val="4"/>
          </w:tcPr>
          <w:p>
            <w:pPr>
              <w:ind w:left="24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gridSpan w:val="4"/>
          </w:tcPr>
          <w:p>
            <w:pPr>
              <w:ind w:left="240"/>
              <w:spacing w:after="0"/>
              <w:rPr>
                <w:sz w:val="20"/>
                <w:szCs w:val="20"/>
                <w:color w:val="auto"/>
              </w:rPr>
            </w:pPr>
            <w:r>
              <w:rPr>
                <w:rFonts w:ascii="Arial" w:cs="Arial" w:eastAsia="Arial" w:hAnsi="Arial"/>
                <w:sz w:val="18"/>
                <w:szCs w:val="18"/>
                <w:color w:val="auto"/>
              </w:rPr>
              <w:t>Certification of Principal Financial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3"/>
          </w:tcPr>
          <w:p>
            <w:pPr>
              <w:jc w:val="center"/>
              <w:ind w:left="3890"/>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gridSpan w:val="4"/>
          </w:tcPr>
          <w:p>
            <w:pPr>
              <w:ind w:left="2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Schema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Calculation Linkbase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Labels Linkbase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Presentation Linkbase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XBRL Definition Linkbase Document</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3"/>
          </w:tcPr>
          <w:p>
            <w:pPr>
              <w:jc w:val="center"/>
              <w:ind w:left="389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jc w:val="center"/>
              <w:ind w:left="3590"/>
              <w:spacing w:after="0"/>
              <w:rPr>
                <w:sz w:val="20"/>
                <w:szCs w:val="20"/>
                <w:color w:val="auto"/>
              </w:rPr>
            </w:pPr>
            <w:r>
              <w:rPr>
                <w:rFonts w:ascii="Arial" w:cs="Arial" w:eastAsia="Arial" w:hAnsi="Arial"/>
                <w:sz w:val="18"/>
                <w:szCs w:val="18"/>
                <w:b w:val="1"/>
                <w:bCs w:val="1"/>
                <w:color w:val="auto"/>
                <w:w w:val="88"/>
              </w:rPr>
              <w:t>Signatures</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1420" w:type="dxa"/>
            <w:vAlign w:val="bottom"/>
            <w:gridSpan w:val="7"/>
          </w:tcPr>
          <w:p>
            <w:pPr>
              <w:ind w:left="660"/>
              <w:spacing w:after="0"/>
              <w:rPr>
                <w:sz w:val="20"/>
                <w:szCs w:val="20"/>
                <w:color w:val="auto"/>
              </w:rPr>
            </w:pPr>
            <w:r>
              <w:rPr>
                <w:rFonts w:ascii="Arial" w:cs="Arial" w:eastAsia="Arial" w:hAnsi="Arial"/>
                <w:sz w:val="18"/>
                <w:szCs w:val="18"/>
                <w:color w:val="auto"/>
                <w:w w:val="94"/>
              </w:rPr>
              <w:t>Pursuant to the requirements of the Securities Exchange Act of 1934, the registrant has duly caused this report to be signed on its behalf by the</w:t>
            </w:r>
          </w:p>
        </w:tc>
        <w:tc>
          <w:tcPr>
            <w:tcW w:w="40" w:type="dxa"/>
            <w:vAlign w:val="bottom"/>
          </w:tcPr>
          <w:p>
            <w:pPr>
              <w:spacing w:after="0"/>
              <w:rPr>
                <w:sz w:val="24"/>
                <w:szCs w:val="24"/>
                <w:color w:val="auto"/>
              </w:rPr>
            </w:pPr>
          </w:p>
        </w:tc>
      </w:tr>
      <w:tr>
        <w:trPr>
          <w:trHeight w:val="230"/>
        </w:trPr>
        <w:tc>
          <w:tcPr>
            <w:tcW w:w="6140" w:type="dxa"/>
            <w:vAlign w:val="bottom"/>
            <w:gridSpan w:val="5"/>
          </w:tcPr>
          <w:p>
            <w:pPr>
              <w:spacing w:after="0"/>
              <w:rPr>
                <w:sz w:val="20"/>
                <w:szCs w:val="20"/>
                <w:color w:val="auto"/>
              </w:rPr>
            </w:pPr>
            <w:r>
              <w:rPr>
                <w:rFonts w:ascii="Arial" w:cs="Arial" w:eastAsia="Arial" w:hAnsi="Arial"/>
                <w:sz w:val="18"/>
                <w:szCs w:val="18"/>
                <w:color w:val="auto"/>
              </w:rPr>
              <w:t>undersigned thereunto duly authorized.</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3"/>
          </w:tcPr>
          <w:p>
            <w:pPr>
              <w:ind w:left="4120"/>
              <w:spacing w:after="0"/>
              <w:rPr>
                <w:sz w:val="20"/>
                <w:szCs w:val="20"/>
                <w:color w:val="auto"/>
              </w:rPr>
            </w:pPr>
            <w:r>
              <w:rPr>
                <w:rFonts w:ascii="Arial" w:cs="Arial" w:eastAsia="Arial" w:hAnsi="Arial"/>
                <w:sz w:val="18"/>
                <w:szCs w:val="18"/>
                <w:b w:val="1"/>
                <w:bCs w:val="1"/>
                <w:color w:val="auto"/>
              </w:rPr>
              <w:t>MISTRAS GROUP, INC.</w:t>
            </w: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ind w:left="41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Sotirios J. Vahaviolos</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Sotirios J. Vahaviolos</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ind w:left="41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Orlando</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Interim Principal Financial Officer</w:t>
            </w:r>
          </w:p>
        </w:tc>
        <w:tc>
          <w:tcPr>
            <w:tcW w:w="4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(Interim Principal Financial Officer)</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-5387340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-5387340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-2736850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-2736850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2013</w:t>
      </w:r>
    </w:p>
    <w:p>
      <w:pPr>
        <w:sectPr>
          <w:pgSz w:w="11900" w:h="16838" w:orient="portrait"/>
          <w:cols w:equalWidth="0" w:num="1">
            <w:col w:w="11460"/>
          </w:cols>
          <w:pgMar w:left="240" w:top="125" w:right="199" w:bottom="852"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852"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Philip Orlando,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2013</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Philip Orlando</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Philip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Interim Principal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2013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9,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Philip Orlando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Philip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lowerLetter"/>
      <w:start w:val="5"/>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2019-12-07T18:44:34Z</dcterms:created>
  <dcterms:modified xsi:type="dcterms:W3CDTF">2019-12-07T18:44:34Z</dcterms:modified>
</cp:coreProperties>
</file>