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338455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0" w:lineRule="exact"/>
        <w:rPr>
          <w:sz w:val="24"/>
          <w:szCs w:val="24"/>
          <w:color w:val="auto"/>
        </w:rPr>
      </w:pPr>
    </w:p>
    <w:p>
      <w:pPr>
        <w:ind w:left="340" w:hanging="258"/>
        <w:spacing w:after="0"/>
        <w:tabs>
          <w:tab w:leader="none" w:pos="3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340" w:hanging="258"/>
        <w:spacing w:after="0"/>
        <w:tabs>
          <w:tab w:leader="none" w:pos="34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347"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For the transition period from __ to __</w:t>
      </w:r>
    </w:p>
    <w:p>
      <w:pPr>
        <w:spacing w:after="0" w:line="225" w:lineRule="exact"/>
        <w:rPr>
          <w:sz w:val="24"/>
          <w:szCs w:val="24"/>
          <w:color w:val="auto"/>
        </w:rPr>
      </w:pPr>
    </w:p>
    <w:p>
      <w:pPr>
        <w:ind w:left="1780"/>
        <w:spacing w:after="0"/>
        <w:rPr>
          <w:sz w:val="20"/>
          <w:szCs w:val="20"/>
          <w:color w:val="auto"/>
        </w:rPr>
      </w:pPr>
      <w:r>
        <w:rPr>
          <w:rFonts w:ascii="Arial" w:cs="Arial" w:eastAsia="Arial" w:hAnsi="Arial"/>
          <w:sz w:val="18"/>
          <w:szCs w:val="18"/>
          <w:b w:val="1"/>
          <w:bCs w:val="1"/>
          <w:color w:val="auto"/>
        </w:rPr>
        <w:t>Commission file number 001-34481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-93345</wp:posOffset>
            </wp:positionV>
            <wp:extent cx="31629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62935" cy="1714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Mistras Group, Inc.</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86"/>
        </w:trPr>
        <w:tc>
          <w:tcPr>
            <w:tcW w:w="5020" w:type="dxa"/>
            <w:vAlign w:val="bottom"/>
            <w:gridSpan w:val="4"/>
            <w:vMerge w:val="restart"/>
          </w:tcPr>
          <w:p>
            <w:pPr>
              <w:jc w:val="right"/>
              <w:spacing w:after="0"/>
              <w:rPr>
                <w:sz w:val="20"/>
                <w:szCs w:val="20"/>
                <w:color w:val="auto"/>
              </w:rPr>
            </w:pPr>
            <w:r>
              <w:rPr>
                <w:rFonts w:ascii="Arial" w:cs="Arial" w:eastAsia="Arial" w:hAnsi="Arial"/>
                <w:sz w:val="18"/>
                <w:szCs w:val="18"/>
                <w:i w:val="1"/>
                <w:iCs w:val="1"/>
                <w:color w:val="auto"/>
              </w:rPr>
              <w:t>(Exact name of registrant as specified in its charter)</w:t>
            </w:r>
          </w:p>
        </w:tc>
        <w:tc>
          <w:tcPr>
            <w:tcW w:w="6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2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5020" w:type="dxa"/>
            <w:vAlign w:val="bottom"/>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3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920" w:type="dxa"/>
            <w:vAlign w:val="bottom"/>
            <w:gridSpan w:val="4"/>
          </w:tcPr>
          <w:p>
            <w:pPr>
              <w:jc w:val="center"/>
              <w:ind w:right="1090"/>
              <w:spacing w:after="0"/>
              <w:rPr>
                <w:sz w:val="20"/>
                <w:szCs w:val="20"/>
                <w:color w:val="auto"/>
              </w:rPr>
            </w:pPr>
            <w:r>
              <w:rPr>
                <w:rFonts w:ascii="Arial" w:cs="Arial" w:eastAsia="Arial" w:hAnsi="Arial"/>
                <w:sz w:val="18"/>
                <w:szCs w:val="18"/>
                <w:b w:val="1"/>
                <w:bCs w:val="1"/>
                <w:color w:val="auto"/>
                <w:w w:val="93"/>
              </w:rPr>
              <w:t>Delaware</w:t>
            </w:r>
          </w:p>
        </w:tc>
        <w:tc>
          <w:tcPr>
            <w:tcW w:w="3600" w:type="dxa"/>
            <w:vAlign w:val="bottom"/>
            <w:gridSpan w:val="3"/>
          </w:tcPr>
          <w:p>
            <w:pPr>
              <w:jc w:val="right"/>
              <w:ind w:right="2270"/>
              <w:spacing w:after="0"/>
              <w:rPr>
                <w:sz w:val="20"/>
                <w:szCs w:val="20"/>
                <w:color w:val="auto"/>
              </w:rPr>
            </w:pPr>
            <w:r>
              <w:rPr>
                <w:rFonts w:ascii="Arial" w:cs="Arial" w:eastAsia="Arial" w:hAnsi="Arial"/>
                <w:sz w:val="18"/>
                <w:szCs w:val="18"/>
                <w:b w:val="1"/>
                <w:bCs w:val="1"/>
                <w:color w:val="auto"/>
              </w:rPr>
              <w:t>22-3341267</w:t>
            </w: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420" w:type="dxa"/>
            <w:vAlign w:val="bottom"/>
          </w:tcPr>
          <w:p>
            <w:pPr>
              <w:spacing w:after="0"/>
              <w:rPr>
                <w:sz w:val="17"/>
                <w:szCs w:val="17"/>
                <w:color w:val="auto"/>
              </w:rPr>
            </w:pPr>
          </w:p>
        </w:tc>
        <w:tc>
          <w:tcPr>
            <w:tcW w:w="2980" w:type="dxa"/>
            <w:vAlign w:val="bottom"/>
            <w:gridSpan w:val="5"/>
          </w:tcPr>
          <w:p>
            <w:pPr>
              <w:jc w:val="center"/>
              <w:ind w:right="30"/>
              <w:spacing w:after="0" w:line="202" w:lineRule="exact"/>
              <w:rPr>
                <w:sz w:val="20"/>
                <w:szCs w:val="20"/>
                <w:color w:val="auto"/>
              </w:rPr>
            </w:pPr>
            <w:r>
              <w:rPr>
                <w:rFonts w:ascii="Arial" w:cs="Arial" w:eastAsia="Arial" w:hAnsi="Arial"/>
                <w:sz w:val="18"/>
                <w:szCs w:val="18"/>
                <w:i w:val="1"/>
                <w:iCs w:val="1"/>
                <w:color w:val="auto"/>
                <w:w w:val="93"/>
              </w:rPr>
              <w:t>(State or other jurisdiction of</w:t>
            </w:r>
          </w:p>
        </w:tc>
        <w:tc>
          <w:tcPr>
            <w:tcW w:w="4820" w:type="dxa"/>
            <w:vAlign w:val="bottom"/>
            <w:gridSpan w:val="5"/>
          </w:tcPr>
          <w:p>
            <w:pPr>
              <w:jc w:val="center"/>
              <w:ind w:right="3220"/>
              <w:spacing w:after="0" w:line="202" w:lineRule="exact"/>
              <w:rPr>
                <w:sz w:val="20"/>
                <w:szCs w:val="20"/>
                <w:color w:val="auto"/>
              </w:rPr>
            </w:pPr>
            <w:r>
              <w:rPr>
                <w:rFonts w:ascii="Arial" w:cs="Arial" w:eastAsia="Arial" w:hAnsi="Arial"/>
                <w:sz w:val="18"/>
                <w:szCs w:val="18"/>
                <w:i w:val="1"/>
                <w:iCs w:val="1"/>
                <w:color w:val="auto"/>
                <w:w w:val="90"/>
              </w:rPr>
              <w:t>(I.R.S. Employer</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p>
        </w:tc>
        <w:tc>
          <w:tcPr>
            <w:tcW w:w="2980" w:type="dxa"/>
            <w:vAlign w:val="bottom"/>
            <w:gridSpan w:val="5"/>
          </w:tcPr>
          <w:p>
            <w:pPr>
              <w:jc w:val="center"/>
              <w:ind w:right="30"/>
              <w:spacing w:after="0"/>
              <w:rPr>
                <w:sz w:val="20"/>
                <w:szCs w:val="20"/>
                <w:color w:val="auto"/>
              </w:rPr>
            </w:pPr>
            <w:r>
              <w:rPr>
                <w:rFonts w:ascii="Arial" w:cs="Arial" w:eastAsia="Arial" w:hAnsi="Arial"/>
                <w:sz w:val="18"/>
                <w:szCs w:val="18"/>
                <w:i w:val="1"/>
                <w:iCs w:val="1"/>
                <w:color w:val="auto"/>
                <w:w w:val="94"/>
              </w:rPr>
              <w:t>incorporation or organization)</w:t>
            </w:r>
          </w:p>
        </w:tc>
        <w:tc>
          <w:tcPr>
            <w:tcW w:w="4820" w:type="dxa"/>
            <w:vAlign w:val="bottom"/>
            <w:gridSpan w:val="5"/>
          </w:tcPr>
          <w:p>
            <w:pPr>
              <w:jc w:val="center"/>
              <w:ind w:right="3220"/>
              <w:spacing w:after="0"/>
              <w:rPr>
                <w:sz w:val="20"/>
                <w:szCs w:val="20"/>
                <w:color w:val="auto"/>
              </w:rPr>
            </w:pPr>
            <w:r>
              <w:rPr>
                <w:rFonts w:ascii="Arial" w:cs="Arial" w:eastAsia="Arial" w:hAnsi="Arial"/>
                <w:sz w:val="18"/>
                <w:szCs w:val="18"/>
                <w:i w:val="1"/>
                <w:iCs w:val="1"/>
                <w:color w:val="auto"/>
                <w:w w:val="94"/>
              </w:rPr>
              <w:t>Identification No.)</w:t>
            </w:r>
          </w:p>
        </w:tc>
        <w:tc>
          <w:tcPr>
            <w:tcW w:w="0" w:type="dxa"/>
            <w:vAlign w:val="bottom"/>
          </w:tcPr>
          <w:p>
            <w:pPr>
              <w:spacing w:after="0"/>
              <w:rPr>
                <w:sz w:val="1"/>
                <w:szCs w:val="1"/>
                <w:color w:val="auto"/>
              </w:rPr>
            </w:pPr>
          </w:p>
        </w:tc>
      </w:tr>
      <w:tr>
        <w:trPr>
          <w:trHeight w:val="485"/>
        </w:trPr>
        <w:tc>
          <w:tcPr>
            <w:tcW w:w="3420" w:type="dxa"/>
            <w:vAlign w:val="bottom"/>
          </w:tcPr>
          <w:p>
            <w:pPr>
              <w:spacing w:after="0"/>
              <w:rPr>
                <w:sz w:val="24"/>
                <w:szCs w:val="24"/>
                <w:color w:val="auto"/>
              </w:rPr>
            </w:pPr>
          </w:p>
        </w:tc>
        <w:tc>
          <w:tcPr>
            <w:tcW w:w="2980" w:type="dxa"/>
            <w:vAlign w:val="bottom"/>
            <w:gridSpan w:val="5"/>
          </w:tcPr>
          <w:p>
            <w:pPr>
              <w:jc w:val="center"/>
              <w:ind w:right="30"/>
              <w:spacing w:after="0"/>
              <w:rPr>
                <w:sz w:val="20"/>
                <w:szCs w:val="20"/>
                <w:color w:val="auto"/>
              </w:rPr>
            </w:pPr>
            <w:r>
              <w:rPr>
                <w:rFonts w:ascii="Arial" w:cs="Arial" w:eastAsia="Arial" w:hAnsi="Arial"/>
                <w:sz w:val="18"/>
                <w:szCs w:val="18"/>
                <w:b w:val="1"/>
                <w:bCs w:val="1"/>
                <w:color w:val="auto"/>
                <w:w w:val="92"/>
              </w:rPr>
              <w:t>195 Clarksville Road</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20" w:type="dxa"/>
            <w:vAlign w:val="bottom"/>
          </w:tcPr>
          <w:p>
            <w:pPr>
              <w:spacing w:after="0"/>
              <w:rPr>
                <w:sz w:val="22"/>
                <w:szCs w:val="22"/>
                <w:color w:val="auto"/>
              </w:rPr>
            </w:pPr>
          </w:p>
        </w:tc>
        <w:tc>
          <w:tcPr>
            <w:tcW w:w="2980" w:type="dxa"/>
            <w:vAlign w:val="bottom"/>
            <w:gridSpan w:val="5"/>
          </w:tcPr>
          <w:p>
            <w:pPr>
              <w:jc w:val="right"/>
              <w:ind w:right="390"/>
              <w:spacing w:after="0"/>
              <w:rPr>
                <w:sz w:val="20"/>
                <w:szCs w:val="20"/>
                <w:color w:val="auto"/>
              </w:rPr>
            </w:pPr>
            <w:r>
              <w:rPr>
                <w:rFonts w:ascii="Arial" w:cs="Arial" w:eastAsia="Arial" w:hAnsi="Arial"/>
                <w:sz w:val="18"/>
                <w:szCs w:val="18"/>
                <w:b w:val="1"/>
                <w:bCs w:val="1"/>
                <w:color w:val="auto"/>
                <w:w w:val="91"/>
              </w:rPr>
              <w:t>Princeton Junction, New Jersey</w:t>
            </w:r>
          </w:p>
        </w:tc>
        <w:tc>
          <w:tcPr>
            <w:tcW w:w="3600" w:type="dxa"/>
            <w:vAlign w:val="bottom"/>
            <w:gridSpan w:val="3"/>
          </w:tcPr>
          <w:p>
            <w:pPr>
              <w:jc w:val="right"/>
              <w:ind w:right="2490"/>
              <w:spacing w:after="0"/>
              <w:rPr>
                <w:sz w:val="20"/>
                <w:szCs w:val="20"/>
                <w:color w:val="auto"/>
              </w:rPr>
            </w:pPr>
            <w:r>
              <w:rPr>
                <w:rFonts w:ascii="Arial" w:cs="Arial" w:eastAsia="Arial" w:hAnsi="Arial"/>
                <w:sz w:val="18"/>
                <w:szCs w:val="18"/>
                <w:b w:val="1"/>
                <w:bCs w:val="1"/>
                <w:color w:val="auto"/>
              </w:rPr>
              <w:t>08550</w:t>
            </w:r>
          </w:p>
        </w:tc>
        <w:tc>
          <w:tcPr>
            <w:tcW w:w="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p>
        </w:tc>
        <w:tc>
          <w:tcPr>
            <w:tcW w:w="2980" w:type="dxa"/>
            <w:vAlign w:val="bottom"/>
            <w:gridSpan w:val="5"/>
          </w:tcPr>
          <w:p>
            <w:pPr>
              <w:jc w:val="center"/>
              <w:ind w:right="3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00" w:type="dxa"/>
            <w:vAlign w:val="bottom"/>
            <w:gridSpan w:val="3"/>
          </w:tcPr>
          <w:p>
            <w:pPr>
              <w:jc w:val="center"/>
              <w:ind w:right="3540"/>
              <w:spacing w:after="0"/>
              <w:rPr>
                <w:sz w:val="20"/>
                <w:szCs w:val="20"/>
                <w:color w:val="auto"/>
              </w:rPr>
            </w:pPr>
            <w:r>
              <w:rPr>
                <w:rFonts w:ascii="Arial" w:cs="Arial" w:eastAsia="Arial" w:hAnsi="Arial"/>
                <w:sz w:val="18"/>
                <w:szCs w:val="18"/>
                <w:i w:val="1"/>
                <w:iCs w:val="1"/>
                <w:color w:val="auto"/>
                <w:w w:val="94"/>
              </w:rPr>
              <w:t>(Zip Code)</w:t>
            </w:r>
          </w:p>
        </w:tc>
        <w:tc>
          <w:tcPr>
            <w:tcW w:w="0" w:type="dxa"/>
            <w:vAlign w:val="bottom"/>
          </w:tcPr>
          <w:p>
            <w:pPr>
              <w:spacing w:after="0"/>
              <w:rPr>
                <w:sz w:val="1"/>
                <w:szCs w:val="1"/>
                <w:color w:val="auto"/>
              </w:rPr>
            </w:pPr>
          </w:p>
        </w:tc>
      </w:tr>
      <w:tr>
        <w:trPr>
          <w:trHeight w:val="540"/>
        </w:trPr>
        <w:tc>
          <w:tcPr>
            <w:tcW w:w="3420" w:type="dxa"/>
            <w:vAlign w:val="bottom"/>
          </w:tcPr>
          <w:p>
            <w:pPr>
              <w:spacing w:after="0"/>
              <w:rPr>
                <w:sz w:val="24"/>
                <w:szCs w:val="24"/>
                <w:color w:val="auto"/>
              </w:rPr>
            </w:pPr>
          </w:p>
        </w:tc>
        <w:tc>
          <w:tcPr>
            <w:tcW w:w="2980" w:type="dxa"/>
            <w:vAlign w:val="bottom"/>
            <w:gridSpan w:val="5"/>
          </w:tcPr>
          <w:p>
            <w:pPr>
              <w:jc w:val="right"/>
              <w:ind w:right="130"/>
              <w:spacing w:after="0"/>
              <w:rPr>
                <w:sz w:val="20"/>
                <w:szCs w:val="20"/>
                <w:color w:val="auto"/>
              </w:rPr>
            </w:pPr>
            <w:r>
              <w:rPr>
                <w:rFonts w:ascii="Arial" w:cs="Arial" w:eastAsia="Arial" w:hAnsi="Arial"/>
                <w:sz w:val="18"/>
                <w:szCs w:val="18"/>
                <w:b w:val="1"/>
                <w:bCs w:val="1"/>
                <w:color w:val="auto"/>
              </w:rPr>
              <w:t>(609) 716-4000</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080" w:type="dxa"/>
            <w:vAlign w:val="bottom"/>
            <w:gridSpan w:val="5"/>
            <w:vMerge w:val="restart"/>
          </w:tcPr>
          <w:p>
            <w:pPr>
              <w:jc w:val="right"/>
              <w:ind w:right="60"/>
              <w:spacing w:after="0"/>
              <w:rPr>
                <w:sz w:val="20"/>
                <w:szCs w:val="20"/>
                <w:color w:val="auto"/>
              </w:rPr>
            </w:pPr>
            <w:r>
              <w:rPr>
                <w:rFonts w:ascii="Arial" w:cs="Arial" w:eastAsia="Arial" w:hAnsi="Arial"/>
                <w:sz w:val="18"/>
                <w:szCs w:val="18"/>
                <w:i w:val="1"/>
                <w:iCs w:val="1"/>
                <w:color w:val="auto"/>
              </w:rPr>
              <w:t>(Registrant’s telephone number, including area code)</w:t>
            </w:r>
          </w:p>
        </w:tc>
        <w:tc>
          <w:tcPr>
            <w:tcW w:w="1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080" w:type="dxa"/>
            <w:vAlign w:val="bottom"/>
            <w:gridSpan w:val="5"/>
            <w:vMerge w:val="continue"/>
          </w:tcPr>
          <w:p>
            <w:pPr>
              <w:spacing w:after="0"/>
              <w:rPr>
                <w:sz w:val="9"/>
                <w:szCs w:val="9"/>
                <w:color w:val="auto"/>
              </w:rPr>
            </w:pPr>
          </w:p>
        </w:tc>
        <w:tc>
          <w:tcPr>
            <w:tcW w:w="1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91"/>
        </w:trPr>
        <w:tc>
          <w:tcPr>
            <w:tcW w:w="6400" w:type="dxa"/>
            <w:vAlign w:val="bottom"/>
            <w:gridSpan w:val="6"/>
          </w:tcPr>
          <w:p>
            <w:pPr>
              <w:jc w:val="right"/>
              <w:ind w:right="215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20" w:type="dxa"/>
            <w:vAlign w:val="bottom"/>
            <w:tcBorders>
              <w:bottom w:val="single" w:sz="8" w:color="auto"/>
            </w:tcBorders>
          </w:tcPr>
          <w:p>
            <w:pPr>
              <w:jc w:val="center"/>
              <w:ind w:left="970"/>
              <w:spacing w:after="0"/>
              <w:rPr>
                <w:sz w:val="20"/>
                <w:szCs w:val="20"/>
                <w:color w:val="auto"/>
              </w:rPr>
            </w:pPr>
            <w:r>
              <w:rPr>
                <w:rFonts w:ascii="Arial" w:cs="Arial" w:eastAsia="Arial" w:hAnsi="Arial"/>
                <w:sz w:val="18"/>
                <w:szCs w:val="18"/>
                <w:i w:val="1"/>
                <w:iCs w:val="1"/>
                <w:color w:val="auto"/>
                <w:w w:val="88"/>
              </w:rPr>
              <w:t>Title of each class</w:t>
            </w:r>
          </w:p>
        </w:tc>
        <w:tc>
          <w:tcPr>
            <w:tcW w:w="10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40" w:type="dxa"/>
            <w:vAlign w:val="bottom"/>
            <w:tcBorders>
              <w:bottom w:val="single" w:sz="8" w:color="auto"/>
            </w:tcBorders>
            <w:gridSpan w:val="3"/>
          </w:tcPr>
          <w:p>
            <w:pPr>
              <w:jc w:val="center"/>
              <w:ind w:left="130"/>
              <w:spacing w:after="0"/>
              <w:rPr>
                <w:sz w:val="20"/>
                <w:szCs w:val="20"/>
                <w:color w:val="auto"/>
              </w:rPr>
            </w:pPr>
            <w:r>
              <w:rPr>
                <w:rFonts w:ascii="Arial" w:cs="Arial" w:eastAsia="Arial" w:hAnsi="Arial"/>
                <w:sz w:val="18"/>
                <w:szCs w:val="18"/>
                <w:i w:val="1"/>
                <w:iCs w:val="1"/>
                <w:color w:val="auto"/>
                <w:w w:val="91"/>
              </w:rPr>
              <w:t>Trading Symbol(s)</w:t>
            </w:r>
          </w:p>
        </w:tc>
        <w:tc>
          <w:tcPr>
            <w:tcW w:w="2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89"/>
              </w:rPr>
              <w:t>Name of each exchange on which registered</w:t>
            </w:r>
          </w:p>
        </w:tc>
        <w:tc>
          <w:tcPr>
            <w:tcW w:w="0" w:type="dxa"/>
            <w:vAlign w:val="bottom"/>
          </w:tcPr>
          <w:p>
            <w:pPr>
              <w:spacing w:after="0"/>
              <w:rPr>
                <w:sz w:val="1"/>
                <w:szCs w:val="1"/>
                <w:color w:val="auto"/>
              </w:rPr>
            </w:pPr>
          </w:p>
        </w:tc>
      </w:tr>
      <w:tr>
        <w:trPr>
          <w:trHeight w:val="224"/>
        </w:trPr>
        <w:tc>
          <w:tcPr>
            <w:tcW w:w="3420" w:type="dxa"/>
            <w:vAlign w:val="bottom"/>
          </w:tcPr>
          <w:p>
            <w:pPr>
              <w:jc w:val="center"/>
              <w:ind w:left="970"/>
              <w:spacing w:after="0"/>
              <w:rPr>
                <w:sz w:val="20"/>
                <w:szCs w:val="20"/>
                <w:color w:val="auto"/>
              </w:rPr>
            </w:pPr>
            <w:r>
              <w:rPr>
                <w:rFonts w:ascii="Arial" w:cs="Arial" w:eastAsia="Arial" w:hAnsi="Arial"/>
                <w:sz w:val="18"/>
                <w:szCs w:val="18"/>
                <w:color w:val="auto"/>
                <w:w w:val="90"/>
              </w:rPr>
              <w:t>Common Stock, $0.01 par value</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jc w:val="center"/>
              <w:ind w:right="190"/>
              <w:spacing w:after="0"/>
              <w:rPr>
                <w:sz w:val="20"/>
                <w:szCs w:val="20"/>
                <w:color w:val="auto"/>
              </w:rPr>
            </w:pPr>
            <w:r>
              <w:rPr>
                <w:rFonts w:ascii="Arial" w:cs="Arial" w:eastAsia="Arial" w:hAnsi="Arial"/>
                <w:sz w:val="18"/>
                <w:szCs w:val="18"/>
                <w:color w:val="auto"/>
                <w:w w:val="96"/>
              </w:rPr>
              <w:t>MG</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500" w:type="dxa"/>
            <w:vAlign w:val="bottom"/>
            <w:gridSpan w:val="3"/>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44" w:lineRule="exact"/>
        <w:rPr>
          <w:sz w:val="24"/>
          <w:szCs w:val="24"/>
          <w:color w:val="auto"/>
        </w:rPr>
      </w:pPr>
    </w:p>
    <w:p>
      <w:pPr>
        <w:ind w:right="30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3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Yes o No</w:t>
      </w:r>
    </w:p>
    <w:p>
      <w:pPr>
        <w:spacing w:after="0" w:line="227" w:lineRule="exact"/>
        <w:rPr>
          <w:sz w:val="24"/>
          <w:szCs w:val="24"/>
          <w:color w:val="auto"/>
        </w:rPr>
      </w:pPr>
    </w:p>
    <w:p>
      <w:pPr>
        <w:ind w:right="120"/>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03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Yes o No</w:t>
      </w:r>
    </w:p>
    <w:p>
      <w:pPr>
        <w:spacing w:after="0" w:line="227" w:lineRule="exact"/>
        <w:rPr>
          <w:sz w:val="24"/>
          <w:szCs w:val="24"/>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320" w:type="dxa"/>
        <w:tblCellMar>
          <w:top w:w="0" w:type="dxa"/>
          <w:left w:w="0" w:type="dxa"/>
          <w:bottom w:w="0" w:type="dxa"/>
          <w:right w:w="0" w:type="dxa"/>
        </w:tblCellMar>
      </w:tblPr>
      <w:tr>
        <w:trPr>
          <w:trHeight w:val="205"/>
        </w:trPr>
        <w:tc>
          <w:tcPr>
            <w:tcW w:w="1980" w:type="dxa"/>
            <w:vAlign w:val="bottom"/>
          </w:tcPr>
          <w:p>
            <w:pPr>
              <w:spacing w:after="0" w:line="205" w:lineRule="exact"/>
              <w:rPr>
                <w:sz w:val="20"/>
                <w:szCs w:val="20"/>
                <w:color w:val="auto"/>
              </w:rPr>
            </w:pPr>
            <w:r>
              <w:rPr>
                <w:rFonts w:ascii="Arial" w:cs="Arial" w:eastAsia="Arial" w:hAnsi="Arial"/>
                <w:sz w:val="18"/>
                <w:szCs w:val="18"/>
                <w:color w:val="auto"/>
              </w:rPr>
              <w:t>Large accelerated filer</w:t>
            </w:r>
          </w:p>
        </w:tc>
        <w:tc>
          <w:tcPr>
            <w:tcW w:w="2500" w:type="dxa"/>
            <w:vAlign w:val="bottom"/>
          </w:tcPr>
          <w:p>
            <w:pPr>
              <w:ind w:left="380"/>
              <w:spacing w:after="0" w:line="205" w:lineRule="exact"/>
              <w:rPr>
                <w:sz w:val="20"/>
                <w:szCs w:val="20"/>
                <w:color w:val="auto"/>
              </w:rPr>
            </w:pPr>
            <w:r>
              <w:rPr>
                <w:rFonts w:ascii="Arial" w:cs="Arial" w:eastAsia="Arial" w:hAnsi="Arial"/>
                <w:sz w:val="18"/>
                <w:szCs w:val="18"/>
                <w:color w:val="auto"/>
              </w:rPr>
              <w:t>o</w:t>
            </w:r>
          </w:p>
        </w:tc>
        <w:tc>
          <w:tcPr>
            <w:tcW w:w="4500" w:type="dxa"/>
            <w:vAlign w:val="bottom"/>
          </w:tcPr>
          <w:p>
            <w:pPr>
              <w:ind w:left="2040"/>
              <w:spacing w:after="0" w:line="205" w:lineRule="exact"/>
              <w:rPr>
                <w:sz w:val="20"/>
                <w:szCs w:val="20"/>
                <w:color w:val="auto"/>
              </w:rPr>
            </w:pPr>
            <w:r>
              <w:rPr>
                <w:rFonts w:ascii="Arial" w:cs="Arial" w:eastAsia="Arial" w:hAnsi="Arial"/>
                <w:sz w:val="18"/>
                <w:szCs w:val="18"/>
                <w:color w:val="auto"/>
              </w:rPr>
              <w:t>Accelerated filer</w:t>
            </w:r>
          </w:p>
        </w:tc>
        <w:tc>
          <w:tcPr>
            <w:tcW w:w="560" w:type="dxa"/>
            <w:vAlign w:val="bottom"/>
          </w:tcPr>
          <w:p>
            <w:pPr>
              <w:jc w:val="center"/>
              <w:ind w:left="330"/>
              <w:spacing w:after="0" w:line="205" w:lineRule="exact"/>
              <w:rPr>
                <w:sz w:val="20"/>
                <w:szCs w:val="20"/>
                <w:color w:val="auto"/>
              </w:rPr>
            </w:pPr>
            <w:r>
              <w:rPr>
                <w:rFonts w:ascii="Arial" w:cs="Arial" w:eastAsia="Arial" w:hAnsi="Arial"/>
                <w:sz w:val="18"/>
                <w:szCs w:val="18"/>
                <w:color w:val="auto"/>
              </w:rPr>
              <w:t>x</w:t>
            </w:r>
          </w:p>
        </w:tc>
      </w:tr>
      <w:tr>
        <w:trPr>
          <w:trHeight w:val="230"/>
        </w:trPr>
        <w:tc>
          <w:tcPr>
            <w:tcW w:w="1980" w:type="dxa"/>
            <w:vAlign w:val="bottom"/>
          </w:tcPr>
          <w:p>
            <w:pPr>
              <w:spacing w:after="0"/>
              <w:rPr>
                <w:sz w:val="20"/>
                <w:szCs w:val="20"/>
                <w:color w:val="auto"/>
              </w:rPr>
            </w:pPr>
            <w:r>
              <w:rPr>
                <w:rFonts w:ascii="Arial" w:cs="Arial" w:eastAsia="Arial" w:hAnsi="Arial"/>
                <w:sz w:val="18"/>
                <w:szCs w:val="18"/>
                <w:color w:val="auto"/>
              </w:rPr>
              <w:t>Non-accelerated filer</w:t>
            </w:r>
          </w:p>
        </w:tc>
        <w:tc>
          <w:tcPr>
            <w:tcW w:w="2500" w:type="dxa"/>
            <w:vAlign w:val="bottom"/>
          </w:tcPr>
          <w:p>
            <w:pPr>
              <w:ind w:left="380"/>
              <w:spacing w:after="0"/>
              <w:rPr>
                <w:sz w:val="20"/>
                <w:szCs w:val="20"/>
                <w:color w:val="auto"/>
              </w:rPr>
            </w:pPr>
            <w:r>
              <w:rPr>
                <w:rFonts w:ascii="Arial" w:cs="Arial" w:eastAsia="Arial" w:hAnsi="Arial"/>
                <w:sz w:val="18"/>
                <w:szCs w:val="18"/>
                <w:color w:val="auto"/>
              </w:rPr>
              <w:t>o</w:t>
            </w:r>
          </w:p>
        </w:tc>
        <w:tc>
          <w:tcPr>
            <w:tcW w:w="4500" w:type="dxa"/>
            <w:vAlign w:val="bottom"/>
          </w:tcPr>
          <w:p>
            <w:pPr>
              <w:ind w:left="204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jc w:val="center"/>
              <w:ind w:left="31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9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500" w:type="dxa"/>
            <w:vAlign w:val="bottom"/>
          </w:tcPr>
          <w:p>
            <w:pPr>
              <w:ind w:left="2040"/>
              <w:spacing w:after="0"/>
              <w:rPr>
                <w:sz w:val="20"/>
                <w:szCs w:val="20"/>
                <w:color w:val="auto"/>
              </w:rPr>
            </w:pPr>
            <w:r>
              <w:rPr>
                <w:rFonts w:ascii="Arial" w:cs="Arial" w:eastAsia="Arial" w:hAnsi="Arial"/>
                <w:sz w:val="18"/>
                <w:szCs w:val="18"/>
                <w:color w:val="auto"/>
              </w:rPr>
              <w:t>Emerging Growth Company</w:t>
            </w:r>
          </w:p>
        </w:tc>
        <w:tc>
          <w:tcPr>
            <w:tcW w:w="560" w:type="dxa"/>
            <w:vAlign w:val="bottom"/>
          </w:tcPr>
          <w:p>
            <w:pPr>
              <w:jc w:val="center"/>
              <w:ind w:left="31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63"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jc w:val="right"/>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ectPr>
          <w:pgSz w:w="11900" w:h="16838" w:orient="portrait"/>
          <w:cols w:equalWidth="0" w:num="1">
            <w:col w:w="11240"/>
          </w:cols>
          <w:pgMar w:left="320" w:top="229" w:right="339" w:bottom="210" w:gutter="0" w:footer="0" w:header="0"/>
        </w:sectPr>
      </w:pPr>
    </w:p>
    <w:p>
      <w:pPr>
        <w:spacing w:after="0" w:line="200" w:lineRule="exact"/>
        <w:rPr>
          <w:sz w:val="24"/>
          <w:szCs w:val="24"/>
          <w:color w:val="auto"/>
        </w:rPr>
      </w:pPr>
    </w:p>
    <w:p>
      <w:pPr>
        <w:spacing w:after="0" w:line="286" w:lineRule="exact"/>
        <w:rPr>
          <w:sz w:val="24"/>
          <w:szCs w:val="24"/>
          <w:color w:val="auto"/>
        </w:rPr>
      </w:pPr>
    </w:p>
    <w:p>
      <w:pPr>
        <w:spacing w:after="0"/>
        <w:rPr>
          <w:sz w:val="20"/>
          <w:szCs w:val="20"/>
          <w:color w:val="auto"/>
        </w:rPr>
      </w:pPr>
      <w:r>
        <w:rPr>
          <w:rFonts w:ascii="Arial" w:cs="Arial" w:eastAsia="Arial" w:hAnsi="Arial"/>
          <w:sz w:val="16"/>
          <w:szCs w:val="16"/>
          <w:color w:val="auto"/>
        </w:rPr>
        <w:t>As of July 28, 2021, the registrant had 29,431,879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21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445135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TABLE OF CONTENTS</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6"/>
        </w:trPr>
        <w:tc>
          <w:tcPr>
            <w:tcW w:w="2980" w:type="dxa"/>
            <w:vAlign w:val="bottom"/>
            <w:tcBorders>
              <w:bottom w:val="single" w:sz="8" w:color="0000FF"/>
            </w:tcBorders>
            <w:gridSpan w:val="12"/>
          </w:tcPr>
          <w:p>
            <w:pPr>
              <w:spacing w:after="0" w:line="176" w:lineRule="exact"/>
              <w:rPr>
                <w:rFonts w:ascii="Arial" w:cs="Arial" w:eastAsia="Arial" w:hAnsi="Arial"/>
                <w:sz w:val="18"/>
                <w:szCs w:val="18"/>
                <w:color w:val="0000FF"/>
                <w:w w:val="98"/>
              </w:rPr>
            </w:pPr>
            <w:hyperlink w:anchor="page3">
              <w:r>
                <w:rPr>
                  <w:rFonts w:ascii="Arial" w:cs="Arial" w:eastAsia="Arial" w:hAnsi="Arial"/>
                  <w:sz w:val="18"/>
                  <w:szCs w:val="18"/>
                  <w:color w:val="0000FF"/>
                  <w:w w:val="98"/>
                </w:rPr>
                <w:t>PART I—FINANCIAL INFORMATION</w:t>
              </w:r>
            </w:hyperlink>
          </w:p>
        </w:tc>
        <w:tc>
          <w:tcPr>
            <w:tcW w:w="7520" w:type="dxa"/>
            <w:vAlign w:val="bottom"/>
            <w:gridSpan w:val="13"/>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480" w:type="dxa"/>
            <w:vAlign w:val="bottom"/>
          </w:tcPr>
          <w:p>
            <w:pPr>
              <w:spacing w:after="0"/>
              <w:rPr>
                <w:sz w:val="24"/>
                <w:szCs w:val="24"/>
                <w:color w:val="auto"/>
              </w:rPr>
            </w:pPr>
          </w:p>
        </w:tc>
        <w:tc>
          <w:tcPr>
            <w:tcW w:w="1120" w:type="dxa"/>
            <w:vAlign w:val="bottom"/>
            <w:gridSpan w:val="4"/>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ITEM 1.</w:t>
              </w:r>
            </w:hyperlink>
          </w:p>
        </w:tc>
        <w:tc>
          <w:tcPr>
            <w:tcW w:w="8900" w:type="dxa"/>
            <w:vAlign w:val="bottom"/>
            <w:gridSpan w:val="20"/>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Financial Statements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0"/>
          </w:tcPr>
          <w:p>
            <w:pPr>
              <w:spacing w:after="0"/>
              <w:rPr>
                <w:rFonts w:ascii="Arial" w:cs="Arial" w:eastAsia="Arial" w:hAnsi="Arial"/>
                <w:sz w:val="18"/>
                <w:szCs w:val="18"/>
                <w:color w:val="0E32E1"/>
              </w:rPr>
            </w:pPr>
            <w:hyperlink w:anchor="page4">
              <w:r>
                <w:rPr>
                  <w:rFonts w:ascii="Arial" w:cs="Arial" w:eastAsia="Arial" w:hAnsi="Arial"/>
                  <w:sz w:val="18"/>
                  <w:szCs w:val="18"/>
                  <w:color w:val="0E32E1"/>
                </w:rPr>
                <w:t xml:space="preserve">Condensed Consolidated Balance Sheets as of </w:t>
              </w:r>
            </w:hyperlink>
            <w:r>
              <w:rPr>
                <w:rFonts w:ascii="Arial" w:cs="Arial" w:eastAsia="Arial" w:hAnsi="Arial"/>
                <w:sz w:val="18"/>
                <w:szCs w:val="18"/>
                <w:color w:val="0E32E1"/>
              </w:rPr>
              <w:t xml:space="preserve">June 30, 2021 </w:t>
            </w:r>
            <w:hyperlink w:anchor="page4">
              <w:r>
                <w:rPr>
                  <w:rFonts w:ascii="Arial" w:cs="Arial" w:eastAsia="Arial" w:hAnsi="Arial"/>
                  <w:sz w:val="18"/>
                  <w:szCs w:val="18"/>
                  <w:color w:val="0E32E1"/>
                </w:rPr>
                <w:t xml:space="preserve">(unaudited) and </w:t>
              </w:r>
            </w:hyperlink>
            <w:r>
              <w:rPr>
                <w:rFonts w:ascii="Arial" w:cs="Arial" w:eastAsia="Arial" w:hAnsi="Arial"/>
                <w:sz w:val="18"/>
                <w:szCs w:val="18"/>
                <w:color w:val="0E32E1"/>
              </w:rPr>
              <w:t>December 31, 2020</w:t>
            </w:r>
          </w:p>
        </w:tc>
        <w:tc>
          <w:tcPr>
            <w:tcW w:w="68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60" w:type="dxa"/>
            <w:vAlign w:val="bottom"/>
            <w:tcBorders>
              <w:left w:val="single" w:sz="8" w:color="0E32E1"/>
            </w:tcBorders>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340" w:type="dxa"/>
            <w:vAlign w:val="bottom"/>
            <w:shd w:val="clear" w:color="auto" w:fill="0E32E1"/>
          </w:tcPr>
          <w:p>
            <w:pPr>
              <w:spacing w:after="0" w:line="20" w:lineRule="exact"/>
              <w:rPr>
                <w:sz w:val="1"/>
                <w:szCs w:val="1"/>
                <w:color w:val="auto"/>
              </w:rPr>
            </w:pPr>
          </w:p>
        </w:tc>
        <w:tc>
          <w:tcPr>
            <w:tcW w:w="198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1680" w:type="dxa"/>
            <w:vAlign w:val="bottom"/>
            <w:shd w:val="clear" w:color="auto" w:fill="0E32E1"/>
          </w:tcPr>
          <w:p>
            <w:pPr>
              <w:spacing w:after="0" w:line="20" w:lineRule="exact"/>
              <w:rPr>
                <w:sz w:val="1"/>
                <w:szCs w:val="1"/>
                <w:color w:val="auto"/>
              </w:rPr>
            </w:pPr>
          </w:p>
        </w:tc>
        <w:tc>
          <w:tcPr>
            <w:tcW w:w="540" w:type="dxa"/>
            <w:vAlign w:val="bottom"/>
            <w:shd w:val="clear" w:color="auto" w:fill="0E32E1"/>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0"/>
          </w:tcPr>
          <w:p>
            <w:pPr>
              <w:spacing w:after="0"/>
              <w:rPr>
                <w:rFonts w:ascii="Arial" w:cs="Arial" w:eastAsia="Arial" w:hAnsi="Arial"/>
                <w:sz w:val="18"/>
                <w:szCs w:val="18"/>
                <w:color w:val="0E32E1"/>
                <w:w w:val="92"/>
              </w:rPr>
            </w:pPr>
            <w:hyperlink w:anchor="page4">
              <w:r>
                <w:rPr>
                  <w:rFonts w:ascii="Arial" w:cs="Arial" w:eastAsia="Arial" w:hAnsi="Arial"/>
                  <w:sz w:val="18"/>
                  <w:szCs w:val="18"/>
                  <w:color w:val="0E32E1"/>
                  <w:w w:val="92"/>
                </w:rPr>
                <w:t xml:space="preserve">Unaudited Condensed Consolidated Statements of Income (Loss) for the </w:t>
              </w:r>
            </w:hyperlink>
            <w:r>
              <w:rPr>
                <w:rFonts w:ascii="Arial" w:cs="Arial" w:eastAsia="Arial" w:hAnsi="Arial"/>
                <w:sz w:val="18"/>
                <w:szCs w:val="18"/>
                <w:color w:val="0E32E1"/>
                <w:w w:val="92"/>
              </w:rPr>
              <w:t xml:space="preserve">three and six months ended June 30, 2021 </w:t>
            </w:r>
            <w:hyperlink w:anchor="page4">
              <w:r>
                <w:rPr>
                  <w:rFonts w:ascii="Arial" w:cs="Arial" w:eastAsia="Arial" w:hAnsi="Arial"/>
                  <w:sz w:val="18"/>
                  <w:szCs w:val="18"/>
                  <w:color w:val="0E32E1"/>
                  <w:w w:val="92"/>
                </w:rPr>
                <w:t>and</w:t>
              </w:r>
            </w:hyperlink>
          </w:p>
        </w:tc>
        <w:tc>
          <w:tcPr>
            <w:tcW w:w="680" w:type="dxa"/>
            <w:vAlign w:val="bottom"/>
            <w:gridSpan w:val="4"/>
            <w:vMerge w:val="restart"/>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0" w:type="dxa"/>
            <w:vAlign w:val="bottom"/>
            <w:tcBorders>
              <w:top w:val="single" w:sz="8" w:color="0E32E1"/>
            </w:tcBorders>
            <w:gridSpan w:val="17"/>
          </w:tcPr>
          <w:p>
            <w:pPr>
              <w:spacing w:after="0" w:line="156" w:lineRule="exact"/>
              <w:rPr>
                <w:sz w:val="20"/>
                <w:szCs w:val="20"/>
                <w:color w:val="auto"/>
              </w:rPr>
            </w:pPr>
            <w:r>
              <w:rPr>
                <w:rFonts w:ascii="Arial" w:cs="Arial" w:eastAsia="Arial" w:hAnsi="Arial"/>
                <w:sz w:val="18"/>
                <w:szCs w:val="18"/>
                <w:color w:val="0E32E1"/>
              </w:rPr>
              <w:t>June 30, 2020</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0"/>
          </w:tcPr>
          <w:p>
            <w:pPr>
              <w:spacing w:after="0"/>
              <w:rPr>
                <w:rFonts w:ascii="Arial" w:cs="Arial" w:eastAsia="Arial" w:hAnsi="Arial"/>
                <w:sz w:val="18"/>
                <w:szCs w:val="18"/>
                <w:color w:val="0E32E1"/>
                <w:w w:val="90"/>
              </w:rPr>
            </w:pPr>
            <w:hyperlink w:anchor="page5">
              <w:r>
                <w:rPr>
                  <w:rFonts w:ascii="Arial" w:cs="Arial" w:eastAsia="Arial" w:hAnsi="Arial"/>
                  <w:sz w:val="18"/>
                  <w:szCs w:val="18"/>
                  <w:color w:val="0E32E1"/>
                  <w:w w:val="90"/>
                </w:rPr>
                <w:t xml:space="preserve">Unaudited Condensed Consolidated Statements of Comprehensive Income (Loss) for the </w:t>
              </w:r>
            </w:hyperlink>
            <w:r>
              <w:rPr>
                <w:rFonts w:ascii="Arial" w:cs="Arial" w:eastAsia="Arial" w:hAnsi="Arial"/>
                <w:sz w:val="18"/>
                <w:szCs w:val="18"/>
                <w:color w:val="0E32E1"/>
                <w:w w:val="90"/>
              </w:rPr>
              <w:t>three and six months ended June</w:t>
            </w:r>
          </w:p>
        </w:tc>
        <w:tc>
          <w:tcPr>
            <w:tcW w:w="680" w:type="dxa"/>
            <w:vAlign w:val="bottom"/>
            <w:gridSpan w:val="4"/>
            <w:vMerge w:val="restart"/>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155"/>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780" w:type="dxa"/>
            <w:vAlign w:val="bottom"/>
            <w:tcBorders>
              <w:top w:val="single" w:sz="8" w:color="0E32E1"/>
            </w:tcBorders>
            <w:gridSpan w:val="19"/>
          </w:tcPr>
          <w:p>
            <w:pPr>
              <w:spacing w:after="0" w:line="156" w:lineRule="exact"/>
              <w:rPr>
                <w:rFonts w:ascii="Arial" w:cs="Arial" w:eastAsia="Arial" w:hAnsi="Arial"/>
                <w:sz w:val="18"/>
                <w:szCs w:val="18"/>
                <w:color w:val="0E32E1"/>
              </w:rPr>
            </w:pPr>
            <w:r>
              <w:rPr>
                <w:rFonts w:ascii="Arial" w:cs="Arial" w:eastAsia="Arial" w:hAnsi="Arial"/>
                <w:sz w:val="18"/>
                <w:szCs w:val="18"/>
                <w:color w:val="0E32E1"/>
              </w:rPr>
              <w:t xml:space="preserve">30, 2021 </w:t>
            </w:r>
            <w:hyperlink w:anchor="page5">
              <w:r>
                <w:rPr>
                  <w:rFonts w:ascii="Arial" w:cs="Arial" w:eastAsia="Arial" w:hAnsi="Arial"/>
                  <w:sz w:val="18"/>
                  <w:szCs w:val="18"/>
                  <w:color w:val="0E32E1"/>
                </w:rPr>
                <w:t xml:space="preserve">and </w:t>
              </w:r>
            </w:hyperlink>
            <w:r>
              <w:rPr>
                <w:rFonts w:ascii="Arial" w:cs="Arial" w:eastAsia="Arial" w:hAnsi="Arial"/>
                <w:sz w:val="18"/>
                <w:szCs w:val="18"/>
                <w:color w:val="0E32E1"/>
              </w:rPr>
              <w:t>June 30, 2020</w:t>
            </w:r>
          </w:p>
        </w:tc>
        <w:tc>
          <w:tcPr>
            <w:tcW w:w="120" w:type="dxa"/>
            <w:vAlign w:val="bottom"/>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60" w:type="dxa"/>
            <w:vAlign w:val="bottom"/>
            <w:tcBorders>
              <w:left w:val="single" w:sz="8" w:color="0E32E1"/>
            </w:tcBorders>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0"/>
          </w:tcPr>
          <w:p>
            <w:pPr>
              <w:spacing w:after="0"/>
              <w:rPr>
                <w:rFonts w:ascii="Arial" w:cs="Arial" w:eastAsia="Arial" w:hAnsi="Arial"/>
                <w:sz w:val="18"/>
                <w:szCs w:val="18"/>
                <w:color w:val="0E32E1"/>
                <w:w w:val="91"/>
              </w:rPr>
            </w:pPr>
            <w:hyperlink w:anchor="page6">
              <w:r>
                <w:rPr>
                  <w:rFonts w:ascii="Arial" w:cs="Arial" w:eastAsia="Arial" w:hAnsi="Arial"/>
                  <w:sz w:val="18"/>
                  <w:szCs w:val="18"/>
                  <w:color w:val="0E32E1"/>
                  <w:w w:val="91"/>
                </w:rPr>
                <w:t xml:space="preserve">Unaudited Condensed Consolidated Statements of Equity for the </w:t>
              </w:r>
            </w:hyperlink>
            <w:r>
              <w:rPr>
                <w:rFonts w:ascii="Arial" w:cs="Arial" w:eastAsia="Arial" w:hAnsi="Arial"/>
                <w:sz w:val="18"/>
                <w:szCs w:val="18"/>
                <w:color w:val="0E32E1"/>
                <w:w w:val="91"/>
              </w:rPr>
              <w:t xml:space="preserve">three and six months ended June 30, 2021 </w:t>
            </w:r>
            <w:hyperlink w:anchor="page6">
              <w:r>
                <w:rPr>
                  <w:rFonts w:ascii="Arial" w:cs="Arial" w:eastAsia="Arial" w:hAnsi="Arial"/>
                  <w:sz w:val="18"/>
                  <w:szCs w:val="18"/>
                  <w:color w:val="0E32E1"/>
                  <w:w w:val="91"/>
                </w:rPr>
                <w:t xml:space="preserve">and </w:t>
              </w:r>
            </w:hyperlink>
            <w:r>
              <w:rPr>
                <w:rFonts w:ascii="Arial" w:cs="Arial" w:eastAsia="Arial" w:hAnsi="Arial"/>
                <w:sz w:val="18"/>
                <w:szCs w:val="18"/>
                <w:color w:val="0E32E1"/>
                <w:w w:val="91"/>
              </w:rPr>
              <w:t>June 30,</w:t>
            </w:r>
          </w:p>
        </w:tc>
        <w:tc>
          <w:tcPr>
            <w:tcW w:w="680" w:type="dxa"/>
            <w:vAlign w:val="bottom"/>
            <w:gridSpan w:val="4"/>
            <w:vMerge w:val="restart"/>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Borders>
              <w:top w:val="single" w:sz="8" w:color="0E32E1"/>
            </w:tcBorders>
          </w:tcPr>
          <w:p>
            <w:pPr>
              <w:spacing w:after="0" w:line="156" w:lineRule="exact"/>
              <w:rPr>
                <w:sz w:val="20"/>
                <w:szCs w:val="20"/>
                <w:color w:val="auto"/>
              </w:rPr>
            </w:pPr>
            <w:r>
              <w:rPr>
                <w:rFonts w:ascii="Arial" w:cs="Arial" w:eastAsia="Arial" w:hAnsi="Arial"/>
                <w:sz w:val="18"/>
                <w:szCs w:val="18"/>
                <w:color w:val="0E32E1"/>
                <w:w w:val="84"/>
              </w:rPr>
              <w:t>2020</w:t>
            </w:r>
          </w:p>
        </w:tc>
        <w:tc>
          <w:tcPr>
            <w:tcW w:w="240" w:type="dxa"/>
            <w:vAlign w:val="bottom"/>
            <w:tcBorders>
              <w:top w:val="single" w:sz="8" w:color="0E32E1"/>
            </w:tcBorders>
          </w:tcPr>
          <w:p>
            <w:pPr>
              <w:spacing w:after="0"/>
              <w:rPr>
                <w:sz w:val="13"/>
                <w:szCs w:val="13"/>
                <w:color w:val="auto"/>
              </w:rPr>
            </w:pPr>
          </w:p>
        </w:tc>
        <w:tc>
          <w:tcPr>
            <w:tcW w:w="300" w:type="dxa"/>
            <w:vAlign w:val="bottom"/>
            <w:tcBorders>
              <w:top w:val="single" w:sz="8" w:color="0E32E1"/>
            </w:tcBorders>
          </w:tcPr>
          <w:p>
            <w:pPr>
              <w:spacing w:after="0"/>
              <w:rPr>
                <w:sz w:val="13"/>
                <w:szCs w:val="13"/>
                <w:color w:val="auto"/>
              </w:rPr>
            </w:pPr>
          </w:p>
        </w:tc>
        <w:tc>
          <w:tcPr>
            <w:tcW w:w="100" w:type="dxa"/>
            <w:vAlign w:val="bottom"/>
            <w:tcBorders>
              <w:top w:val="single" w:sz="8" w:color="0E32E1"/>
            </w:tcBorders>
          </w:tcPr>
          <w:p>
            <w:pPr>
              <w:spacing w:after="0"/>
              <w:rPr>
                <w:sz w:val="13"/>
                <w:szCs w:val="13"/>
                <w:color w:val="auto"/>
              </w:rPr>
            </w:pPr>
          </w:p>
        </w:tc>
        <w:tc>
          <w:tcPr>
            <w:tcW w:w="60" w:type="dxa"/>
            <w:vAlign w:val="bottom"/>
            <w:tcBorders>
              <w:top w:val="single" w:sz="8" w:color="0E32E1"/>
            </w:tcBorders>
          </w:tcPr>
          <w:p>
            <w:pPr>
              <w:spacing w:after="0"/>
              <w:rPr>
                <w:sz w:val="13"/>
                <w:szCs w:val="13"/>
                <w:color w:val="auto"/>
              </w:rPr>
            </w:pPr>
          </w:p>
        </w:tc>
        <w:tc>
          <w:tcPr>
            <w:tcW w:w="260" w:type="dxa"/>
            <w:vAlign w:val="bottom"/>
            <w:tcBorders>
              <w:top w:val="single" w:sz="8" w:color="0E32E1"/>
            </w:tcBorders>
          </w:tcPr>
          <w:p>
            <w:pPr>
              <w:spacing w:after="0"/>
              <w:rPr>
                <w:sz w:val="13"/>
                <w:szCs w:val="13"/>
                <w:color w:val="auto"/>
              </w:rPr>
            </w:pPr>
          </w:p>
        </w:tc>
        <w:tc>
          <w:tcPr>
            <w:tcW w:w="60" w:type="dxa"/>
            <w:vAlign w:val="bottom"/>
            <w:tcBorders>
              <w:top w:val="single" w:sz="8" w:color="0E32E1"/>
            </w:tcBorders>
          </w:tcPr>
          <w:p>
            <w:pPr>
              <w:spacing w:after="0"/>
              <w:rPr>
                <w:sz w:val="13"/>
                <w:szCs w:val="13"/>
                <w:color w:val="auto"/>
              </w:rPr>
            </w:pPr>
          </w:p>
        </w:tc>
        <w:tc>
          <w:tcPr>
            <w:tcW w:w="120" w:type="dxa"/>
            <w:vAlign w:val="bottom"/>
            <w:tcBorders>
              <w:top w:val="single" w:sz="8" w:color="0E32E1"/>
            </w:tcBorders>
          </w:tcPr>
          <w:p>
            <w:pPr>
              <w:spacing w:after="0"/>
              <w:rPr>
                <w:sz w:val="13"/>
                <w:szCs w:val="13"/>
                <w:color w:val="auto"/>
              </w:rPr>
            </w:pPr>
          </w:p>
        </w:tc>
        <w:tc>
          <w:tcPr>
            <w:tcW w:w="260" w:type="dxa"/>
            <w:vAlign w:val="bottom"/>
            <w:tcBorders>
              <w:top w:val="single" w:sz="8" w:color="0E32E1"/>
            </w:tcBorders>
          </w:tcPr>
          <w:p>
            <w:pPr>
              <w:spacing w:after="0"/>
              <w:rPr>
                <w:sz w:val="13"/>
                <w:szCs w:val="13"/>
                <w:color w:val="auto"/>
              </w:rPr>
            </w:pPr>
          </w:p>
        </w:tc>
        <w:tc>
          <w:tcPr>
            <w:tcW w:w="220" w:type="dxa"/>
            <w:vAlign w:val="bottom"/>
            <w:tcBorders>
              <w:top w:val="single" w:sz="8" w:color="0E32E1"/>
            </w:tcBorders>
          </w:tcPr>
          <w:p>
            <w:pPr>
              <w:spacing w:after="0"/>
              <w:rPr>
                <w:sz w:val="13"/>
                <w:szCs w:val="13"/>
                <w:color w:val="auto"/>
              </w:rPr>
            </w:pPr>
          </w:p>
        </w:tc>
        <w:tc>
          <w:tcPr>
            <w:tcW w:w="340" w:type="dxa"/>
            <w:vAlign w:val="bottom"/>
            <w:tcBorders>
              <w:top w:val="single" w:sz="8" w:color="0E32E1"/>
            </w:tcBorders>
          </w:tcPr>
          <w:p>
            <w:pPr>
              <w:spacing w:after="0"/>
              <w:rPr>
                <w:sz w:val="13"/>
                <w:szCs w:val="13"/>
                <w:color w:val="auto"/>
              </w:rPr>
            </w:pPr>
          </w:p>
        </w:tc>
        <w:tc>
          <w:tcPr>
            <w:tcW w:w="1980" w:type="dxa"/>
            <w:vAlign w:val="bottom"/>
            <w:tcBorders>
              <w:top w:val="single" w:sz="8" w:color="0E32E1"/>
            </w:tcBorders>
          </w:tcPr>
          <w:p>
            <w:pPr>
              <w:spacing w:after="0"/>
              <w:rPr>
                <w:sz w:val="13"/>
                <w:szCs w:val="13"/>
                <w:color w:val="auto"/>
              </w:rPr>
            </w:pPr>
          </w:p>
        </w:tc>
        <w:tc>
          <w:tcPr>
            <w:tcW w:w="40" w:type="dxa"/>
            <w:vAlign w:val="bottom"/>
            <w:tcBorders>
              <w:top w:val="single" w:sz="8" w:color="0E32E1"/>
            </w:tcBorders>
          </w:tcPr>
          <w:p>
            <w:pPr>
              <w:spacing w:after="0"/>
              <w:rPr>
                <w:sz w:val="13"/>
                <w:szCs w:val="13"/>
                <w:color w:val="auto"/>
              </w:rPr>
            </w:pPr>
          </w:p>
        </w:tc>
        <w:tc>
          <w:tcPr>
            <w:tcW w:w="440" w:type="dxa"/>
            <w:vAlign w:val="bottom"/>
            <w:tcBorders>
              <w:top w:val="single" w:sz="8" w:color="0E32E1"/>
            </w:tcBorders>
          </w:tcPr>
          <w:p>
            <w:pPr>
              <w:spacing w:after="0"/>
              <w:rPr>
                <w:sz w:val="13"/>
                <w:szCs w:val="13"/>
                <w:color w:val="auto"/>
              </w:rPr>
            </w:pPr>
          </w:p>
        </w:tc>
        <w:tc>
          <w:tcPr>
            <w:tcW w:w="1680" w:type="dxa"/>
            <w:vAlign w:val="bottom"/>
            <w:tcBorders>
              <w:top w:val="single" w:sz="8" w:color="0E32E1"/>
            </w:tcBorders>
          </w:tcPr>
          <w:p>
            <w:pPr>
              <w:spacing w:after="0"/>
              <w:rPr>
                <w:sz w:val="13"/>
                <w:szCs w:val="13"/>
                <w:color w:val="auto"/>
              </w:rPr>
            </w:pPr>
          </w:p>
        </w:tc>
        <w:tc>
          <w:tcPr>
            <w:tcW w:w="540" w:type="dxa"/>
            <w:vAlign w:val="bottom"/>
            <w:tcBorders>
              <w:top w:val="single" w:sz="8" w:color="0E32E1"/>
            </w:tcBorders>
          </w:tcPr>
          <w:p>
            <w:pPr>
              <w:spacing w:after="0"/>
              <w:rPr>
                <w:sz w:val="13"/>
                <w:szCs w:val="13"/>
                <w:color w:val="auto"/>
              </w:rPr>
            </w:pPr>
          </w:p>
        </w:tc>
        <w:tc>
          <w:tcPr>
            <w:tcW w:w="1600" w:type="dxa"/>
            <w:vAlign w:val="bottom"/>
            <w:tcBorders>
              <w:top w:val="single" w:sz="8" w:color="0E32E1"/>
            </w:tcBorders>
          </w:tcPr>
          <w:p>
            <w:pPr>
              <w:spacing w:after="0"/>
              <w:rPr>
                <w:sz w:val="13"/>
                <w:szCs w:val="13"/>
                <w:color w:val="auto"/>
              </w:rPr>
            </w:pPr>
          </w:p>
        </w:tc>
        <w:tc>
          <w:tcPr>
            <w:tcW w:w="140" w:type="dxa"/>
            <w:vAlign w:val="bottom"/>
            <w:tcBorders>
              <w:top w:val="single" w:sz="8" w:color="0E32E1"/>
            </w:tcBorders>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740" w:type="dxa"/>
            <w:vAlign w:val="bottom"/>
            <w:gridSpan w:val="18"/>
          </w:tcPr>
          <w:p>
            <w:pPr>
              <w:spacing w:after="0"/>
              <w:rPr>
                <w:rFonts w:ascii="Arial" w:cs="Arial" w:eastAsia="Arial" w:hAnsi="Arial"/>
                <w:sz w:val="18"/>
                <w:szCs w:val="18"/>
                <w:color w:val="0E32E1"/>
                <w:w w:val="88"/>
              </w:rPr>
            </w:pPr>
            <w:hyperlink w:anchor="page7">
              <w:r>
                <w:rPr>
                  <w:rFonts w:ascii="Arial" w:cs="Arial" w:eastAsia="Arial" w:hAnsi="Arial"/>
                  <w:sz w:val="18"/>
                  <w:szCs w:val="18"/>
                  <w:color w:val="0E32E1"/>
                  <w:w w:val="88"/>
                </w:rPr>
                <w:t xml:space="preserve">Unaudited Condensed Consolidated Statements of Cash Flows for the </w:t>
              </w:r>
            </w:hyperlink>
            <w:r>
              <w:rPr>
                <w:rFonts w:ascii="Arial" w:cs="Arial" w:eastAsia="Arial" w:hAnsi="Arial"/>
                <w:sz w:val="18"/>
                <w:szCs w:val="18"/>
                <w:color w:val="0E32E1"/>
                <w:w w:val="88"/>
              </w:rPr>
              <w:t xml:space="preserve">six months ended June 30, 2021 </w:t>
            </w:r>
            <w:hyperlink w:anchor="page7">
              <w:r>
                <w:rPr>
                  <w:rFonts w:ascii="Arial" w:cs="Arial" w:eastAsia="Arial" w:hAnsi="Arial"/>
                  <w:sz w:val="18"/>
                  <w:szCs w:val="18"/>
                  <w:color w:val="0E32E1"/>
                  <w:w w:val="88"/>
                </w:rPr>
                <w:t xml:space="preserve">and </w:t>
              </w:r>
            </w:hyperlink>
            <w:r>
              <w:rPr>
                <w:rFonts w:ascii="Arial" w:cs="Arial" w:eastAsia="Arial" w:hAnsi="Arial"/>
                <w:sz w:val="18"/>
                <w:szCs w:val="18"/>
                <w:color w:val="0E32E1"/>
                <w:w w:val="88"/>
              </w:rPr>
              <w:t>June 30, 2020</w:t>
            </w:r>
          </w:p>
        </w:tc>
        <w:tc>
          <w:tcPr>
            <w:tcW w:w="160" w:type="dxa"/>
            <w:vAlign w:val="bottom"/>
            <w:gridSpan w:val="2"/>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60" w:type="dxa"/>
            <w:vAlign w:val="bottom"/>
            <w:tcBorders>
              <w:left w:val="single" w:sz="8" w:color="0E32E1"/>
            </w:tcBorders>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340" w:type="dxa"/>
            <w:vAlign w:val="bottom"/>
            <w:shd w:val="clear" w:color="auto" w:fill="0E32E1"/>
          </w:tcPr>
          <w:p>
            <w:pPr>
              <w:spacing w:after="0" w:line="20" w:lineRule="exact"/>
              <w:rPr>
                <w:sz w:val="1"/>
                <w:szCs w:val="1"/>
                <w:color w:val="auto"/>
              </w:rPr>
            </w:pPr>
          </w:p>
        </w:tc>
        <w:tc>
          <w:tcPr>
            <w:tcW w:w="198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1680" w:type="dxa"/>
            <w:vAlign w:val="bottom"/>
            <w:shd w:val="clear" w:color="auto" w:fill="0E32E1"/>
          </w:tcPr>
          <w:p>
            <w:pPr>
              <w:spacing w:after="0" w:line="20" w:lineRule="exact"/>
              <w:rPr>
                <w:sz w:val="1"/>
                <w:szCs w:val="1"/>
                <w:color w:val="auto"/>
              </w:rPr>
            </w:pPr>
          </w:p>
        </w:tc>
        <w:tc>
          <w:tcPr>
            <w:tcW w:w="540" w:type="dxa"/>
            <w:vAlign w:val="bottom"/>
            <w:shd w:val="clear" w:color="auto" w:fill="0E32E1"/>
          </w:tcPr>
          <w:p>
            <w:pPr>
              <w:spacing w:after="0" w:line="20" w:lineRule="exact"/>
              <w:rPr>
                <w:sz w:val="1"/>
                <w:szCs w:val="1"/>
                <w:color w:val="auto"/>
              </w:rPr>
            </w:pPr>
          </w:p>
        </w:tc>
        <w:tc>
          <w:tcPr>
            <w:tcW w:w="1600" w:type="dxa"/>
            <w:vAlign w:val="bottom"/>
            <w:shd w:val="clear" w:color="auto" w:fill="0E32E1"/>
          </w:tcPr>
          <w:p>
            <w:pPr>
              <w:spacing w:after="0" w:line="20" w:lineRule="exact"/>
              <w:rPr>
                <w:sz w:val="1"/>
                <w:szCs w:val="1"/>
                <w:color w:val="auto"/>
              </w:rPr>
            </w:pPr>
          </w:p>
        </w:tc>
        <w:tc>
          <w:tcPr>
            <w:tcW w:w="140" w:type="dxa"/>
            <w:vAlign w:val="bottom"/>
            <w:tcBorders>
              <w:right w:val="single" w:sz="8" w:color="0E32E1"/>
            </w:tcBorders>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740" w:type="dxa"/>
            <w:vAlign w:val="bottom"/>
            <w:gridSpan w:val="18"/>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Unaudited Condensed Consolidated Financial Statements</w:t>
              </w:r>
            </w:hyperlink>
          </w:p>
        </w:tc>
        <w:tc>
          <w:tcPr>
            <w:tcW w:w="160" w:type="dxa"/>
            <w:vAlign w:val="bottom"/>
            <w:gridSpan w:val="2"/>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8"/>
                <w:szCs w:val="18"/>
                <w:color w:val="0000FF"/>
                <w:w w:val="85"/>
              </w:rPr>
            </w:pPr>
            <w:hyperlink w:anchor="page29">
              <w:r>
                <w:rPr>
                  <w:rFonts w:ascii="Arial" w:cs="Arial" w:eastAsia="Arial" w:hAnsi="Arial"/>
                  <w:sz w:val="18"/>
                  <w:szCs w:val="18"/>
                  <w:color w:val="0000FF"/>
                  <w:w w:val="85"/>
                </w:rPr>
                <w:t>ITEM 2.</w:t>
              </w:r>
            </w:hyperlink>
          </w:p>
        </w:tc>
        <w:tc>
          <w:tcPr>
            <w:tcW w:w="540" w:type="dxa"/>
            <w:vAlign w:val="bottom"/>
            <w:gridSpan w:val="2"/>
          </w:tcPr>
          <w:p>
            <w:pPr>
              <w:spacing w:after="0"/>
              <w:rPr>
                <w:sz w:val="24"/>
                <w:szCs w:val="24"/>
                <w:color w:val="auto"/>
              </w:rPr>
            </w:pPr>
          </w:p>
        </w:tc>
        <w:tc>
          <w:tcPr>
            <w:tcW w:w="6460" w:type="dxa"/>
            <w:vAlign w:val="bottom"/>
            <w:gridSpan w:val="15"/>
          </w:tcPr>
          <w:p>
            <w:pPr>
              <w:spacing w:after="0"/>
              <w:rPr>
                <w:rFonts w:ascii="Arial" w:cs="Arial" w:eastAsia="Arial" w:hAnsi="Arial"/>
                <w:sz w:val="18"/>
                <w:szCs w:val="18"/>
                <w:color w:val="0000FF"/>
                <w:w w:val="90"/>
              </w:rPr>
            </w:pPr>
            <w:hyperlink w:anchor="page29">
              <w:r>
                <w:rPr>
                  <w:rFonts w:ascii="Arial" w:cs="Arial" w:eastAsia="Arial" w:hAnsi="Arial"/>
                  <w:sz w:val="18"/>
                  <w:szCs w:val="18"/>
                  <w:color w:val="0000FF"/>
                  <w:w w:val="90"/>
                </w:rPr>
                <w:t>Management’s Discussion and Analysis of Financial Condition and Results of Operations</w:t>
              </w:r>
            </w:hyperlink>
          </w:p>
        </w:tc>
        <w:tc>
          <w:tcPr>
            <w:tcW w:w="2440" w:type="dxa"/>
            <w:vAlign w:val="bottom"/>
            <w:gridSpan w:val="5"/>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29">
              <w:r>
                <w:rPr>
                  <w:rFonts w:ascii="Arial" w:cs="Arial" w:eastAsia="Arial" w:hAnsi="Arial"/>
                  <w:sz w:val="18"/>
                  <w:szCs w:val="18"/>
                  <w:color w:val="0000FF"/>
                  <w:w w:val="79"/>
                </w:rPr>
                <w:t>27</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8"/>
                <w:szCs w:val="18"/>
                <w:color w:val="0000FF"/>
                <w:w w:val="85"/>
              </w:rPr>
            </w:pPr>
            <w:hyperlink w:anchor="page40">
              <w:r>
                <w:rPr>
                  <w:rFonts w:ascii="Arial" w:cs="Arial" w:eastAsia="Arial" w:hAnsi="Arial"/>
                  <w:sz w:val="18"/>
                  <w:szCs w:val="18"/>
                  <w:color w:val="0000FF"/>
                  <w:w w:val="85"/>
                </w:rPr>
                <w:t>ITEM 3.</w:t>
              </w:r>
            </w:hyperlink>
          </w:p>
        </w:tc>
        <w:tc>
          <w:tcPr>
            <w:tcW w:w="540" w:type="dxa"/>
            <w:vAlign w:val="bottom"/>
            <w:gridSpan w:val="2"/>
          </w:tcPr>
          <w:p>
            <w:pPr>
              <w:spacing w:after="0"/>
              <w:rPr>
                <w:sz w:val="24"/>
                <w:szCs w:val="24"/>
                <w:color w:val="auto"/>
              </w:rPr>
            </w:pPr>
          </w:p>
        </w:tc>
        <w:tc>
          <w:tcPr>
            <w:tcW w:w="6460" w:type="dxa"/>
            <w:vAlign w:val="bottom"/>
            <w:gridSpan w:val="15"/>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Quantitative and Qualitative Disclosures about Market Risk</w:t>
              </w:r>
            </w:hyperlink>
          </w:p>
        </w:tc>
        <w:tc>
          <w:tcPr>
            <w:tcW w:w="2440" w:type="dxa"/>
            <w:vAlign w:val="bottom"/>
            <w:gridSpan w:val="5"/>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37</w:t>
              </w:r>
            </w:hyperlink>
          </w:p>
        </w:tc>
        <w:tc>
          <w:tcPr>
            <w:tcW w:w="0" w:type="dxa"/>
            <w:vAlign w:val="bottom"/>
          </w:tcPr>
          <w:p>
            <w:pPr>
              <w:spacing w:after="0"/>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tcBorders>
              <w:top w:val="single" w:sz="8" w:color="0000FF"/>
            </w:tcBorders>
            <w:gridSpan w:val="2"/>
          </w:tcPr>
          <w:p>
            <w:pPr>
              <w:spacing w:after="0"/>
              <w:rPr>
                <w:rFonts w:ascii="Arial" w:cs="Arial" w:eastAsia="Arial" w:hAnsi="Arial"/>
                <w:sz w:val="18"/>
                <w:szCs w:val="18"/>
                <w:color w:val="0000FF"/>
                <w:w w:val="92"/>
              </w:rPr>
            </w:pPr>
            <w:hyperlink w:anchor="page40">
              <w:r>
                <w:rPr>
                  <w:rFonts w:ascii="Arial" w:cs="Arial" w:eastAsia="Arial" w:hAnsi="Arial"/>
                  <w:sz w:val="18"/>
                  <w:szCs w:val="18"/>
                  <w:color w:val="0000FF"/>
                  <w:w w:val="92"/>
                </w:rPr>
                <w:t>ITEM 4</w:t>
              </w:r>
            </w:hyperlink>
          </w:p>
        </w:tc>
        <w:tc>
          <w:tcPr>
            <w:tcW w:w="540" w:type="dxa"/>
            <w:vAlign w:val="bottom"/>
            <w:gridSpan w:val="2"/>
          </w:tcPr>
          <w:p>
            <w:pPr>
              <w:spacing w:after="0"/>
              <w:rPr>
                <w:sz w:val="24"/>
                <w:szCs w:val="24"/>
                <w:color w:val="auto"/>
              </w:rPr>
            </w:pPr>
          </w:p>
        </w:tc>
        <w:tc>
          <w:tcPr>
            <w:tcW w:w="4300" w:type="dxa"/>
            <w:vAlign w:val="bottom"/>
            <w:tcBorders>
              <w:top w:val="single" w:sz="8" w:color="0000FF"/>
            </w:tcBorders>
            <w:gridSpan w:val="12"/>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Controls and Procedures</w:t>
              </w:r>
            </w:hyperlink>
          </w:p>
        </w:tc>
        <w:tc>
          <w:tcPr>
            <w:tcW w:w="4600" w:type="dxa"/>
            <w:vAlign w:val="bottom"/>
            <w:gridSpan w:val="8"/>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0">
              <w:r>
                <w:rPr>
                  <w:rFonts w:ascii="Arial" w:cs="Arial" w:eastAsia="Arial" w:hAnsi="Arial"/>
                  <w:sz w:val="18"/>
                  <w:szCs w:val="18"/>
                  <w:color w:val="0000FF"/>
                </w:rPr>
                <w:t>37</w:t>
              </w:r>
            </w:hyperlink>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5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500" w:type="dxa"/>
            <w:vAlign w:val="bottom"/>
            <w:gridSpan w:val="25"/>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PART II—OTHER INFORMATION</w:t>
              </w:r>
            </w:hyperlink>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560" w:type="dxa"/>
            <w:vAlign w:val="bottom"/>
            <w:gridSpan w:val="7"/>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8"/>
                <w:szCs w:val="18"/>
                <w:color w:val="0000FF"/>
                <w:w w:val="85"/>
              </w:rPr>
            </w:pPr>
            <w:hyperlink w:anchor="page41">
              <w:r>
                <w:rPr>
                  <w:rFonts w:ascii="Arial" w:cs="Arial" w:eastAsia="Arial" w:hAnsi="Arial"/>
                  <w:sz w:val="18"/>
                  <w:szCs w:val="18"/>
                  <w:color w:val="0000FF"/>
                  <w:w w:val="85"/>
                </w:rPr>
                <w:t>ITEM 1.</w:t>
              </w:r>
            </w:hyperlink>
          </w:p>
        </w:tc>
        <w:tc>
          <w:tcPr>
            <w:tcW w:w="540" w:type="dxa"/>
            <w:vAlign w:val="bottom"/>
            <w:gridSpan w:val="2"/>
          </w:tcPr>
          <w:p>
            <w:pPr>
              <w:spacing w:after="0"/>
              <w:rPr>
                <w:sz w:val="24"/>
                <w:szCs w:val="24"/>
                <w:color w:val="auto"/>
              </w:rPr>
            </w:pPr>
          </w:p>
        </w:tc>
        <w:tc>
          <w:tcPr>
            <w:tcW w:w="1320" w:type="dxa"/>
            <w:vAlign w:val="bottom"/>
            <w:gridSpan w:val="6"/>
          </w:tcPr>
          <w:p>
            <w:pPr>
              <w:spacing w:after="0"/>
              <w:rPr>
                <w:rFonts w:ascii="Arial" w:cs="Arial" w:eastAsia="Arial" w:hAnsi="Arial"/>
                <w:sz w:val="18"/>
                <w:szCs w:val="18"/>
                <w:color w:val="0000FF"/>
                <w:w w:val="85"/>
              </w:rPr>
            </w:pPr>
            <w:hyperlink w:anchor="page41">
              <w:r>
                <w:rPr>
                  <w:rFonts w:ascii="Arial" w:cs="Arial" w:eastAsia="Arial" w:hAnsi="Arial"/>
                  <w:sz w:val="18"/>
                  <w:szCs w:val="18"/>
                  <w:color w:val="0000FF"/>
                  <w:w w:val="85"/>
                </w:rPr>
                <w:t>Legal Proceedings</w:t>
              </w:r>
            </w:hyperlink>
          </w:p>
        </w:tc>
        <w:tc>
          <w:tcPr>
            <w:tcW w:w="7580" w:type="dxa"/>
            <w:vAlign w:val="bottom"/>
            <w:gridSpan w:val="14"/>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41">
              <w:r>
                <w:rPr>
                  <w:rFonts w:ascii="Arial" w:cs="Arial" w:eastAsia="Arial" w:hAnsi="Arial"/>
                  <w:sz w:val="18"/>
                  <w:szCs w:val="18"/>
                  <w:color w:val="0000FF"/>
                  <w:w w:val="79"/>
                </w:rPr>
                <w:t>38</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5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800" w:type="dxa"/>
            <w:vAlign w:val="bottom"/>
            <w:gridSpan w:val="3"/>
          </w:tcPr>
          <w:p>
            <w:pPr>
              <w:spacing w:after="0"/>
              <w:rPr>
                <w:rFonts w:ascii="Arial" w:cs="Arial" w:eastAsia="Arial" w:hAnsi="Arial"/>
                <w:sz w:val="18"/>
                <w:szCs w:val="18"/>
                <w:color w:val="0000FF"/>
                <w:w w:val="97"/>
              </w:rPr>
            </w:pPr>
            <w:hyperlink w:anchor="page41">
              <w:r>
                <w:rPr>
                  <w:rFonts w:ascii="Arial" w:cs="Arial" w:eastAsia="Arial" w:hAnsi="Arial"/>
                  <w:sz w:val="18"/>
                  <w:szCs w:val="18"/>
                  <w:color w:val="0000FF"/>
                  <w:w w:val="97"/>
                </w:rPr>
                <w:t>ITEM 1.A.</w:t>
              </w:r>
            </w:hyperlink>
          </w:p>
        </w:tc>
        <w:tc>
          <w:tcPr>
            <w:tcW w:w="320" w:type="dxa"/>
            <w:vAlign w:val="bottom"/>
          </w:tcPr>
          <w:p>
            <w:pPr>
              <w:spacing w:after="0"/>
              <w:rPr>
                <w:sz w:val="24"/>
                <w:szCs w:val="24"/>
                <w:color w:val="auto"/>
              </w:rPr>
            </w:pPr>
          </w:p>
        </w:tc>
        <w:tc>
          <w:tcPr>
            <w:tcW w:w="8900" w:type="dxa"/>
            <w:vAlign w:val="bottom"/>
            <w:gridSpan w:val="20"/>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Risk Factors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41">
              <w:r>
                <w:rPr>
                  <w:rFonts w:ascii="Arial" w:cs="Arial" w:eastAsia="Arial" w:hAnsi="Arial"/>
                  <w:sz w:val="18"/>
                  <w:szCs w:val="18"/>
                  <w:color w:val="0000FF"/>
                </w:rPr>
                <w:t>38</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5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8"/>
                <w:szCs w:val="18"/>
                <w:color w:val="0000FF"/>
                <w:w w:val="85"/>
              </w:rPr>
            </w:pPr>
            <w:hyperlink w:anchor="page41">
              <w:r>
                <w:rPr>
                  <w:rFonts w:ascii="Arial" w:cs="Arial" w:eastAsia="Arial" w:hAnsi="Arial"/>
                  <w:sz w:val="18"/>
                  <w:szCs w:val="18"/>
                  <w:color w:val="0000FF"/>
                  <w:w w:val="85"/>
                </w:rPr>
                <w:t>ITEM 2.</w:t>
              </w:r>
            </w:hyperlink>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0"/>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Unregistered Sales of Equity Securities and Use of Proceeds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41">
              <w:r>
                <w:rPr>
                  <w:rFonts w:ascii="Arial" w:cs="Arial" w:eastAsia="Arial" w:hAnsi="Arial"/>
                  <w:sz w:val="18"/>
                  <w:szCs w:val="18"/>
                  <w:color w:val="0000FF"/>
                </w:rPr>
                <w:t>38</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5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8"/>
                <w:szCs w:val="18"/>
                <w:color w:val="0000FF"/>
                <w:w w:val="85"/>
              </w:rPr>
            </w:pPr>
            <w:hyperlink w:anchor="page41">
              <w:r>
                <w:rPr>
                  <w:rFonts w:ascii="Arial" w:cs="Arial" w:eastAsia="Arial" w:hAnsi="Arial"/>
                  <w:sz w:val="18"/>
                  <w:szCs w:val="18"/>
                  <w:color w:val="0000FF"/>
                  <w:w w:val="85"/>
                </w:rPr>
                <w:t>ITEM 3.</w:t>
              </w:r>
            </w:hyperlink>
          </w:p>
        </w:tc>
        <w:tc>
          <w:tcPr>
            <w:tcW w:w="540" w:type="dxa"/>
            <w:vAlign w:val="bottom"/>
            <w:gridSpan w:val="2"/>
          </w:tcPr>
          <w:p>
            <w:pPr>
              <w:spacing w:after="0"/>
              <w:rPr>
                <w:sz w:val="24"/>
                <w:szCs w:val="24"/>
                <w:color w:val="auto"/>
              </w:rPr>
            </w:pPr>
          </w:p>
        </w:tc>
        <w:tc>
          <w:tcPr>
            <w:tcW w:w="4340" w:type="dxa"/>
            <w:vAlign w:val="bottom"/>
            <w:gridSpan w:val="13"/>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Defaults Upon Senior Securities</w:t>
              </w:r>
            </w:hyperlink>
          </w:p>
        </w:tc>
        <w:tc>
          <w:tcPr>
            <w:tcW w:w="4560" w:type="dxa"/>
            <w:vAlign w:val="bottom"/>
            <w:gridSpan w:val="7"/>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41">
              <w:r>
                <w:rPr>
                  <w:rFonts w:ascii="Arial" w:cs="Arial" w:eastAsia="Arial" w:hAnsi="Arial"/>
                  <w:sz w:val="18"/>
                  <w:szCs w:val="18"/>
                  <w:color w:val="0000FF"/>
                  <w:w w:val="79"/>
                </w:rPr>
                <w:t>38</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658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8"/>
                <w:szCs w:val="18"/>
                <w:color w:val="0000FF"/>
                <w:w w:val="85"/>
              </w:rPr>
            </w:pPr>
            <w:hyperlink w:anchor="page41">
              <w:r>
                <w:rPr>
                  <w:rFonts w:ascii="Arial" w:cs="Arial" w:eastAsia="Arial" w:hAnsi="Arial"/>
                  <w:sz w:val="18"/>
                  <w:szCs w:val="18"/>
                  <w:color w:val="0000FF"/>
                  <w:w w:val="85"/>
                </w:rPr>
                <w:t>ITEM 4.</w:t>
              </w:r>
            </w:hyperlink>
          </w:p>
        </w:tc>
        <w:tc>
          <w:tcPr>
            <w:tcW w:w="540" w:type="dxa"/>
            <w:vAlign w:val="bottom"/>
            <w:gridSpan w:val="2"/>
          </w:tcPr>
          <w:p>
            <w:pPr>
              <w:spacing w:after="0"/>
              <w:rPr>
                <w:sz w:val="24"/>
                <w:szCs w:val="24"/>
                <w:color w:val="auto"/>
              </w:rPr>
            </w:pPr>
          </w:p>
        </w:tc>
        <w:tc>
          <w:tcPr>
            <w:tcW w:w="2320" w:type="dxa"/>
            <w:vAlign w:val="bottom"/>
            <w:gridSpan w:val="11"/>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Mine Safety Disclosures</w:t>
              </w:r>
            </w:hyperlink>
          </w:p>
        </w:tc>
        <w:tc>
          <w:tcPr>
            <w:tcW w:w="6580" w:type="dxa"/>
            <w:vAlign w:val="bottom"/>
            <w:gridSpan w:val="9"/>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41">
              <w:r>
                <w:rPr>
                  <w:rFonts w:ascii="Arial" w:cs="Arial" w:eastAsia="Arial" w:hAnsi="Arial"/>
                  <w:sz w:val="18"/>
                  <w:szCs w:val="18"/>
                  <w:color w:val="0000FF"/>
                  <w:w w:val="79"/>
                </w:rPr>
                <w:t>38</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714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8"/>
                <w:szCs w:val="18"/>
                <w:color w:val="0000FF"/>
                <w:w w:val="85"/>
              </w:rPr>
            </w:pPr>
            <w:hyperlink w:anchor="page41">
              <w:r>
                <w:rPr>
                  <w:rFonts w:ascii="Arial" w:cs="Arial" w:eastAsia="Arial" w:hAnsi="Arial"/>
                  <w:sz w:val="18"/>
                  <w:szCs w:val="18"/>
                  <w:color w:val="0000FF"/>
                  <w:w w:val="85"/>
                </w:rPr>
                <w:t>ITEM 5.</w:t>
              </w:r>
            </w:hyperlink>
          </w:p>
        </w:tc>
        <w:tc>
          <w:tcPr>
            <w:tcW w:w="540" w:type="dxa"/>
            <w:vAlign w:val="bottom"/>
            <w:gridSpan w:val="2"/>
          </w:tcPr>
          <w:p>
            <w:pPr>
              <w:spacing w:after="0"/>
              <w:rPr>
                <w:sz w:val="24"/>
                <w:szCs w:val="24"/>
                <w:color w:val="auto"/>
              </w:rPr>
            </w:pPr>
          </w:p>
        </w:tc>
        <w:tc>
          <w:tcPr>
            <w:tcW w:w="1320" w:type="dxa"/>
            <w:vAlign w:val="bottom"/>
            <w:gridSpan w:val="6"/>
          </w:tcPr>
          <w:p>
            <w:pPr>
              <w:spacing w:after="0"/>
              <w:rPr>
                <w:rFonts w:ascii="Arial" w:cs="Arial" w:eastAsia="Arial" w:hAnsi="Arial"/>
                <w:sz w:val="18"/>
                <w:szCs w:val="18"/>
                <w:color w:val="0000FF"/>
                <w:w w:val="91"/>
              </w:rPr>
            </w:pPr>
            <w:hyperlink w:anchor="page41">
              <w:r>
                <w:rPr>
                  <w:rFonts w:ascii="Arial" w:cs="Arial" w:eastAsia="Arial" w:hAnsi="Arial"/>
                  <w:sz w:val="18"/>
                  <w:szCs w:val="18"/>
                  <w:color w:val="0000FF"/>
                  <w:w w:val="91"/>
                </w:rPr>
                <w:t>Other Information</w:t>
              </w:r>
            </w:hyperlink>
          </w:p>
        </w:tc>
        <w:tc>
          <w:tcPr>
            <w:tcW w:w="440" w:type="dxa"/>
            <w:vAlign w:val="bottom"/>
            <w:gridSpan w:val="3"/>
          </w:tcPr>
          <w:p>
            <w:pPr>
              <w:spacing w:after="0"/>
              <w:rPr>
                <w:sz w:val="24"/>
                <w:szCs w:val="24"/>
                <w:color w:val="auto"/>
              </w:rPr>
            </w:pPr>
          </w:p>
        </w:tc>
        <w:tc>
          <w:tcPr>
            <w:tcW w:w="7140" w:type="dxa"/>
            <w:vAlign w:val="bottom"/>
            <w:gridSpan w:val="11"/>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41">
              <w:r>
                <w:rPr>
                  <w:rFonts w:ascii="Arial" w:cs="Arial" w:eastAsia="Arial" w:hAnsi="Arial"/>
                  <w:sz w:val="18"/>
                  <w:szCs w:val="18"/>
                  <w:color w:val="0000FF"/>
                  <w:w w:val="79"/>
                </w:rPr>
                <w:t>38</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7580" w:type="dxa"/>
            <w:vAlign w:val="bottom"/>
            <w:gridSpan w:val="1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8"/>
                <w:szCs w:val="18"/>
                <w:color w:val="0000FF"/>
                <w:w w:val="85"/>
              </w:rPr>
            </w:pPr>
            <w:hyperlink w:anchor="page41">
              <w:r>
                <w:rPr>
                  <w:rFonts w:ascii="Arial" w:cs="Arial" w:eastAsia="Arial" w:hAnsi="Arial"/>
                  <w:sz w:val="18"/>
                  <w:szCs w:val="18"/>
                  <w:color w:val="0000FF"/>
                  <w:w w:val="85"/>
                </w:rPr>
                <w:t>ITEM 6.</w:t>
              </w:r>
            </w:hyperlink>
          </w:p>
        </w:tc>
        <w:tc>
          <w:tcPr>
            <w:tcW w:w="540" w:type="dxa"/>
            <w:vAlign w:val="bottom"/>
            <w:gridSpan w:val="2"/>
          </w:tcPr>
          <w:p>
            <w:pPr>
              <w:spacing w:after="0"/>
              <w:rPr>
                <w:sz w:val="24"/>
                <w:szCs w:val="24"/>
                <w:color w:val="auto"/>
              </w:rPr>
            </w:pPr>
          </w:p>
        </w:tc>
        <w:tc>
          <w:tcPr>
            <w:tcW w:w="600" w:type="dxa"/>
            <w:vAlign w:val="bottom"/>
            <w:gridSpan w:val="2"/>
          </w:tcPr>
          <w:p>
            <w:pPr>
              <w:spacing w:after="0"/>
              <w:rPr>
                <w:rFonts w:ascii="Arial" w:cs="Arial" w:eastAsia="Arial" w:hAnsi="Arial"/>
                <w:sz w:val="18"/>
                <w:szCs w:val="18"/>
                <w:color w:val="0000FF"/>
                <w:w w:val="91"/>
              </w:rPr>
            </w:pPr>
            <w:hyperlink w:anchor="page41">
              <w:r>
                <w:rPr>
                  <w:rFonts w:ascii="Arial" w:cs="Arial" w:eastAsia="Arial" w:hAnsi="Arial"/>
                  <w:sz w:val="18"/>
                  <w:szCs w:val="18"/>
                  <w:color w:val="0000FF"/>
                  <w:w w:val="91"/>
                </w:rPr>
                <w:t>Exhibits</w:t>
              </w:r>
            </w:hyperlink>
          </w:p>
        </w:tc>
        <w:tc>
          <w:tcPr>
            <w:tcW w:w="720" w:type="dxa"/>
            <w:vAlign w:val="bottom"/>
            <w:gridSpan w:val="4"/>
          </w:tcPr>
          <w:p>
            <w:pPr>
              <w:spacing w:after="0"/>
              <w:rPr>
                <w:sz w:val="24"/>
                <w:szCs w:val="24"/>
                <w:color w:val="auto"/>
              </w:rPr>
            </w:pPr>
          </w:p>
        </w:tc>
        <w:tc>
          <w:tcPr>
            <w:tcW w:w="7580" w:type="dxa"/>
            <w:vAlign w:val="bottom"/>
            <w:gridSpan w:val="14"/>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41">
              <w:r>
                <w:rPr>
                  <w:rFonts w:ascii="Arial" w:cs="Arial" w:eastAsia="Arial" w:hAnsi="Arial"/>
                  <w:sz w:val="18"/>
                  <w:szCs w:val="18"/>
                  <w:color w:val="0000FF"/>
                  <w:w w:val="79"/>
                </w:rPr>
                <w:t>39</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600" w:type="dxa"/>
            <w:vAlign w:val="bottom"/>
            <w:gridSpan w:val="5"/>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SIGNATURES</w:t>
              </w:r>
            </w:hyperlink>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2">
              <w:r>
                <w:rPr>
                  <w:rFonts w:ascii="Arial" w:cs="Arial" w:eastAsia="Arial" w:hAnsi="Arial"/>
                  <w:sz w:val="18"/>
                  <w:szCs w:val="18"/>
                  <w:color w:val="0000FF"/>
                </w:rPr>
                <w:t>40</w:t>
              </w:r>
            </w:hyperlink>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 except share and per share data</w:t>
      </w:r>
      <w:r>
        <w:rPr>
          <w:rFonts w:ascii="Arial" w:cs="Arial" w:eastAsia="Arial" w:hAnsi="Arial"/>
          <w:sz w:val="18"/>
          <w:szCs w:val="18"/>
          <w:color w:val="auto"/>
        </w:rPr>
        <w:t>)</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b w:val="1"/>
                <w:bCs w:val="1"/>
                <w:color w:val="auto"/>
                <w:w w:val="92"/>
              </w:rPr>
              <w:t>June 30, 2021</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19,942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25,760</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107,628</w:t>
            </w:r>
          </w:p>
        </w:tc>
        <w:tc>
          <w:tcPr>
            <w:tcW w:w="0" w:type="dxa"/>
            <w:vAlign w:val="bottom"/>
          </w:tcPr>
          <w:p>
            <w:pPr>
              <w:spacing w:after="0"/>
              <w:rPr>
                <w:sz w:val="1"/>
                <w:szCs w:val="1"/>
                <w:color w:val="auto"/>
              </w:rPr>
            </w:pPr>
          </w:p>
        </w:tc>
      </w:tr>
      <w:tr>
        <w:trPr>
          <w:trHeight w:val="229"/>
        </w:trPr>
        <w:tc>
          <w:tcPr>
            <w:tcW w:w="7900" w:type="dxa"/>
            <w:vAlign w:val="bottom"/>
          </w:tcPr>
          <w:p>
            <w:pPr>
              <w:ind w:left="12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12,836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13,134</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16,066</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171,508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162,588</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92,681</w:t>
            </w: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64,608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68,642</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206,008</w:t>
            </w: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2,069</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48,639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51,325</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587,381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583,313</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14,240</w:t>
            </w:r>
          </w:p>
        </w:tc>
        <w:tc>
          <w:tcPr>
            <w:tcW w:w="0" w:type="dxa"/>
            <w:vAlign w:val="bottom"/>
          </w:tcPr>
          <w:p>
            <w:pPr>
              <w:spacing w:after="0"/>
              <w:rPr>
                <w:sz w:val="1"/>
                <w:szCs w:val="1"/>
                <w:color w:val="auto"/>
              </w:rPr>
            </w:pPr>
          </w:p>
        </w:tc>
      </w:tr>
      <w:tr>
        <w:trPr>
          <w:trHeight w:val="230"/>
        </w:trPr>
        <w:tc>
          <w:tcPr>
            <w:tcW w:w="7900" w:type="dxa"/>
            <w:vAlign w:val="bottom"/>
          </w:tcPr>
          <w:p>
            <w:pPr>
              <w:ind w:left="12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87,472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78,500</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10,678</w:t>
            </w:r>
          </w:p>
        </w:tc>
        <w:tc>
          <w:tcPr>
            <w:tcW w:w="0" w:type="dxa"/>
            <w:vAlign w:val="bottom"/>
          </w:tcPr>
          <w:p>
            <w:pPr>
              <w:spacing w:after="0"/>
              <w:rPr>
                <w:sz w:val="1"/>
                <w:szCs w:val="1"/>
                <w:color w:val="auto"/>
              </w:rPr>
            </w:pPr>
          </w:p>
        </w:tc>
      </w:tr>
      <w:tr>
        <w:trPr>
          <w:trHeight w:val="230"/>
        </w:trPr>
        <w:tc>
          <w:tcPr>
            <w:tcW w:w="7900" w:type="dxa"/>
            <w:vAlign w:val="bottom"/>
          </w:tcPr>
          <w:p>
            <w:pPr>
              <w:ind w:left="120"/>
              <w:spacing w:after="0"/>
              <w:rPr>
                <w:sz w:val="20"/>
                <w:szCs w:val="20"/>
                <w:color w:val="auto"/>
              </w:rPr>
            </w:pPr>
            <w:r>
              <w:rPr>
                <w:rFonts w:ascii="Arial" w:cs="Arial" w:eastAsia="Arial" w:hAnsi="Arial"/>
                <w:sz w:val="18"/>
                <w:szCs w:val="18"/>
                <w:color w:val="auto"/>
              </w:rPr>
              <w:t>Current portion of finance lease obligations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3,765</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payable</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128,400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109,847</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209,538</w:t>
            </w: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Obligations under finance leases, net of current portion</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10,594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11,115</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8,236</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44,783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47,358</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386,094</w:t>
            </w: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120"/>
              <w:spacing w:after="0"/>
              <w:rPr>
                <w:sz w:val="20"/>
                <w:szCs w:val="20"/>
                <w:color w:val="auto"/>
              </w:rPr>
            </w:pPr>
            <w:r>
              <w:rPr>
                <w:rFonts w:ascii="Arial" w:cs="Arial" w:eastAsia="Arial" w:hAnsi="Arial"/>
                <w:sz w:val="18"/>
                <w:szCs w:val="18"/>
                <w:color w:val="auto"/>
              </w:rPr>
              <w:t>Preferred stock, 10,000,000 shares authorized</w:t>
            </w:r>
          </w:p>
        </w:tc>
        <w:tc>
          <w:tcPr>
            <w:tcW w:w="22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90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90"/>
              </w:rPr>
              <w:t>Common stock, $0.01 par value, 200,000,000 shares authorized, 29,431,879 and 29,234,143 shares issued</w:t>
            </w:r>
          </w:p>
        </w:tc>
        <w:tc>
          <w:tcPr>
            <w:tcW w:w="22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and outstanding</w:t>
            </w:r>
          </w:p>
        </w:tc>
        <w:tc>
          <w:tcPr>
            <w:tcW w:w="22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236,125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234,638</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(21,848)</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(16,061)</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Mistras Group, Inc. stockholders’ equity</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197,021</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201,649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197,219</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Arial" w:cs="Arial" w:eastAsia="Arial" w:hAnsi="Arial"/>
                <w:sz w:val="18"/>
                <w:szCs w:val="18"/>
                <w:color w:val="auto"/>
              </w:rPr>
              <w:t>Total liabilities and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587,381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583,313</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 except per share data</w:t>
      </w:r>
      <w:r>
        <w:rPr>
          <w:rFonts w:ascii="Arial" w:cs="Arial" w:eastAsia="Arial" w:hAnsi="Arial"/>
          <w:sz w:val="18"/>
          <w:szCs w:val="18"/>
          <w:color w:val="auto"/>
        </w:rPr>
        <w: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920" w:type="dxa"/>
            <w:vAlign w:val="bottom"/>
            <w:gridSpan w:val="4"/>
          </w:tcPr>
          <w:p>
            <w:pPr>
              <w:jc w:val="right"/>
              <w:ind w:right="73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7"/>
        </w:trPr>
        <w:tc>
          <w:tcPr>
            <w:tcW w:w="4560" w:type="dxa"/>
            <w:vAlign w:val="bottom"/>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62"/>
        </w:trPr>
        <w:tc>
          <w:tcPr>
            <w:tcW w:w="4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331,412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283,900</w:t>
            </w:r>
          </w:p>
        </w:tc>
        <w:tc>
          <w:tcPr>
            <w:tcW w:w="0" w:type="dxa"/>
            <w:vAlign w:val="bottom"/>
          </w:tcPr>
          <w:p>
            <w:pPr>
              <w:spacing w:after="0"/>
              <w:rPr>
                <w:sz w:val="1"/>
                <w:szCs w:val="1"/>
                <w:color w:val="auto"/>
              </w:rPr>
            </w:pPr>
          </w:p>
        </w:tc>
      </w:tr>
      <w:tr>
        <w:trPr>
          <w:trHeight w:val="229"/>
        </w:trPr>
        <w:tc>
          <w:tcPr>
            <w:tcW w:w="4560" w:type="dxa"/>
            <w:vAlign w:val="bottom"/>
          </w:tcPr>
          <w:p>
            <w:pPr>
              <w:ind w:left="140"/>
              <w:spacing w:after="0"/>
              <w:rPr>
                <w:sz w:val="20"/>
                <w:szCs w:val="20"/>
                <w:color w:val="auto"/>
              </w:rPr>
            </w:pPr>
            <w:r>
              <w:rPr>
                <w:rFonts w:ascii="Arial" w:cs="Arial" w:eastAsia="Arial" w:hAnsi="Arial"/>
                <w:sz w:val="18"/>
                <w:szCs w:val="18"/>
                <w:color w:val="auto"/>
              </w:rPr>
              <w:t>Cost of revenue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116,787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77,954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225,030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191,278</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10,820</w:t>
            </w:r>
          </w:p>
        </w:tc>
        <w:tc>
          <w:tcPr>
            <w:tcW w:w="0" w:type="dxa"/>
            <w:vAlign w:val="bottom"/>
          </w:tcPr>
          <w:p>
            <w:pPr>
              <w:spacing w:after="0"/>
              <w:rPr>
                <w:sz w:val="1"/>
                <w:szCs w:val="1"/>
                <w:color w:val="auto"/>
              </w:rPr>
            </w:pPr>
          </w:p>
        </w:tc>
      </w:tr>
      <w:tr>
        <w:trPr>
          <w:trHeight w:val="223"/>
        </w:trPr>
        <w:tc>
          <w:tcPr>
            <w:tcW w:w="456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55,336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41,158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95,337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81,802</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79,165</w:t>
            </w:r>
          </w:p>
        </w:tc>
        <w:tc>
          <w:tcPr>
            <w:tcW w:w="0" w:type="dxa"/>
            <w:vAlign w:val="bottom"/>
          </w:tcPr>
          <w:p>
            <w:pPr>
              <w:spacing w:after="0"/>
              <w:rPr>
                <w:sz w:val="1"/>
                <w:szCs w:val="1"/>
                <w:color w:val="auto"/>
              </w:rPr>
            </w:pPr>
          </w:p>
        </w:tc>
      </w:tr>
      <w:tr>
        <w:trPr>
          <w:trHeight w:val="229"/>
        </w:trPr>
        <w:tc>
          <w:tcPr>
            <w:tcW w:w="4560" w:type="dxa"/>
            <w:vAlign w:val="bottom"/>
          </w:tcPr>
          <w:p>
            <w:pPr>
              <w:ind w:left="140"/>
              <w:spacing w:after="0"/>
              <w:rPr>
                <w:sz w:val="20"/>
                <w:szCs w:val="20"/>
                <w:color w:val="auto"/>
              </w:rPr>
            </w:pPr>
            <w:r>
              <w:rPr>
                <w:rFonts w:ascii="Arial" w:cs="Arial" w:eastAsia="Arial" w:hAnsi="Arial"/>
                <w:sz w:val="18"/>
                <w:szCs w:val="18"/>
                <w:color w:val="auto"/>
              </w:rPr>
              <w:t>Impairment charges</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106,062</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Legal settlement and litigation charges, net</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60" w:type="dxa"/>
            <w:vAlign w:val="bottom"/>
          </w:tcPr>
          <w:p>
            <w:pPr>
              <w:ind w:left="140"/>
              <w:spacing w:after="0"/>
              <w:rPr>
                <w:sz w:val="20"/>
                <w:szCs w:val="20"/>
                <w:color w:val="auto"/>
              </w:rPr>
            </w:pPr>
            <w:r>
              <w:rPr>
                <w:rFonts w:ascii="Arial" w:cs="Arial" w:eastAsia="Arial" w:hAnsi="Arial"/>
                <w:sz w:val="18"/>
                <w:szCs w:val="18"/>
                <w:color w:val="auto"/>
              </w:rPr>
              <w:t>Research and engineering</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7,177</w:t>
            </w:r>
          </w:p>
        </w:tc>
        <w:tc>
          <w:tcPr>
            <w:tcW w:w="0" w:type="dxa"/>
            <w:vAlign w:val="bottom"/>
          </w:tcPr>
          <w:p>
            <w:pPr>
              <w:spacing w:after="0"/>
              <w:rPr>
                <w:sz w:val="1"/>
                <w:szCs w:val="1"/>
                <w:color w:val="auto"/>
              </w:rPr>
            </w:pPr>
          </w:p>
        </w:tc>
      </w:tr>
      <w:tr>
        <w:trPr>
          <w:trHeight w:val="230"/>
        </w:trPr>
        <w:tc>
          <w:tcPr>
            <w:tcW w:w="4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Acquisition-related expense (benefit), net</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(111,611)</w:t>
            </w:r>
          </w:p>
        </w:tc>
        <w:tc>
          <w:tcPr>
            <w:tcW w:w="0" w:type="dxa"/>
            <w:vAlign w:val="bottom"/>
          </w:tcPr>
          <w:p>
            <w:pPr>
              <w:spacing w:after="0"/>
              <w:rPr>
                <w:sz w:val="1"/>
                <w:szCs w:val="1"/>
                <w:color w:val="auto"/>
              </w:rPr>
            </w:pPr>
          </w:p>
        </w:tc>
      </w:tr>
      <w:tr>
        <w:trPr>
          <w:trHeight w:val="230"/>
        </w:trPr>
        <w:tc>
          <w:tcPr>
            <w:tcW w:w="4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5,765</w:t>
            </w: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before benefit for income taxes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(117,376)</w:t>
            </w:r>
          </w:p>
        </w:tc>
        <w:tc>
          <w:tcPr>
            <w:tcW w:w="0" w:type="dxa"/>
            <w:vAlign w:val="bottom"/>
          </w:tcPr>
          <w:p>
            <w:pPr>
              <w:spacing w:after="0"/>
              <w:rPr>
                <w:sz w:val="1"/>
                <w:szCs w:val="1"/>
                <w:color w:val="auto"/>
              </w:rPr>
            </w:pPr>
          </w:p>
        </w:tc>
      </w:tr>
      <w:tr>
        <w:trPr>
          <w:trHeight w:val="230"/>
        </w:trPr>
        <w:tc>
          <w:tcPr>
            <w:tcW w:w="4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Provision (benefit) for income taxes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(16,189)</w:t>
            </w: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(101,187)</w:t>
            </w:r>
          </w:p>
        </w:tc>
        <w:tc>
          <w:tcPr>
            <w:tcW w:w="0" w:type="dxa"/>
            <w:vAlign w:val="bottom"/>
          </w:tcPr>
          <w:p>
            <w:pPr>
              <w:spacing w:after="0"/>
              <w:rPr>
                <w:sz w:val="1"/>
                <w:szCs w:val="1"/>
                <w:color w:val="auto"/>
              </w:rPr>
            </w:pPr>
          </w:p>
        </w:tc>
      </w:tr>
      <w:tr>
        <w:trPr>
          <w:trHeight w:val="176"/>
        </w:trPr>
        <w:tc>
          <w:tcPr>
            <w:tcW w:w="4560" w:type="dxa"/>
            <w:vAlign w:val="bottom"/>
          </w:tcPr>
          <w:p>
            <w:pPr>
              <w:ind w:left="140"/>
              <w:spacing w:after="0" w:line="176" w:lineRule="exact"/>
              <w:rPr>
                <w:sz w:val="20"/>
                <w:szCs w:val="20"/>
                <w:color w:val="auto"/>
              </w:rPr>
            </w:pPr>
            <w:r>
              <w:rPr>
                <w:rFonts w:ascii="Arial" w:cs="Arial" w:eastAsia="Arial" w:hAnsi="Arial"/>
                <w:sz w:val="18"/>
                <w:szCs w:val="18"/>
                <w:color w:val="auto"/>
              </w:rPr>
              <w:t>Less: net income (loss) attributable to noncontrolling</w:t>
            </w:r>
          </w:p>
        </w:tc>
        <w:tc>
          <w:tcPr>
            <w:tcW w:w="3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4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interests, net of taxes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attributable to Mistras Group, Inc</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(101,165)</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per common share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360"/>
              <w:spacing w:after="0"/>
              <w:rPr>
                <w:sz w:val="20"/>
                <w:szCs w:val="20"/>
                <w:color w:val="auto"/>
              </w:rPr>
            </w:pPr>
            <w:r>
              <w:rPr>
                <w:rFonts w:ascii="Arial" w:cs="Arial" w:eastAsia="Arial" w:hAnsi="Arial"/>
                <w:sz w:val="18"/>
                <w:szCs w:val="18"/>
                <w:color w:val="auto"/>
              </w:rPr>
              <w:t>Basic</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29,024</w:t>
            </w:r>
          </w:p>
        </w:tc>
        <w:tc>
          <w:tcPr>
            <w:tcW w:w="0" w:type="dxa"/>
            <w:vAlign w:val="bottom"/>
          </w:tcPr>
          <w:p>
            <w:pPr>
              <w:spacing w:after="0"/>
              <w:rPr>
                <w:sz w:val="1"/>
                <w:szCs w:val="1"/>
                <w:color w:val="auto"/>
              </w:rPr>
            </w:pPr>
          </w:p>
        </w:tc>
      </w:tr>
      <w:tr>
        <w:trPr>
          <w:trHeight w:val="230"/>
        </w:trPr>
        <w:tc>
          <w:tcPr>
            <w:tcW w:w="4560" w:type="dxa"/>
            <w:vAlign w:val="bottom"/>
          </w:tcPr>
          <w:p>
            <w:pPr>
              <w:ind w:left="36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30,136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29,085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30,039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29,024</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Consolidated Statements of Comprehensive Income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9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7"/>
        </w:trPr>
        <w:tc>
          <w:tcPr>
            <w:tcW w:w="45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7"/>
        </w:trPr>
        <w:tc>
          <w:tcPr>
            <w:tcW w:w="456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5,945</w:t>
            </w:r>
          </w:p>
        </w:tc>
        <w:tc>
          <w:tcPr>
            <w:tcW w:w="110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(101,187)</w:t>
            </w:r>
          </w:p>
        </w:tc>
        <w:tc>
          <w:tcPr>
            <w:tcW w:w="0" w:type="dxa"/>
            <w:vAlign w:val="bottom"/>
          </w:tcPr>
          <w:p>
            <w:pPr>
              <w:spacing w:after="0"/>
              <w:rPr>
                <w:sz w:val="1"/>
                <w:szCs w:val="1"/>
                <w:color w:val="auto"/>
              </w:rPr>
            </w:pPr>
          </w:p>
        </w:tc>
      </w:tr>
      <w:tr>
        <w:trPr>
          <w:trHeight w:val="229"/>
        </w:trPr>
        <w:tc>
          <w:tcPr>
            <w:tcW w:w="45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2,947</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(10,893)</w:t>
            </w:r>
          </w:p>
        </w:tc>
        <w:tc>
          <w:tcPr>
            <w:tcW w:w="0" w:type="dxa"/>
            <w:vAlign w:val="bottom"/>
          </w:tcPr>
          <w:p>
            <w:pPr>
              <w:spacing w:after="0"/>
              <w:rPr>
                <w:sz w:val="1"/>
                <w:szCs w:val="1"/>
                <w:color w:val="auto"/>
              </w:rPr>
            </w:pPr>
          </w:p>
        </w:tc>
      </w:tr>
      <w:tr>
        <w:trPr>
          <w:trHeight w:val="223"/>
        </w:trPr>
        <w:tc>
          <w:tcPr>
            <w:tcW w:w="456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8,892</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3,457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(112,080)</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Less: net income (loss) attributable to noncontrolling interest</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75"/>
        </w:trPr>
        <w:tc>
          <w:tcPr>
            <w:tcW w:w="4560" w:type="dxa"/>
            <w:vAlign w:val="bottom"/>
          </w:tcPr>
          <w:p>
            <w:pPr>
              <w:ind w:left="160"/>
              <w:spacing w:after="0" w:line="176" w:lineRule="exact"/>
              <w:rPr>
                <w:sz w:val="20"/>
                <w:szCs w:val="20"/>
                <w:color w:val="auto"/>
              </w:rPr>
            </w:pPr>
            <w:r>
              <w:rPr>
                <w:rFonts w:ascii="Arial" w:cs="Arial" w:eastAsia="Arial" w:hAnsi="Arial"/>
                <w:sz w:val="18"/>
                <w:szCs w:val="18"/>
                <w:color w:val="auto"/>
                <w:w w:val="93"/>
              </w:rPr>
              <w:t>Less: Foreign currency translation adjustments attributable</w:t>
            </w:r>
          </w:p>
        </w:tc>
        <w:tc>
          <w:tcPr>
            <w:tcW w:w="102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4560" w:type="dxa"/>
            <w:vAlign w:val="bottom"/>
          </w:tcPr>
          <w:p>
            <w:pPr>
              <w:ind w:left="160"/>
              <w:spacing w:after="0"/>
              <w:rPr>
                <w:sz w:val="20"/>
                <w:szCs w:val="20"/>
                <w:color w:val="auto"/>
              </w:rPr>
            </w:pPr>
            <w:r>
              <w:rPr>
                <w:rFonts w:ascii="Arial" w:cs="Arial" w:eastAsia="Arial" w:hAnsi="Arial"/>
                <w:sz w:val="18"/>
                <w:szCs w:val="18"/>
                <w:color w:val="auto"/>
              </w:rPr>
              <w:t>to noncontrolling interests</w:t>
            </w:r>
          </w:p>
        </w:tc>
        <w:tc>
          <w:tcPr>
            <w:tcW w:w="102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560" w:type="dxa"/>
            <w:vAlign w:val="bottom"/>
            <w:tcBorders>
              <w:top w:val="single" w:sz="8" w:color="CCEEFF"/>
            </w:tcBorders>
            <w:shd w:val="clear" w:color="auto" w:fill="CCEEFF"/>
          </w:tcPr>
          <w:p>
            <w:pPr>
              <w:ind w:left="40"/>
              <w:spacing w:after="0" w:line="156" w:lineRule="exact"/>
              <w:rPr>
                <w:sz w:val="20"/>
                <w:szCs w:val="20"/>
                <w:color w:val="auto"/>
              </w:rPr>
            </w:pPr>
            <w:r>
              <w:rPr>
                <w:rFonts w:ascii="Arial" w:cs="Arial" w:eastAsia="Arial" w:hAnsi="Arial"/>
                <w:sz w:val="18"/>
                <w:szCs w:val="18"/>
                <w:color w:val="auto"/>
                <w:w w:val="94"/>
              </w:rPr>
              <w:t>Comprehensive income (loss) attributable to Mistras Group,</w:t>
            </w:r>
          </w:p>
        </w:tc>
        <w:tc>
          <w:tcPr>
            <w:tcW w:w="1020" w:type="dxa"/>
            <w:vAlign w:val="bottom"/>
            <w:tcBorders>
              <w:top w:val="single" w:sz="8" w:color="auto"/>
            </w:tcBorders>
            <w:vMerge w:val="restart"/>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8,883</w:t>
            </w:r>
          </w:p>
        </w:tc>
        <w:tc>
          <w:tcPr>
            <w:tcW w:w="100" w:type="dxa"/>
            <w:vAlign w:val="bottom"/>
          </w:tcPr>
          <w:p>
            <w:pPr>
              <w:spacing w:after="0"/>
              <w:rPr>
                <w:sz w:val="13"/>
                <w:szCs w:val="13"/>
                <w:color w:val="auto"/>
              </w:rPr>
            </w:pPr>
          </w:p>
        </w:tc>
        <w:tc>
          <w:tcPr>
            <w:tcW w:w="1000" w:type="dxa"/>
            <w:vAlign w:val="bottom"/>
            <w:tcBorders>
              <w:top w:val="single" w:sz="8" w:color="auto"/>
            </w:tcBorders>
            <w:vMerge w:val="restart"/>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3,466</w:t>
            </w: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(112,052)</w:t>
            </w:r>
          </w:p>
        </w:tc>
        <w:tc>
          <w:tcPr>
            <w:tcW w:w="0" w:type="dxa"/>
            <w:vAlign w:val="bottom"/>
          </w:tcPr>
          <w:p>
            <w:pPr>
              <w:spacing w:after="0"/>
              <w:rPr>
                <w:sz w:val="1"/>
                <w:szCs w:val="1"/>
                <w:color w:val="auto"/>
              </w:rPr>
            </w:pPr>
          </w:p>
        </w:tc>
      </w:tr>
      <w:tr>
        <w:trPr>
          <w:trHeight w:val="223"/>
        </w:trPr>
        <w:tc>
          <w:tcPr>
            <w:tcW w:w="45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Inc</w:t>
            </w: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Condensed Consolidated Statements of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31" w:lineRule="exact"/>
        <w:rPr>
          <w:sz w:val="20"/>
          <w:szCs w:val="20"/>
          <w:color w:val="auto"/>
        </w:rPr>
      </w:pPr>
    </w:p>
    <w:tbl>
      <w:tblPr>
        <w:tblLayout w:type="fixed"/>
        <w:tblInd w:w="300" w:type="dxa"/>
        <w:tblCellMar>
          <w:top w:w="0" w:type="dxa"/>
          <w:left w:w="0" w:type="dxa"/>
          <w:bottom w:w="0" w:type="dxa"/>
          <w:right w:w="0" w:type="dxa"/>
        </w:tblCellMar>
      </w:tblPr>
      <w:tr>
        <w:trPr>
          <w:trHeight w:val="174"/>
        </w:trPr>
        <w:tc>
          <w:tcPr>
            <w:tcW w:w="2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5"/>
          </w:tcPr>
          <w:p>
            <w:pPr>
              <w:ind w:left="34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2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5"/>
              </w:rPr>
              <w:t>Accumulated</w:t>
            </w:r>
          </w:p>
        </w:tc>
        <w:tc>
          <w:tcPr>
            <w:tcW w:w="100" w:type="dxa"/>
            <w:vAlign w:val="bottom"/>
          </w:tcPr>
          <w:p>
            <w:pPr>
              <w:spacing w:after="0"/>
              <w:rPr>
                <w:sz w:val="24"/>
                <w:szCs w:val="2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100" w:type="dxa"/>
            <w:vAlign w:val="bottom"/>
            <w:gridSpan w:val="3"/>
          </w:tcPr>
          <w:p>
            <w:pPr>
              <w:jc w:val="center"/>
              <w:ind w:right="140"/>
              <w:spacing w:after="0" w:line="122" w:lineRule="exact"/>
              <w:rPr>
                <w:sz w:val="20"/>
                <w:szCs w:val="20"/>
                <w:color w:val="auto"/>
              </w:rPr>
            </w:pPr>
            <w:r>
              <w:rPr>
                <w:rFonts w:ascii="Arial" w:cs="Arial" w:eastAsia="Arial" w:hAnsi="Arial"/>
                <w:sz w:val="13"/>
                <w:szCs w:val="13"/>
                <w:b w:val="1"/>
                <w:bCs w:val="1"/>
                <w:color w:val="auto"/>
                <w:w w:val="91"/>
              </w:rPr>
              <w:t>Mistras Group,</w:t>
            </w: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3"/>
          </w:tcPr>
          <w:p>
            <w:pPr>
              <w:jc w:val="right"/>
              <w:ind w:right="297"/>
              <w:spacing w:after="0"/>
              <w:rPr>
                <w:sz w:val="20"/>
                <w:szCs w:val="20"/>
                <w:color w:val="auto"/>
              </w:rPr>
            </w:pPr>
            <w:r>
              <w:rPr>
                <w:rFonts w:ascii="Arial" w:cs="Arial" w:eastAsia="Arial" w:hAnsi="Arial"/>
                <w:sz w:val="13"/>
                <w:szCs w:val="13"/>
                <w:b w:val="1"/>
                <w:bCs w:val="1"/>
                <w:color w:val="auto"/>
              </w:rPr>
              <w:t>Common Stock</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7"/>
              </w:rPr>
              <w:t>Retained</w:t>
            </w:r>
          </w:p>
        </w:tc>
        <w:tc>
          <w:tcPr>
            <w:tcW w:w="8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Inc.</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gridSpan w:val="2"/>
            <w:vMerge w:val="restart"/>
          </w:tcPr>
          <w:p>
            <w:pPr>
              <w:jc w:val="center"/>
              <w:ind w:right="180"/>
              <w:spacing w:after="0" w:line="95" w:lineRule="exact"/>
              <w:rPr>
                <w:sz w:val="20"/>
                <w:szCs w:val="20"/>
                <w:color w:val="auto"/>
              </w:rPr>
            </w:pPr>
            <w:r>
              <w:rPr>
                <w:rFonts w:ascii="Arial" w:cs="Arial" w:eastAsia="Arial" w:hAnsi="Arial"/>
                <w:sz w:val="10"/>
                <w:szCs w:val="10"/>
                <w:b w:val="1"/>
                <w:bCs w:val="1"/>
                <w:color w:val="auto"/>
              </w:rPr>
              <w:t>Additional</w:t>
            </w:r>
          </w:p>
        </w:tc>
        <w:tc>
          <w:tcPr>
            <w:tcW w:w="160" w:type="dxa"/>
            <w:vAlign w:val="bottom"/>
          </w:tcPr>
          <w:p>
            <w:pPr>
              <w:spacing w:after="0"/>
              <w:rPr>
                <w:sz w:val="4"/>
                <w:szCs w:val="4"/>
                <w:color w:val="auto"/>
              </w:rPr>
            </w:pPr>
          </w:p>
        </w:tc>
        <w:tc>
          <w:tcPr>
            <w:tcW w:w="920" w:type="dxa"/>
            <w:vAlign w:val="bottom"/>
            <w:gridSpan w:val="2"/>
            <w:vMerge w:val="restart"/>
          </w:tcPr>
          <w:p>
            <w:pPr>
              <w:jc w:val="center"/>
              <w:ind w:right="260"/>
              <w:spacing w:after="0" w:line="95" w:lineRule="exact"/>
              <w:rPr>
                <w:sz w:val="20"/>
                <w:szCs w:val="20"/>
                <w:color w:val="auto"/>
              </w:rPr>
            </w:pPr>
            <w:r>
              <w:rPr>
                <w:rFonts w:ascii="Arial" w:cs="Arial" w:eastAsia="Arial" w:hAnsi="Arial"/>
                <w:sz w:val="10"/>
                <w:szCs w:val="10"/>
                <w:b w:val="1"/>
                <w:bCs w:val="1"/>
                <w:color w:val="auto"/>
              </w:rPr>
              <w:t>earnings</w:t>
            </w:r>
          </w:p>
        </w:tc>
        <w:tc>
          <w:tcPr>
            <w:tcW w:w="80" w:type="dxa"/>
            <w:vAlign w:val="bottom"/>
          </w:tcPr>
          <w:p>
            <w:pPr>
              <w:spacing w:after="0"/>
              <w:rPr>
                <w:sz w:val="4"/>
                <w:szCs w:val="4"/>
                <w:color w:val="auto"/>
              </w:rPr>
            </w:pPr>
          </w:p>
        </w:tc>
        <w:tc>
          <w:tcPr>
            <w:tcW w:w="1020" w:type="dxa"/>
            <w:vAlign w:val="bottom"/>
            <w:gridSpan w:val="2"/>
            <w:vMerge w:val="restart"/>
          </w:tcPr>
          <w:p>
            <w:pPr>
              <w:jc w:val="center"/>
              <w:ind w:right="200"/>
              <w:spacing w:after="0" w:line="95" w:lineRule="exact"/>
              <w:rPr>
                <w:sz w:val="20"/>
                <w:szCs w:val="20"/>
                <w:color w:val="auto"/>
              </w:rPr>
            </w:pPr>
            <w:r>
              <w:rPr>
                <w:rFonts w:ascii="Arial" w:cs="Arial" w:eastAsia="Arial" w:hAnsi="Arial"/>
                <w:sz w:val="10"/>
                <w:szCs w:val="10"/>
                <w:b w:val="1"/>
                <w:bCs w:val="1"/>
                <w:color w:val="auto"/>
              </w:rPr>
              <w:t>comprehensive</w:t>
            </w:r>
          </w:p>
        </w:tc>
        <w:tc>
          <w:tcPr>
            <w:tcW w:w="100" w:type="dxa"/>
            <w:vAlign w:val="bottom"/>
          </w:tcPr>
          <w:p>
            <w:pPr>
              <w:spacing w:after="0"/>
              <w:rPr>
                <w:sz w:val="4"/>
                <w:szCs w:val="4"/>
                <w:color w:val="auto"/>
              </w:rPr>
            </w:pPr>
          </w:p>
        </w:tc>
        <w:tc>
          <w:tcPr>
            <w:tcW w:w="1000" w:type="dxa"/>
            <w:vAlign w:val="bottom"/>
            <w:gridSpan w:val="2"/>
            <w:vMerge w:val="restart"/>
          </w:tcPr>
          <w:p>
            <w:pPr>
              <w:jc w:val="center"/>
              <w:ind w:right="220"/>
              <w:spacing w:after="0" w:line="95" w:lineRule="exact"/>
              <w:rPr>
                <w:sz w:val="20"/>
                <w:szCs w:val="20"/>
                <w:color w:val="auto"/>
              </w:rPr>
            </w:pPr>
            <w:r>
              <w:rPr>
                <w:rFonts w:ascii="Arial" w:cs="Arial" w:eastAsia="Arial" w:hAnsi="Arial"/>
                <w:sz w:val="10"/>
                <w:szCs w:val="10"/>
                <w:b w:val="1"/>
                <w:bCs w:val="1"/>
                <w:color w:val="auto"/>
              </w:rPr>
              <w:t>Stockholders’</w:t>
            </w:r>
          </w:p>
        </w:tc>
        <w:tc>
          <w:tcPr>
            <w:tcW w:w="60" w:type="dxa"/>
            <w:vAlign w:val="bottom"/>
          </w:tcPr>
          <w:p>
            <w:pPr>
              <w:spacing w:after="0"/>
              <w:rPr>
                <w:sz w:val="4"/>
                <w:szCs w:val="4"/>
                <w:color w:val="auto"/>
              </w:rPr>
            </w:pPr>
          </w:p>
        </w:tc>
        <w:tc>
          <w:tcPr>
            <w:tcW w:w="1020" w:type="dxa"/>
            <w:vAlign w:val="bottom"/>
            <w:gridSpan w:val="2"/>
            <w:vMerge w:val="restart"/>
          </w:tcPr>
          <w:p>
            <w:pPr>
              <w:jc w:val="center"/>
              <w:ind w:right="180"/>
              <w:spacing w:after="0" w:line="95" w:lineRule="exact"/>
              <w:rPr>
                <w:sz w:val="20"/>
                <w:szCs w:val="20"/>
                <w:color w:val="auto"/>
              </w:rPr>
            </w:pPr>
            <w:r>
              <w:rPr>
                <w:rFonts w:ascii="Arial" w:cs="Arial" w:eastAsia="Arial" w:hAnsi="Arial"/>
                <w:sz w:val="10"/>
                <w:szCs w:val="10"/>
                <w:b w:val="1"/>
                <w:bCs w:val="1"/>
                <w:color w:val="auto"/>
              </w:rPr>
              <w:t>Noncontrolling</w:t>
            </w: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Shares</w:t>
            </w:r>
          </w:p>
        </w:tc>
        <w:tc>
          <w:tcPr>
            <w:tcW w:w="7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w w:val="91"/>
              </w:rPr>
              <w:t>Total Equity</w:t>
            </w:r>
          </w:p>
        </w:tc>
        <w:tc>
          <w:tcPr>
            <w:tcW w:w="0" w:type="dxa"/>
            <w:vAlign w:val="bottom"/>
          </w:tcPr>
          <w:p>
            <w:pPr>
              <w:spacing w:after="0" w:line="20" w:lineRule="exact"/>
              <w:rPr>
                <w:sz w:val="1"/>
                <w:szCs w:val="1"/>
                <w:color w:val="auto"/>
              </w:rPr>
            </w:pPr>
          </w:p>
        </w:tc>
      </w:tr>
      <w:tr>
        <w:trPr>
          <w:trHeight w:val="170"/>
        </w:trPr>
        <w:tc>
          <w:tcPr>
            <w:tcW w:w="2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paid-in capital</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(deficit)</w:t>
            </w:r>
          </w:p>
        </w:tc>
        <w:tc>
          <w:tcPr>
            <w:tcW w:w="8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3"/>
              </w:rPr>
              <w:t>income (loss)</w:t>
            </w:r>
          </w:p>
        </w:tc>
        <w:tc>
          <w:tcPr>
            <w:tcW w:w="10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Equity</w:t>
            </w:r>
          </w:p>
        </w:tc>
        <w:tc>
          <w:tcPr>
            <w:tcW w:w="6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at March 31, 2021</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29,347</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57"/>
              <w:spacing w:after="0"/>
              <w:rPr>
                <w:sz w:val="20"/>
                <w:szCs w:val="20"/>
                <w:color w:val="auto"/>
              </w:rPr>
            </w:pPr>
            <w:r>
              <w:rPr>
                <w:rFonts w:ascii="Arial" w:cs="Arial" w:eastAsia="Arial" w:hAnsi="Arial"/>
                <w:sz w:val="13"/>
                <w:szCs w:val="13"/>
                <w:color w:val="auto"/>
                <w:w w:val="82"/>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293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235,413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(27,210)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(16,653)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191,843</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192,044</w:t>
            </w:r>
          </w:p>
        </w:tc>
        <w:tc>
          <w:tcPr>
            <w:tcW w:w="0" w:type="dxa"/>
            <w:vAlign w:val="bottom"/>
          </w:tcPr>
          <w:p>
            <w:pPr>
              <w:spacing w:after="0"/>
              <w:rPr>
                <w:sz w:val="1"/>
                <w:szCs w:val="1"/>
                <w:color w:val="auto"/>
              </w:rPr>
            </w:pPr>
          </w:p>
        </w:tc>
      </w:tr>
      <w:tr>
        <w:trPr>
          <w:trHeight w:val="230"/>
        </w:trPr>
        <w:tc>
          <w:tcPr>
            <w:tcW w:w="2100" w:type="dxa"/>
            <w:vAlign w:val="bottom"/>
          </w:tcPr>
          <w:p>
            <w:pPr>
              <w:spacing w:after="0"/>
              <w:rPr>
                <w:sz w:val="20"/>
                <w:szCs w:val="20"/>
                <w:color w:val="auto"/>
              </w:rPr>
            </w:pPr>
            <w:r>
              <w:rPr>
                <w:rFonts w:ascii="Arial" w:cs="Arial" w:eastAsia="Arial" w:hAnsi="Arial"/>
                <w:sz w:val="13"/>
                <w:szCs w:val="13"/>
                <w:color w:val="auto"/>
              </w:rPr>
              <w:t>Net income</w:t>
            </w:r>
          </w:p>
        </w:tc>
        <w:tc>
          <w:tcPr>
            <w:tcW w:w="18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5,937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5,937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5,945</w:t>
            </w:r>
          </w:p>
        </w:tc>
        <w:tc>
          <w:tcPr>
            <w:tcW w:w="0" w:type="dxa"/>
            <w:vAlign w:val="bottom"/>
          </w:tcPr>
          <w:p>
            <w:pPr>
              <w:spacing w:after="0"/>
              <w:rPr>
                <w:sz w:val="1"/>
                <w:szCs w:val="1"/>
                <w:color w:val="auto"/>
              </w:rPr>
            </w:pPr>
          </w:p>
        </w:tc>
      </w:tr>
      <w:tr>
        <w:trPr>
          <w:trHeight w:val="175"/>
        </w:trPr>
        <w:tc>
          <w:tcPr>
            <w:tcW w:w="2100" w:type="dxa"/>
            <w:vAlign w:val="bottom"/>
            <w:shd w:val="clear" w:color="auto" w:fill="CCEEFF"/>
          </w:tcPr>
          <w:p>
            <w:pPr>
              <w:spacing w:after="0"/>
              <w:rPr>
                <w:sz w:val="20"/>
                <w:szCs w:val="20"/>
                <w:color w:val="auto"/>
              </w:rPr>
            </w:pPr>
            <w:r>
              <w:rPr>
                <w:rFonts w:ascii="Arial" w:cs="Arial" w:eastAsia="Arial" w:hAnsi="Arial"/>
                <w:sz w:val="13"/>
                <w:szCs w:val="13"/>
                <w:color w:val="auto"/>
                <w:w w:val="90"/>
              </w:rPr>
              <w:t>Other comprehensive income, net of tax</w:t>
            </w: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2,946</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2,947</w:t>
            </w:r>
          </w:p>
        </w:tc>
        <w:tc>
          <w:tcPr>
            <w:tcW w:w="0" w:type="dxa"/>
            <w:vAlign w:val="bottom"/>
          </w:tcPr>
          <w:p>
            <w:pPr>
              <w:spacing w:after="0"/>
              <w:rPr>
                <w:sz w:val="1"/>
                <w:szCs w:val="1"/>
                <w:color w:val="auto"/>
              </w:rPr>
            </w:pPr>
          </w:p>
        </w:tc>
      </w:tr>
      <w:tr>
        <w:trPr>
          <w:trHeight w:val="168"/>
        </w:trPr>
        <w:tc>
          <w:tcPr>
            <w:tcW w:w="2100" w:type="dxa"/>
            <w:vAlign w:val="bottom"/>
          </w:tcPr>
          <w:p>
            <w:pPr>
              <w:spacing w:after="0"/>
              <w:rPr>
                <w:sz w:val="20"/>
                <w:szCs w:val="20"/>
                <w:color w:val="auto"/>
              </w:rPr>
            </w:pPr>
            <w:r>
              <w:rPr>
                <w:rFonts w:ascii="Arial" w:cs="Arial" w:eastAsia="Arial" w:hAnsi="Arial"/>
                <w:sz w:val="13"/>
                <w:szCs w:val="13"/>
                <w:color w:val="auto"/>
              </w:rPr>
              <w:t>Share-based payments</w:t>
            </w:r>
          </w:p>
        </w:tc>
        <w:tc>
          <w:tcPr>
            <w:tcW w:w="18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4"/>
                <w:szCs w:val="1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1,202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1,202</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1,202</w:t>
            </w:r>
          </w:p>
        </w:tc>
        <w:tc>
          <w:tcPr>
            <w:tcW w:w="0" w:type="dxa"/>
            <w:vAlign w:val="bottom"/>
          </w:tcPr>
          <w:p>
            <w:pPr>
              <w:spacing w:after="0"/>
              <w:rPr>
                <w:sz w:val="1"/>
                <w:szCs w:val="1"/>
                <w:color w:val="auto"/>
              </w:rPr>
            </w:pPr>
          </w:p>
        </w:tc>
      </w:tr>
      <w:tr>
        <w:trPr>
          <w:trHeight w:val="177"/>
        </w:trPr>
        <w:tc>
          <w:tcPr>
            <w:tcW w:w="2100" w:type="dxa"/>
            <w:vAlign w:val="bottom"/>
            <w:shd w:val="clear" w:color="auto" w:fill="CCEEFF"/>
          </w:tcPr>
          <w:p>
            <w:pPr>
              <w:spacing w:after="0"/>
              <w:rPr>
                <w:sz w:val="20"/>
                <w:szCs w:val="20"/>
                <w:color w:val="auto"/>
              </w:rPr>
            </w:pPr>
            <w:r>
              <w:rPr>
                <w:rFonts w:ascii="Arial" w:cs="Arial" w:eastAsia="Arial" w:hAnsi="Arial"/>
                <w:sz w:val="13"/>
                <w:szCs w:val="13"/>
                <w:color w:val="auto"/>
                <w:w w:val="94"/>
              </w:rPr>
              <w:t>Net settlement of restricted stock units</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(489)</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(489)</w:t>
            </w:r>
          </w:p>
        </w:tc>
        <w:tc>
          <w:tcPr>
            <w:tcW w:w="0" w:type="dxa"/>
            <w:vAlign w:val="bottom"/>
          </w:tcPr>
          <w:p>
            <w:pPr>
              <w:spacing w:after="0"/>
              <w:rPr>
                <w:sz w:val="1"/>
                <w:szCs w:val="1"/>
                <w:color w:val="auto"/>
              </w:rPr>
            </w:pPr>
          </w:p>
        </w:tc>
      </w:tr>
      <w:tr>
        <w:trPr>
          <w:trHeight w:val="175"/>
        </w:trPr>
        <w:tc>
          <w:tcPr>
            <w:tcW w:w="2100" w:type="dxa"/>
            <w:vAlign w:val="bottom"/>
          </w:tcPr>
          <w:p>
            <w:pPr>
              <w:spacing w:after="0"/>
              <w:rPr>
                <w:sz w:val="20"/>
                <w:szCs w:val="20"/>
                <w:color w:val="auto"/>
              </w:rPr>
            </w:pPr>
            <w:r>
              <w:rPr>
                <w:rFonts w:ascii="Arial" w:cs="Arial" w:eastAsia="Arial" w:hAnsi="Arial"/>
                <w:sz w:val="13"/>
                <w:szCs w:val="13"/>
                <w:b w:val="1"/>
                <w:bCs w:val="1"/>
                <w:color w:val="auto"/>
              </w:rPr>
              <w:t>Balance at June 30, 2021</w:t>
            </w:r>
          </w:p>
        </w:tc>
        <w:tc>
          <w:tcPr>
            <w:tcW w:w="1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29,432</w:t>
            </w:r>
          </w:p>
        </w:tc>
        <w:tc>
          <w:tcPr>
            <w:tcW w:w="120" w:type="dxa"/>
            <w:vAlign w:val="bottom"/>
          </w:tcPr>
          <w:p>
            <w:pPr>
              <w:spacing w:after="0"/>
              <w:rPr>
                <w:sz w:val="15"/>
                <w:szCs w:val="15"/>
                <w:color w:val="auto"/>
              </w:rPr>
            </w:pPr>
          </w:p>
        </w:tc>
        <w:tc>
          <w:tcPr>
            <w:tcW w:w="70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294</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236,125</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(21,273)</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(13,707)</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201,439</w:t>
            </w:r>
          </w:p>
        </w:tc>
        <w:tc>
          <w:tcPr>
            <w:tcW w:w="120" w:type="dxa"/>
            <w:vAlign w:val="bottom"/>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210</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201,649</w:t>
            </w:r>
          </w:p>
        </w:tc>
        <w:tc>
          <w:tcPr>
            <w:tcW w:w="0" w:type="dxa"/>
            <w:vAlign w:val="bottom"/>
          </w:tcPr>
          <w:p>
            <w:pPr>
              <w:spacing w:after="0"/>
              <w:rPr>
                <w:sz w:val="1"/>
                <w:szCs w:val="1"/>
                <w:color w:val="auto"/>
              </w:rPr>
            </w:pPr>
          </w:p>
        </w:tc>
      </w:tr>
      <w:tr>
        <w:trPr>
          <w:trHeight w:val="20"/>
        </w:trPr>
        <w:tc>
          <w:tcPr>
            <w:tcW w:w="2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100" w:type="dxa"/>
            <w:vAlign w:val="bottom"/>
          </w:tcPr>
          <w:p>
            <w:pPr>
              <w:spacing w:after="0"/>
              <w:rPr>
                <w:sz w:val="20"/>
                <w:szCs w:val="20"/>
                <w:color w:val="auto"/>
              </w:rPr>
            </w:pPr>
            <w:r>
              <w:rPr>
                <w:rFonts w:ascii="Arial" w:cs="Arial" w:eastAsia="Arial" w:hAnsi="Arial"/>
                <w:sz w:val="13"/>
                <w:szCs w:val="13"/>
                <w:b w:val="1"/>
                <w:bCs w:val="1"/>
                <w:color w:val="auto"/>
              </w:rPr>
              <w:t>Balance at March 31, 2020</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29,042</w:t>
            </w:r>
          </w:p>
        </w:tc>
        <w:tc>
          <w:tcPr>
            <w:tcW w:w="120" w:type="dxa"/>
            <w:vAlign w:val="bottom"/>
          </w:tcPr>
          <w:p>
            <w:pPr>
              <w:spacing w:after="0"/>
              <w:rPr>
                <w:sz w:val="14"/>
                <w:szCs w:val="14"/>
                <w:color w:val="auto"/>
              </w:rPr>
            </w:pPr>
          </w:p>
        </w:tc>
        <w:tc>
          <w:tcPr>
            <w:tcW w:w="700" w:type="dxa"/>
            <w:vAlign w:val="bottom"/>
          </w:tcPr>
          <w:p>
            <w:pPr>
              <w:jc w:val="right"/>
              <w:ind w:right="557"/>
              <w:spacing w:after="0"/>
              <w:rPr>
                <w:sz w:val="20"/>
                <w:szCs w:val="20"/>
                <w:color w:val="auto"/>
              </w:rPr>
            </w:pPr>
            <w:r>
              <w:rPr>
                <w:rFonts w:ascii="Arial" w:cs="Arial" w:eastAsia="Arial" w:hAnsi="Arial"/>
                <w:sz w:val="13"/>
                <w:szCs w:val="13"/>
                <w:color w:val="auto"/>
                <w:w w:val="82"/>
              </w:rPr>
              <w:t>$</w:t>
            </w:r>
          </w:p>
        </w:tc>
        <w:tc>
          <w:tcPr>
            <w:tcW w:w="260" w:type="dxa"/>
            <w:vAlign w:val="bottom"/>
          </w:tcPr>
          <w:p>
            <w:pPr>
              <w:jc w:val="right"/>
              <w:spacing w:after="0"/>
              <w:rPr>
                <w:sz w:val="20"/>
                <w:szCs w:val="20"/>
                <w:color w:val="auto"/>
              </w:rPr>
            </w:pPr>
            <w:r>
              <w:rPr>
                <w:rFonts w:ascii="Arial" w:cs="Arial" w:eastAsia="Arial" w:hAnsi="Arial"/>
                <w:sz w:val="13"/>
                <w:szCs w:val="13"/>
                <w:color w:val="auto"/>
                <w:w w:val="82"/>
              </w:rPr>
              <w:t>290</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230,472</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(20,896)</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(38,294)</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171,572</w:t>
            </w:r>
          </w:p>
        </w:tc>
        <w:tc>
          <w:tcPr>
            <w:tcW w:w="12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181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171,753</w:t>
            </w:r>
          </w:p>
        </w:tc>
        <w:tc>
          <w:tcPr>
            <w:tcW w:w="0" w:type="dxa"/>
            <w:vAlign w:val="bottom"/>
          </w:tcPr>
          <w:p>
            <w:pPr>
              <w:spacing w:after="0"/>
              <w:rPr>
                <w:sz w:val="1"/>
                <w:szCs w:val="1"/>
                <w:color w:val="auto"/>
              </w:rPr>
            </w:pPr>
          </w:p>
        </w:tc>
      </w:tr>
      <w:tr>
        <w:trPr>
          <w:trHeight w:val="183"/>
        </w:trPr>
        <w:tc>
          <w:tcPr>
            <w:tcW w:w="210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(2,656)</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(2,665)</w:t>
            </w:r>
          </w:p>
        </w:tc>
        <w:tc>
          <w:tcPr>
            <w:tcW w:w="0" w:type="dxa"/>
            <w:vAlign w:val="bottom"/>
          </w:tcPr>
          <w:p>
            <w:pPr>
              <w:spacing w:after="0"/>
              <w:rPr>
                <w:sz w:val="1"/>
                <w:szCs w:val="1"/>
                <w:color w:val="auto"/>
              </w:rPr>
            </w:pPr>
          </w:p>
        </w:tc>
      </w:tr>
      <w:tr>
        <w:trPr>
          <w:trHeight w:val="168"/>
        </w:trPr>
        <w:tc>
          <w:tcPr>
            <w:tcW w:w="2100" w:type="dxa"/>
            <w:vAlign w:val="bottom"/>
          </w:tcPr>
          <w:p>
            <w:pPr>
              <w:spacing w:after="0"/>
              <w:rPr>
                <w:sz w:val="20"/>
                <w:szCs w:val="20"/>
                <w:color w:val="auto"/>
              </w:rPr>
            </w:pPr>
            <w:r>
              <w:rPr>
                <w:rFonts w:ascii="Arial" w:cs="Arial" w:eastAsia="Arial" w:hAnsi="Arial"/>
                <w:sz w:val="13"/>
                <w:szCs w:val="13"/>
                <w:color w:val="auto"/>
                <w:w w:val="90"/>
              </w:rPr>
              <w:t>Other comprehensive income, net of tax</w:t>
            </w:r>
          </w:p>
        </w:tc>
        <w:tc>
          <w:tcPr>
            <w:tcW w:w="18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4"/>
                <w:szCs w:val="1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6,122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6,122</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6,122</w:t>
            </w:r>
          </w:p>
        </w:tc>
        <w:tc>
          <w:tcPr>
            <w:tcW w:w="0" w:type="dxa"/>
            <w:vAlign w:val="bottom"/>
          </w:tcPr>
          <w:p>
            <w:pPr>
              <w:spacing w:after="0"/>
              <w:rPr>
                <w:sz w:val="1"/>
                <w:szCs w:val="1"/>
                <w:color w:val="auto"/>
              </w:rPr>
            </w:pPr>
          </w:p>
        </w:tc>
      </w:tr>
      <w:tr>
        <w:trPr>
          <w:trHeight w:val="183"/>
        </w:trPr>
        <w:tc>
          <w:tcPr>
            <w:tcW w:w="2100" w:type="dxa"/>
            <w:vAlign w:val="bottom"/>
            <w:shd w:val="clear" w:color="auto" w:fill="CCEEFF"/>
          </w:tcPr>
          <w:p>
            <w:pPr>
              <w:spacing w:after="0"/>
              <w:rPr>
                <w:sz w:val="20"/>
                <w:szCs w:val="20"/>
                <w:color w:val="auto"/>
              </w:rPr>
            </w:pPr>
            <w:r>
              <w:rPr>
                <w:rFonts w:ascii="Arial" w:cs="Arial" w:eastAsia="Arial" w:hAnsi="Arial"/>
                <w:sz w:val="13"/>
                <w:szCs w:val="13"/>
                <w:color w:val="auto"/>
              </w:rPr>
              <w:t>Share-based payments</w:t>
            </w: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1,373</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1,373</w:t>
            </w:r>
          </w:p>
        </w:tc>
        <w:tc>
          <w:tcPr>
            <w:tcW w:w="0" w:type="dxa"/>
            <w:vAlign w:val="bottom"/>
          </w:tcPr>
          <w:p>
            <w:pPr>
              <w:spacing w:after="0"/>
              <w:rPr>
                <w:sz w:val="1"/>
                <w:szCs w:val="1"/>
                <w:color w:val="auto"/>
              </w:rPr>
            </w:pPr>
          </w:p>
        </w:tc>
      </w:tr>
      <w:tr>
        <w:trPr>
          <w:trHeight w:val="169"/>
        </w:trPr>
        <w:tc>
          <w:tcPr>
            <w:tcW w:w="2100" w:type="dxa"/>
            <w:vAlign w:val="bottom"/>
          </w:tcPr>
          <w:p>
            <w:pPr>
              <w:spacing w:after="0"/>
              <w:rPr>
                <w:sz w:val="20"/>
                <w:szCs w:val="20"/>
                <w:color w:val="auto"/>
              </w:rPr>
            </w:pPr>
            <w:r>
              <w:rPr>
                <w:rFonts w:ascii="Arial" w:cs="Arial" w:eastAsia="Arial" w:hAnsi="Arial"/>
                <w:sz w:val="13"/>
                <w:szCs w:val="13"/>
                <w:color w:val="auto"/>
                <w:w w:val="94"/>
              </w:rPr>
              <w:t>Net settlement of restricted stock units</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68</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(120)</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r>
        <w:trPr>
          <w:trHeight w:val="201"/>
        </w:trPr>
        <w:tc>
          <w:tcPr>
            <w:tcW w:w="2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Balance at June 30, 2020</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29,110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ind w:right="557"/>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291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231,724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(23,552)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(32,172)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176,291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176,463</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80" w:type="dxa"/>
        <w:tblCellMar>
          <w:top w:w="0" w:type="dxa"/>
          <w:left w:w="0" w:type="dxa"/>
          <w:bottom w:w="0" w:type="dxa"/>
          <w:right w:w="0" w:type="dxa"/>
        </w:tblCellMar>
      </w:tblPr>
      <w:tr>
        <w:trPr>
          <w:trHeight w:val="174"/>
        </w:trPr>
        <w:tc>
          <w:tcPr>
            <w:tcW w:w="24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5"/>
          </w:tcPr>
          <w:p>
            <w:pPr>
              <w:ind w:left="440"/>
              <w:spacing w:after="0"/>
              <w:rPr>
                <w:sz w:val="20"/>
                <w:szCs w:val="20"/>
                <w:color w:val="auto"/>
              </w:rPr>
            </w:pPr>
            <w:r>
              <w:rPr>
                <w:rFonts w:ascii="Arial" w:cs="Arial" w:eastAsia="Arial" w:hAnsi="Arial"/>
                <w:sz w:val="13"/>
                <w:szCs w:val="13"/>
                <w:b w:val="1"/>
                <w:bCs w:val="1"/>
                <w:color w:val="auto"/>
              </w:rPr>
              <w:t>Six months ended</w:t>
            </w: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2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24"/>
                <w:szCs w:val="2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Total</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4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80" w:type="dxa"/>
            <w:vAlign w:val="bottom"/>
            <w:gridSpan w:val="3"/>
          </w:tcPr>
          <w:p>
            <w:pPr>
              <w:jc w:val="center"/>
              <w:ind w:right="120"/>
              <w:spacing w:after="0" w:line="122" w:lineRule="exact"/>
              <w:rPr>
                <w:sz w:val="20"/>
                <w:szCs w:val="20"/>
                <w:color w:val="auto"/>
              </w:rPr>
            </w:pPr>
            <w:r>
              <w:rPr>
                <w:rFonts w:ascii="Arial" w:cs="Arial" w:eastAsia="Arial" w:hAnsi="Arial"/>
                <w:sz w:val="13"/>
                <w:szCs w:val="13"/>
                <w:b w:val="1"/>
                <w:bCs w:val="1"/>
                <w:color w:val="auto"/>
                <w:w w:val="91"/>
              </w:rPr>
              <w:t>Mistras Group,</w:t>
            </w: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1800" w:type="dxa"/>
            <w:vAlign w:val="bottom"/>
            <w:gridSpan w:val="3"/>
          </w:tcPr>
          <w:p>
            <w:pPr>
              <w:jc w:val="right"/>
              <w:ind w:right="305"/>
              <w:spacing w:after="0"/>
              <w:rPr>
                <w:sz w:val="20"/>
                <w:szCs w:val="20"/>
                <w:color w:val="auto"/>
              </w:rPr>
            </w:pPr>
            <w:r>
              <w:rPr>
                <w:rFonts w:ascii="Arial" w:cs="Arial" w:eastAsia="Arial" w:hAnsi="Arial"/>
                <w:sz w:val="13"/>
                <w:szCs w:val="13"/>
                <w:b w:val="1"/>
                <w:bCs w:val="1"/>
                <w:color w:val="auto"/>
              </w:rPr>
              <w:t>Common Stock</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Retained</w:t>
            </w:r>
          </w:p>
        </w:tc>
        <w:tc>
          <w:tcPr>
            <w:tcW w:w="80" w:type="dxa"/>
            <w:vAlign w:val="bottom"/>
          </w:tcPr>
          <w:p>
            <w:pPr>
              <w:spacing w:after="0"/>
              <w:rPr>
                <w:sz w:val="12"/>
                <w:szCs w:val="12"/>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other</w:t>
            </w:r>
          </w:p>
        </w:tc>
        <w:tc>
          <w:tcPr>
            <w:tcW w:w="8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Inc.</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44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gridSpan w:val="2"/>
            <w:vMerge w:val="restart"/>
          </w:tcPr>
          <w:p>
            <w:pPr>
              <w:jc w:val="center"/>
              <w:ind w:right="220"/>
              <w:spacing w:after="0" w:line="95" w:lineRule="exact"/>
              <w:rPr>
                <w:sz w:val="20"/>
                <w:szCs w:val="20"/>
                <w:color w:val="auto"/>
              </w:rPr>
            </w:pPr>
            <w:r>
              <w:rPr>
                <w:rFonts w:ascii="Arial" w:cs="Arial" w:eastAsia="Arial" w:hAnsi="Arial"/>
                <w:sz w:val="10"/>
                <w:szCs w:val="10"/>
                <w:b w:val="1"/>
                <w:bCs w:val="1"/>
                <w:color w:val="auto"/>
              </w:rPr>
              <w:t>Additional</w:t>
            </w:r>
          </w:p>
        </w:tc>
        <w:tc>
          <w:tcPr>
            <w:tcW w:w="140" w:type="dxa"/>
            <w:vAlign w:val="bottom"/>
          </w:tcPr>
          <w:p>
            <w:pPr>
              <w:spacing w:after="0"/>
              <w:rPr>
                <w:sz w:val="4"/>
                <w:szCs w:val="4"/>
                <w:color w:val="auto"/>
              </w:rPr>
            </w:pPr>
          </w:p>
        </w:tc>
        <w:tc>
          <w:tcPr>
            <w:tcW w:w="940" w:type="dxa"/>
            <w:vAlign w:val="bottom"/>
            <w:gridSpan w:val="2"/>
            <w:vMerge w:val="restart"/>
          </w:tcPr>
          <w:p>
            <w:pPr>
              <w:jc w:val="center"/>
              <w:ind w:right="280"/>
              <w:spacing w:after="0" w:line="95" w:lineRule="exact"/>
              <w:rPr>
                <w:sz w:val="20"/>
                <w:szCs w:val="20"/>
                <w:color w:val="auto"/>
              </w:rPr>
            </w:pPr>
            <w:r>
              <w:rPr>
                <w:rFonts w:ascii="Arial" w:cs="Arial" w:eastAsia="Arial" w:hAnsi="Arial"/>
                <w:sz w:val="10"/>
                <w:szCs w:val="10"/>
                <w:b w:val="1"/>
                <w:bCs w:val="1"/>
                <w:color w:val="auto"/>
              </w:rPr>
              <w:t>earnings</w:t>
            </w:r>
          </w:p>
        </w:tc>
        <w:tc>
          <w:tcPr>
            <w:tcW w:w="80" w:type="dxa"/>
            <w:vAlign w:val="bottom"/>
          </w:tcPr>
          <w:p>
            <w:pPr>
              <w:spacing w:after="0"/>
              <w:rPr>
                <w:sz w:val="4"/>
                <w:szCs w:val="4"/>
                <w:color w:val="auto"/>
              </w:rPr>
            </w:pPr>
          </w:p>
        </w:tc>
        <w:tc>
          <w:tcPr>
            <w:tcW w:w="1080" w:type="dxa"/>
            <w:vAlign w:val="bottom"/>
            <w:gridSpan w:val="2"/>
            <w:vMerge w:val="restart"/>
          </w:tcPr>
          <w:p>
            <w:pPr>
              <w:jc w:val="center"/>
              <w:ind w:right="280"/>
              <w:spacing w:after="0" w:line="95" w:lineRule="exact"/>
              <w:rPr>
                <w:sz w:val="20"/>
                <w:szCs w:val="20"/>
                <w:color w:val="auto"/>
              </w:rPr>
            </w:pPr>
            <w:r>
              <w:rPr>
                <w:rFonts w:ascii="Arial" w:cs="Arial" w:eastAsia="Arial" w:hAnsi="Arial"/>
                <w:sz w:val="10"/>
                <w:szCs w:val="10"/>
                <w:b w:val="1"/>
                <w:bCs w:val="1"/>
                <w:color w:val="auto"/>
              </w:rPr>
              <w:t>comprehensive</w:t>
            </w:r>
          </w:p>
        </w:tc>
        <w:tc>
          <w:tcPr>
            <w:tcW w:w="80" w:type="dxa"/>
            <w:vAlign w:val="bottom"/>
          </w:tcPr>
          <w:p>
            <w:pPr>
              <w:spacing w:after="0"/>
              <w:rPr>
                <w:sz w:val="4"/>
                <w:szCs w:val="4"/>
                <w:color w:val="auto"/>
              </w:rPr>
            </w:pPr>
          </w:p>
        </w:tc>
        <w:tc>
          <w:tcPr>
            <w:tcW w:w="1000" w:type="dxa"/>
            <w:vAlign w:val="bottom"/>
            <w:gridSpan w:val="2"/>
            <w:vMerge w:val="restart"/>
          </w:tcPr>
          <w:p>
            <w:pPr>
              <w:jc w:val="center"/>
              <w:ind w:right="200"/>
              <w:spacing w:after="0" w:line="95" w:lineRule="exact"/>
              <w:rPr>
                <w:sz w:val="20"/>
                <w:szCs w:val="20"/>
                <w:color w:val="auto"/>
              </w:rPr>
            </w:pPr>
            <w:r>
              <w:rPr>
                <w:rFonts w:ascii="Arial" w:cs="Arial" w:eastAsia="Arial" w:hAnsi="Arial"/>
                <w:sz w:val="10"/>
                <w:szCs w:val="10"/>
                <w:b w:val="1"/>
                <w:bCs w:val="1"/>
                <w:color w:val="auto"/>
              </w:rPr>
              <w:t>Stockholders’</w:t>
            </w:r>
          </w:p>
        </w:tc>
        <w:tc>
          <w:tcPr>
            <w:tcW w:w="80" w:type="dxa"/>
            <w:vAlign w:val="bottom"/>
          </w:tcPr>
          <w:p>
            <w:pPr>
              <w:spacing w:after="0"/>
              <w:rPr>
                <w:sz w:val="4"/>
                <w:szCs w:val="4"/>
                <w:color w:val="auto"/>
              </w:rPr>
            </w:pPr>
          </w:p>
        </w:tc>
        <w:tc>
          <w:tcPr>
            <w:tcW w:w="1020" w:type="dxa"/>
            <w:vAlign w:val="bottom"/>
            <w:gridSpan w:val="2"/>
            <w:vMerge w:val="restart"/>
          </w:tcPr>
          <w:p>
            <w:pPr>
              <w:jc w:val="center"/>
              <w:ind w:right="200"/>
              <w:spacing w:after="0" w:line="95" w:lineRule="exact"/>
              <w:rPr>
                <w:sz w:val="20"/>
                <w:szCs w:val="20"/>
                <w:color w:val="auto"/>
              </w:rPr>
            </w:pPr>
            <w:r>
              <w:rPr>
                <w:rFonts w:ascii="Arial" w:cs="Arial" w:eastAsia="Arial" w:hAnsi="Arial"/>
                <w:sz w:val="10"/>
                <w:szCs w:val="10"/>
                <w:b w:val="1"/>
                <w:bCs w:val="1"/>
                <w:color w:val="auto"/>
              </w:rPr>
              <w:t>Noncontrolling</w:t>
            </w: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100" w:type="dxa"/>
            <w:vAlign w:val="bottom"/>
            <w:gridSpan w:val="2"/>
            <w:vMerge w:val="restart"/>
          </w:tcPr>
          <w:p>
            <w:pPr>
              <w:ind w:left="300"/>
              <w:spacing w:after="0"/>
              <w:rPr>
                <w:sz w:val="20"/>
                <w:szCs w:val="20"/>
                <w:color w:val="auto"/>
              </w:rPr>
            </w:pPr>
            <w:r>
              <w:rPr>
                <w:rFonts w:ascii="Arial" w:cs="Arial" w:eastAsia="Arial" w:hAnsi="Arial"/>
                <w:sz w:val="13"/>
                <w:szCs w:val="13"/>
                <w:b w:val="1"/>
                <w:bCs w:val="1"/>
                <w:color w:val="auto"/>
              </w:rPr>
              <w:t>Shares</w:t>
            </w:r>
          </w:p>
        </w:tc>
        <w:tc>
          <w:tcPr>
            <w:tcW w:w="7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w w:val="91"/>
              </w:rPr>
              <w:t>Total Equity</w:t>
            </w:r>
          </w:p>
        </w:tc>
        <w:tc>
          <w:tcPr>
            <w:tcW w:w="0" w:type="dxa"/>
            <w:vAlign w:val="bottom"/>
          </w:tcPr>
          <w:p>
            <w:pPr>
              <w:spacing w:after="0" w:line="20" w:lineRule="exact"/>
              <w:rPr>
                <w:sz w:val="1"/>
                <w:szCs w:val="1"/>
                <w:color w:val="auto"/>
              </w:rPr>
            </w:pPr>
          </w:p>
        </w:tc>
      </w:tr>
      <w:tr>
        <w:trPr>
          <w:trHeight w:val="170"/>
        </w:trPr>
        <w:tc>
          <w:tcPr>
            <w:tcW w:w="24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paid-in capital</w:t>
            </w:r>
          </w:p>
        </w:tc>
        <w:tc>
          <w:tcPr>
            <w:tcW w:w="14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(deficit)</w:t>
            </w:r>
          </w:p>
        </w:tc>
        <w:tc>
          <w:tcPr>
            <w:tcW w:w="8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76"/>
              </w:rPr>
              <w:t>loss</w:t>
            </w:r>
          </w:p>
        </w:tc>
        <w:tc>
          <w:tcPr>
            <w:tcW w:w="8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Equity</w:t>
            </w:r>
          </w:p>
        </w:tc>
        <w:tc>
          <w:tcPr>
            <w:tcW w:w="8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44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4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at December 31, 2020</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29,234</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85"/>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292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234,638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(21,848)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(16,061)</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197,021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198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197,219</w:t>
            </w:r>
          </w:p>
        </w:tc>
        <w:tc>
          <w:tcPr>
            <w:tcW w:w="0" w:type="dxa"/>
            <w:vAlign w:val="bottom"/>
          </w:tcPr>
          <w:p>
            <w:pPr>
              <w:spacing w:after="0"/>
              <w:rPr>
                <w:sz w:val="1"/>
                <w:szCs w:val="1"/>
                <w:color w:val="auto"/>
              </w:rPr>
            </w:pPr>
          </w:p>
        </w:tc>
      </w:tr>
      <w:tr>
        <w:trPr>
          <w:trHeight w:val="168"/>
        </w:trPr>
        <w:tc>
          <w:tcPr>
            <w:tcW w:w="2440" w:type="dxa"/>
            <w:vAlign w:val="bottom"/>
          </w:tcPr>
          <w:p>
            <w:pPr>
              <w:spacing w:after="0"/>
              <w:rPr>
                <w:sz w:val="20"/>
                <w:szCs w:val="20"/>
                <w:color w:val="auto"/>
              </w:rPr>
            </w:pPr>
            <w:r>
              <w:rPr>
                <w:rFonts w:ascii="Arial" w:cs="Arial" w:eastAsia="Arial" w:hAnsi="Arial"/>
                <w:sz w:val="13"/>
                <w:szCs w:val="13"/>
                <w:color w:val="auto"/>
              </w:rPr>
              <w:t>Net income</w:t>
            </w: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4"/>
                <w:szCs w:val="14"/>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575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575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18"/>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586</w:t>
            </w:r>
          </w:p>
        </w:tc>
        <w:tc>
          <w:tcPr>
            <w:tcW w:w="0" w:type="dxa"/>
            <w:vAlign w:val="bottom"/>
          </w:tcPr>
          <w:p>
            <w:pPr>
              <w:spacing w:after="0"/>
              <w:rPr>
                <w:sz w:val="1"/>
                <w:szCs w:val="1"/>
                <w:color w:val="auto"/>
              </w:rPr>
            </w:pPr>
          </w:p>
        </w:tc>
      </w:tr>
      <w:tr>
        <w:trPr>
          <w:trHeight w:val="183"/>
        </w:trPr>
        <w:tc>
          <w:tcPr>
            <w:tcW w:w="2440" w:type="dxa"/>
            <w:vAlign w:val="bottom"/>
            <w:shd w:val="clear" w:color="auto" w:fill="CCEEFF"/>
          </w:tcPr>
          <w:p>
            <w:pPr>
              <w:spacing w:after="0"/>
              <w:rPr>
                <w:sz w:val="20"/>
                <w:szCs w:val="20"/>
                <w:color w:val="auto"/>
              </w:rPr>
            </w:pPr>
            <w:r>
              <w:rPr>
                <w:rFonts w:ascii="Arial" w:cs="Arial" w:eastAsia="Arial" w:hAnsi="Arial"/>
                <w:sz w:val="13"/>
                <w:szCs w:val="13"/>
                <w:color w:val="auto"/>
              </w:rPr>
              <w:t>Other comprehensive income, net of tax</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2,354</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2,355</w:t>
            </w:r>
          </w:p>
        </w:tc>
        <w:tc>
          <w:tcPr>
            <w:tcW w:w="0" w:type="dxa"/>
            <w:vAlign w:val="bottom"/>
          </w:tcPr>
          <w:p>
            <w:pPr>
              <w:spacing w:after="0"/>
              <w:rPr>
                <w:sz w:val="1"/>
                <w:szCs w:val="1"/>
                <w:color w:val="auto"/>
              </w:rPr>
            </w:pPr>
          </w:p>
        </w:tc>
      </w:tr>
      <w:tr>
        <w:trPr>
          <w:trHeight w:val="168"/>
        </w:trPr>
        <w:tc>
          <w:tcPr>
            <w:tcW w:w="2440" w:type="dxa"/>
            <w:vAlign w:val="bottom"/>
          </w:tcPr>
          <w:p>
            <w:pPr>
              <w:spacing w:after="0"/>
              <w:rPr>
                <w:sz w:val="20"/>
                <w:szCs w:val="20"/>
                <w:color w:val="auto"/>
              </w:rPr>
            </w:pPr>
            <w:r>
              <w:rPr>
                <w:rFonts w:ascii="Arial" w:cs="Arial" w:eastAsia="Arial" w:hAnsi="Arial"/>
                <w:sz w:val="13"/>
                <w:szCs w:val="13"/>
                <w:color w:val="auto"/>
              </w:rPr>
              <w:t>Share-based payments</w:t>
            </w: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4"/>
                <w:szCs w:val="14"/>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2,464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2,464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2,464</w:t>
            </w:r>
          </w:p>
        </w:tc>
        <w:tc>
          <w:tcPr>
            <w:tcW w:w="0" w:type="dxa"/>
            <w:vAlign w:val="bottom"/>
          </w:tcPr>
          <w:p>
            <w:pPr>
              <w:spacing w:after="0"/>
              <w:rPr>
                <w:sz w:val="1"/>
                <w:szCs w:val="1"/>
                <w:color w:val="auto"/>
              </w:rPr>
            </w:pPr>
          </w:p>
        </w:tc>
      </w:tr>
      <w:tr>
        <w:trPr>
          <w:trHeight w:val="177"/>
        </w:trPr>
        <w:tc>
          <w:tcPr>
            <w:tcW w:w="2440" w:type="dxa"/>
            <w:vAlign w:val="bottom"/>
            <w:shd w:val="clear" w:color="auto" w:fill="CCEEFF"/>
          </w:tcPr>
          <w:p>
            <w:pPr>
              <w:spacing w:after="0"/>
              <w:rPr>
                <w:sz w:val="20"/>
                <w:szCs w:val="20"/>
                <w:color w:val="auto"/>
              </w:rPr>
            </w:pPr>
            <w:r>
              <w:rPr>
                <w:rFonts w:ascii="Arial" w:cs="Arial" w:eastAsia="Arial" w:hAnsi="Arial"/>
                <w:sz w:val="13"/>
                <w:szCs w:val="13"/>
                <w:color w:val="auto"/>
              </w:rPr>
              <w:t>Net settlement of restricted stock units</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(975)</w:t>
            </w:r>
          </w:p>
        </w:tc>
        <w:tc>
          <w:tcPr>
            <w:tcW w:w="0" w:type="dxa"/>
            <w:vAlign w:val="bottom"/>
          </w:tcPr>
          <w:p>
            <w:pPr>
              <w:spacing w:after="0"/>
              <w:rPr>
                <w:sz w:val="1"/>
                <w:szCs w:val="1"/>
                <w:color w:val="auto"/>
              </w:rPr>
            </w:pPr>
          </w:p>
        </w:tc>
      </w:tr>
      <w:tr>
        <w:trPr>
          <w:trHeight w:val="175"/>
        </w:trPr>
        <w:tc>
          <w:tcPr>
            <w:tcW w:w="2440" w:type="dxa"/>
            <w:vAlign w:val="bottom"/>
          </w:tcPr>
          <w:p>
            <w:pPr>
              <w:spacing w:after="0"/>
              <w:rPr>
                <w:sz w:val="20"/>
                <w:szCs w:val="20"/>
                <w:color w:val="auto"/>
              </w:rPr>
            </w:pPr>
            <w:r>
              <w:rPr>
                <w:rFonts w:ascii="Arial" w:cs="Arial" w:eastAsia="Arial" w:hAnsi="Arial"/>
                <w:sz w:val="13"/>
                <w:szCs w:val="13"/>
                <w:b w:val="1"/>
                <w:bCs w:val="1"/>
                <w:color w:val="auto"/>
              </w:rPr>
              <w:t>Balance at June 30, 2021</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29,432</w:t>
            </w:r>
          </w:p>
        </w:tc>
        <w:tc>
          <w:tcPr>
            <w:tcW w:w="120" w:type="dxa"/>
            <w:vAlign w:val="bottom"/>
          </w:tcPr>
          <w:p>
            <w:pPr>
              <w:spacing w:after="0"/>
              <w:rPr>
                <w:sz w:val="15"/>
                <w:szCs w:val="15"/>
                <w:color w:val="auto"/>
              </w:rPr>
            </w:pPr>
          </w:p>
        </w:tc>
        <w:tc>
          <w:tcPr>
            <w:tcW w:w="700" w:type="dxa"/>
            <w:vAlign w:val="bottom"/>
            <w:tcBorders>
              <w:top w:val="single" w:sz="8" w:color="auto"/>
              <w:bottom w:val="single" w:sz="8" w:color="auto"/>
            </w:tcBorders>
          </w:tcPr>
          <w:p>
            <w:pPr>
              <w:jc w:val="right"/>
              <w:ind w:right="585"/>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294</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236,125</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(21,273)</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(13,707)</w:t>
            </w:r>
          </w:p>
        </w:tc>
        <w:tc>
          <w:tcPr>
            <w:tcW w:w="1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201,439</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3"/>
                <w:szCs w:val="13"/>
                <w:color w:val="auto"/>
              </w:rPr>
              <w:t>210</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201,649</w:t>
            </w:r>
          </w:p>
        </w:tc>
        <w:tc>
          <w:tcPr>
            <w:tcW w:w="0" w:type="dxa"/>
            <w:vAlign w:val="bottom"/>
          </w:tcPr>
          <w:p>
            <w:pPr>
              <w:spacing w:after="0"/>
              <w:rPr>
                <w:sz w:val="1"/>
                <w:szCs w:val="1"/>
                <w:color w:val="auto"/>
              </w:rPr>
            </w:pPr>
          </w:p>
        </w:tc>
      </w:tr>
      <w:tr>
        <w:trPr>
          <w:trHeight w:val="20"/>
        </w:trPr>
        <w:tc>
          <w:tcPr>
            <w:tcW w:w="24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440" w:type="dxa"/>
            <w:vAlign w:val="bottom"/>
          </w:tcPr>
          <w:p>
            <w:pPr>
              <w:spacing w:after="0"/>
              <w:rPr>
                <w:sz w:val="20"/>
                <w:szCs w:val="20"/>
                <w:color w:val="auto"/>
              </w:rPr>
            </w:pPr>
            <w:r>
              <w:rPr>
                <w:rFonts w:ascii="Arial" w:cs="Arial" w:eastAsia="Arial" w:hAnsi="Arial"/>
                <w:sz w:val="13"/>
                <w:szCs w:val="13"/>
                <w:b w:val="1"/>
                <w:bCs w:val="1"/>
                <w:color w:val="auto"/>
              </w:rPr>
              <w:t>Balance at December 31, 2019</w:t>
            </w:r>
          </w:p>
        </w:tc>
        <w:tc>
          <w:tcPr>
            <w:tcW w:w="980" w:type="dxa"/>
            <w:vAlign w:val="bottom"/>
          </w:tcPr>
          <w:p>
            <w:pPr>
              <w:jc w:val="right"/>
              <w:spacing w:after="0"/>
              <w:rPr>
                <w:sz w:val="20"/>
                <w:szCs w:val="20"/>
                <w:color w:val="auto"/>
              </w:rPr>
            </w:pPr>
            <w:r>
              <w:rPr>
                <w:rFonts w:ascii="Arial" w:cs="Arial" w:eastAsia="Arial" w:hAnsi="Arial"/>
                <w:sz w:val="13"/>
                <w:szCs w:val="13"/>
                <w:color w:val="auto"/>
              </w:rPr>
              <w:t>28,945</w:t>
            </w:r>
          </w:p>
        </w:tc>
        <w:tc>
          <w:tcPr>
            <w:tcW w:w="120" w:type="dxa"/>
            <w:vAlign w:val="bottom"/>
          </w:tcPr>
          <w:p>
            <w:pPr>
              <w:spacing w:after="0"/>
              <w:rPr>
                <w:sz w:val="14"/>
                <w:szCs w:val="14"/>
                <w:color w:val="auto"/>
              </w:rPr>
            </w:pPr>
          </w:p>
        </w:tc>
        <w:tc>
          <w:tcPr>
            <w:tcW w:w="700" w:type="dxa"/>
            <w:vAlign w:val="bottom"/>
          </w:tcPr>
          <w:p>
            <w:pPr>
              <w:jc w:val="right"/>
              <w:ind w:right="585"/>
              <w:spacing w:after="0"/>
              <w:rPr>
                <w:sz w:val="20"/>
                <w:szCs w:val="20"/>
                <w:color w:val="auto"/>
              </w:rPr>
            </w:pPr>
            <w:r>
              <w:rPr>
                <w:rFonts w:ascii="Arial" w:cs="Arial" w:eastAsia="Arial" w:hAnsi="Arial"/>
                <w:sz w:val="10"/>
                <w:szCs w:val="10"/>
                <w:color w:val="auto"/>
                <w:w w:val="71"/>
              </w:rPr>
              <w:t>$</w:t>
            </w:r>
          </w:p>
        </w:tc>
        <w:tc>
          <w:tcPr>
            <w:tcW w:w="260" w:type="dxa"/>
            <w:vAlign w:val="bottom"/>
          </w:tcPr>
          <w:p>
            <w:pPr>
              <w:jc w:val="right"/>
              <w:spacing w:after="0"/>
              <w:rPr>
                <w:sz w:val="20"/>
                <w:szCs w:val="20"/>
                <w:color w:val="auto"/>
              </w:rPr>
            </w:pPr>
            <w:r>
              <w:rPr>
                <w:rFonts w:ascii="Arial" w:cs="Arial" w:eastAsia="Arial" w:hAnsi="Arial"/>
                <w:sz w:val="13"/>
                <w:szCs w:val="13"/>
                <w:color w:val="auto"/>
                <w:w w:val="82"/>
              </w:rPr>
              <w:t>289</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229,205</w:t>
            </w:r>
          </w:p>
        </w:tc>
        <w:tc>
          <w:tcPr>
            <w:tcW w:w="120" w:type="dxa"/>
            <w:vAlign w:val="bottom"/>
          </w:tcPr>
          <w:p>
            <w:pPr>
              <w:spacing w:after="0"/>
              <w:rPr>
                <w:sz w:val="14"/>
                <w:szCs w:val="14"/>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77,613</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(21,285)</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285,822</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18"/>
              <w:spacing w:after="0"/>
              <w:rPr>
                <w:sz w:val="20"/>
                <w:szCs w:val="20"/>
                <w:color w:val="auto"/>
              </w:rPr>
            </w:pPr>
            <w:r>
              <w:rPr>
                <w:rFonts w:ascii="Arial" w:cs="Arial" w:eastAsia="Arial" w:hAnsi="Arial"/>
                <w:sz w:val="13"/>
                <w:szCs w:val="13"/>
                <w:color w:val="auto"/>
              </w:rPr>
              <w:t>200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286,022</w:t>
            </w:r>
          </w:p>
        </w:tc>
        <w:tc>
          <w:tcPr>
            <w:tcW w:w="0" w:type="dxa"/>
            <w:vAlign w:val="bottom"/>
          </w:tcPr>
          <w:p>
            <w:pPr>
              <w:spacing w:after="0"/>
              <w:rPr>
                <w:sz w:val="1"/>
                <w:szCs w:val="1"/>
                <w:color w:val="auto"/>
              </w:rPr>
            </w:pPr>
          </w:p>
        </w:tc>
      </w:tr>
      <w:tr>
        <w:trPr>
          <w:trHeight w:val="181"/>
        </w:trPr>
        <w:tc>
          <w:tcPr>
            <w:tcW w:w="244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(101,165)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(101,165)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(101,187)</w:t>
            </w:r>
          </w:p>
        </w:tc>
        <w:tc>
          <w:tcPr>
            <w:tcW w:w="0" w:type="dxa"/>
            <w:vAlign w:val="bottom"/>
          </w:tcPr>
          <w:p>
            <w:pPr>
              <w:spacing w:after="0"/>
              <w:rPr>
                <w:sz w:val="1"/>
                <w:szCs w:val="1"/>
                <w:color w:val="auto"/>
              </w:rPr>
            </w:pPr>
          </w:p>
        </w:tc>
      </w:tr>
      <w:tr>
        <w:trPr>
          <w:trHeight w:val="168"/>
        </w:trPr>
        <w:tc>
          <w:tcPr>
            <w:tcW w:w="2440" w:type="dxa"/>
            <w:vAlign w:val="bottom"/>
          </w:tcPr>
          <w:p>
            <w:pPr>
              <w:spacing w:after="0"/>
              <w:rPr>
                <w:sz w:val="20"/>
                <w:szCs w:val="20"/>
                <w:color w:val="auto"/>
              </w:rPr>
            </w:pPr>
            <w:r>
              <w:rPr>
                <w:rFonts w:ascii="Arial" w:cs="Arial" w:eastAsia="Arial" w:hAnsi="Arial"/>
                <w:sz w:val="13"/>
                <w:szCs w:val="13"/>
                <w:color w:val="auto"/>
              </w:rPr>
              <w:t>Other comprehensive loss, net of tax</w:t>
            </w: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4"/>
                <w:szCs w:val="14"/>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(10,887)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(10,887)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(10,893)</w:t>
            </w:r>
          </w:p>
        </w:tc>
        <w:tc>
          <w:tcPr>
            <w:tcW w:w="0" w:type="dxa"/>
            <w:vAlign w:val="bottom"/>
          </w:tcPr>
          <w:p>
            <w:pPr>
              <w:spacing w:after="0"/>
              <w:rPr>
                <w:sz w:val="1"/>
                <w:szCs w:val="1"/>
                <w:color w:val="auto"/>
              </w:rPr>
            </w:pPr>
          </w:p>
        </w:tc>
      </w:tr>
      <w:tr>
        <w:trPr>
          <w:trHeight w:val="183"/>
        </w:trPr>
        <w:tc>
          <w:tcPr>
            <w:tcW w:w="2440" w:type="dxa"/>
            <w:vAlign w:val="bottom"/>
            <w:shd w:val="clear" w:color="auto" w:fill="CCEEFF"/>
          </w:tcPr>
          <w:p>
            <w:pPr>
              <w:spacing w:after="0"/>
              <w:rPr>
                <w:sz w:val="20"/>
                <w:szCs w:val="20"/>
                <w:color w:val="auto"/>
              </w:rPr>
            </w:pPr>
            <w:r>
              <w:rPr>
                <w:rFonts w:ascii="Arial" w:cs="Arial" w:eastAsia="Arial" w:hAnsi="Arial"/>
                <w:sz w:val="13"/>
                <w:szCs w:val="13"/>
                <w:color w:val="auto"/>
              </w:rPr>
              <w:t>Share-based payments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2,798</w:t>
            </w:r>
          </w:p>
        </w:tc>
        <w:tc>
          <w:tcPr>
            <w:tcW w:w="0" w:type="dxa"/>
            <w:vAlign w:val="bottom"/>
          </w:tcPr>
          <w:p>
            <w:pPr>
              <w:spacing w:after="0"/>
              <w:rPr>
                <w:sz w:val="1"/>
                <w:szCs w:val="1"/>
                <w:color w:val="auto"/>
              </w:rPr>
            </w:pPr>
          </w:p>
        </w:tc>
      </w:tr>
      <w:tr>
        <w:trPr>
          <w:trHeight w:val="169"/>
        </w:trPr>
        <w:tc>
          <w:tcPr>
            <w:tcW w:w="2440" w:type="dxa"/>
            <w:vAlign w:val="bottom"/>
          </w:tcPr>
          <w:p>
            <w:pPr>
              <w:spacing w:after="0"/>
              <w:rPr>
                <w:sz w:val="20"/>
                <w:szCs w:val="20"/>
                <w:color w:val="auto"/>
              </w:rPr>
            </w:pPr>
            <w:r>
              <w:rPr>
                <w:rFonts w:ascii="Arial" w:cs="Arial" w:eastAsia="Arial" w:hAnsi="Arial"/>
                <w:sz w:val="13"/>
                <w:szCs w:val="13"/>
                <w:color w:val="auto"/>
              </w:rPr>
              <w:t>Net settlement of restricted stock units</w:t>
            </w:r>
          </w:p>
        </w:tc>
        <w:tc>
          <w:tcPr>
            <w:tcW w:w="980" w:type="dxa"/>
            <w:vAlign w:val="bottom"/>
          </w:tcPr>
          <w:p>
            <w:pPr>
              <w:jc w:val="right"/>
              <w:spacing w:after="0"/>
              <w:rPr>
                <w:sz w:val="20"/>
                <w:szCs w:val="20"/>
                <w:color w:val="auto"/>
              </w:rPr>
            </w:pPr>
            <w:r>
              <w:rPr>
                <w:rFonts w:ascii="Arial" w:cs="Arial" w:eastAsia="Arial" w:hAnsi="Arial"/>
                <w:sz w:val="13"/>
                <w:szCs w:val="13"/>
                <w:color w:val="auto"/>
              </w:rPr>
              <w:t>165</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(279)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(277)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(277)</w:t>
            </w:r>
          </w:p>
        </w:tc>
        <w:tc>
          <w:tcPr>
            <w:tcW w:w="0" w:type="dxa"/>
            <w:vAlign w:val="bottom"/>
          </w:tcPr>
          <w:p>
            <w:pPr>
              <w:spacing w:after="0"/>
              <w:rPr>
                <w:sz w:val="1"/>
                <w:szCs w:val="1"/>
                <w:color w:val="auto"/>
              </w:rPr>
            </w:pPr>
          </w:p>
        </w:tc>
      </w:tr>
      <w:tr>
        <w:trPr>
          <w:trHeight w:val="200"/>
        </w:trPr>
        <w:tc>
          <w:tcPr>
            <w:tcW w:w="2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Balance at June 30, 2020</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29,110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ind w:right="585"/>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291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231,724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(23,552)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(32,172)</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176,291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172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176,463</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8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128"/>
              <w:spacing w:after="0"/>
              <w:rPr>
                <w:sz w:val="20"/>
                <w:szCs w:val="20"/>
                <w:color w:val="auto"/>
              </w:rPr>
            </w:pPr>
            <w:r>
              <w:rPr>
                <w:rFonts w:ascii="Arial" w:cs="Arial" w:eastAsia="Arial" w:hAnsi="Arial"/>
                <w:sz w:val="14"/>
                <w:szCs w:val="14"/>
                <w:b w:val="1"/>
                <w:bCs w:val="1"/>
                <w:color w:val="auto"/>
              </w:rPr>
              <w:t>Six months ended June 30,</w:t>
            </w:r>
          </w:p>
        </w:tc>
        <w:tc>
          <w:tcPr>
            <w:tcW w:w="640" w:type="dxa"/>
            <w:vAlign w:val="bottom"/>
            <w:tcBorders>
              <w:bottom w:val="single" w:sz="8" w:color="auto"/>
            </w:tcBorders>
          </w:tcPr>
          <w:p>
            <w:pPr>
              <w:spacing w:after="0"/>
              <w:rPr>
                <w:sz w:val="16"/>
                <w:szCs w:val="16"/>
                <w:color w:val="auto"/>
              </w:rPr>
            </w:pPr>
          </w:p>
        </w:tc>
      </w:tr>
      <w:tr>
        <w:trPr>
          <w:trHeight w:val="186"/>
        </w:trPr>
        <w:tc>
          <w:tcPr>
            <w:tcW w:w="788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6"/>
                <w:szCs w:val="16"/>
                <w:color w:val="auto"/>
              </w:rPr>
            </w:pPr>
          </w:p>
        </w:tc>
      </w:tr>
      <w:tr>
        <w:trPr>
          <w:trHeight w:val="220"/>
        </w:trPr>
        <w:tc>
          <w:tcPr>
            <w:tcW w:w="7880" w:type="dxa"/>
            <w:vAlign w:val="bottom"/>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195"/>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00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586</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(101,187)</w:t>
            </w:r>
          </w:p>
        </w:tc>
      </w:tr>
      <w:tr>
        <w:trPr>
          <w:trHeight w:val="186"/>
        </w:trPr>
        <w:tc>
          <w:tcPr>
            <w:tcW w:w="7880" w:type="dxa"/>
            <w:vAlign w:val="bottom"/>
          </w:tcPr>
          <w:p>
            <w:pPr>
              <w:ind w:left="2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2"/>
        </w:trPr>
        <w:tc>
          <w:tcPr>
            <w:tcW w:w="7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Depreciation and amortization</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17,197</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17,997</w:t>
            </w:r>
          </w:p>
        </w:tc>
      </w:tr>
      <w:tr>
        <w:trPr>
          <w:trHeight w:val="186"/>
        </w:trPr>
        <w:tc>
          <w:tcPr>
            <w:tcW w:w="7880" w:type="dxa"/>
            <w:vAlign w:val="bottom"/>
          </w:tcPr>
          <w:p>
            <w:pPr>
              <w:ind w:left="140"/>
              <w:spacing w:after="0"/>
              <w:rPr>
                <w:sz w:val="20"/>
                <w:szCs w:val="20"/>
                <w:color w:val="auto"/>
              </w:rPr>
            </w:pPr>
            <w:r>
              <w:rPr>
                <w:rFonts w:ascii="Arial" w:cs="Arial" w:eastAsia="Arial" w:hAnsi="Arial"/>
                <w:sz w:val="14"/>
                <w:szCs w:val="14"/>
                <w:color w:val="auto"/>
              </w:rPr>
              <w:t>Impairment charges</w:t>
            </w:r>
          </w:p>
        </w:tc>
        <w:tc>
          <w:tcPr>
            <w:tcW w:w="100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106,062</w:t>
            </w:r>
          </w:p>
        </w:tc>
      </w:tr>
      <w:tr>
        <w:trPr>
          <w:trHeight w:val="192"/>
        </w:trPr>
        <w:tc>
          <w:tcPr>
            <w:tcW w:w="7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income taxes</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(14,327)</w:t>
            </w:r>
          </w:p>
        </w:tc>
      </w:tr>
      <w:tr>
        <w:trPr>
          <w:trHeight w:val="186"/>
        </w:trPr>
        <w:tc>
          <w:tcPr>
            <w:tcW w:w="7880" w:type="dxa"/>
            <w:vAlign w:val="bottom"/>
          </w:tcPr>
          <w:p>
            <w:pPr>
              <w:ind w:left="140"/>
              <w:spacing w:after="0"/>
              <w:rPr>
                <w:sz w:val="20"/>
                <w:szCs w:val="20"/>
                <w:color w:val="auto"/>
              </w:rPr>
            </w:pPr>
            <w:r>
              <w:rPr>
                <w:rFonts w:ascii="Arial" w:cs="Arial" w:eastAsia="Arial" w:hAnsi="Arial"/>
                <w:sz w:val="14"/>
                <w:szCs w:val="14"/>
                <w:color w:val="auto"/>
              </w:rPr>
              <w:t>Share-based compensation expense</w:t>
            </w:r>
          </w:p>
        </w:tc>
        <w:tc>
          <w:tcPr>
            <w:tcW w:w="100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2,464</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2,740</w:t>
            </w:r>
          </w:p>
        </w:tc>
      </w:tr>
      <w:tr>
        <w:trPr>
          <w:trHeight w:val="192"/>
        </w:trPr>
        <w:tc>
          <w:tcPr>
            <w:tcW w:w="7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Fair value adjustments to contingent consideration</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788</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w:t>
            </w:r>
          </w:p>
        </w:tc>
      </w:tr>
      <w:tr>
        <w:trPr>
          <w:trHeight w:val="186"/>
        </w:trPr>
        <w:tc>
          <w:tcPr>
            <w:tcW w:w="7880" w:type="dxa"/>
            <w:vAlign w:val="bottom"/>
          </w:tcPr>
          <w:p>
            <w:pPr>
              <w:ind w:left="140"/>
              <w:spacing w:after="0"/>
              <w:rPr>
                <w:sz w:val="20"/>
                <w:szCs w:val="20"/>
                <w:color w:val="auto"/>
              </w:rPr>
            </w:pPr>
            <w:r>
              <w:rPr>
                <w:rFonts w:ascii="Arial" w:cs="Arial" w:eastAsia="Arial" w:hAnsi="Arial"/>
                <w:sz w:val="14"/>
                <w:szCs w:val="14"/>
                <w:color w:val="auto"/>
              </w:rPr>
              <w:t>Foreign currency loss</w:t>
            </w:r>
          </w:p>
        </w:tc>
        <w:tc>
          <w:tcPr>
            <w:tcW w:w="100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932</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1,067</w:t>
            </w:r>
          </w:p>
        </w:tc>
      </w:tr>
      <w:tr>
        <w:trPr>
          <w:trHeight w:val="192"/>
        </w:trPr>
        <w:tc>
          <w:tcPr>
            <w:tcW w:w="7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1,179</w:t>
            </w:r>
          </w:p>
        </w:tc>
      </w:tr>
      <w:tr>
        <w:trPr>
          <w:trHeight w:val="186"/>
        </w:trPr>
        <w:tc>
          <w:tcPr>
            <w:tcW w:w="7880" w:type="dxa"/>
            <w:vAlign w:val="bottom"/>
          </w:tcPr>
          <w:p>
            <w:pPr>
              <w:ind w:left="20"/>
              <w:spacing w:after="0"/>
              <w:rPr>
                <w:sz w:val="20"/>
                <w:szCs w:val="20"/>
                <w:color w:val="auto"/>
              </w:rPr>
            </w:pPr>
            <w:r>
              <w:rPr>
                <w:rFonts w:ascii="Arial" w:cs="Arial" w:eastAsia="Arial" w:hAnsi="Arial"/>
                <w:sz w:val="14"/>
                <w:szCs w:val="14"/>
                <w:color w:val="auto"/>
              </w:rPr>
              <w:t>Changes in operating assets and liabilities, net of effect of acquisitions and dispositions</w:t>
            </w: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2"/>
        </w:trPr>
        <w:tc>
          <w:tcPr>
            <w:tcW w:w="7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receivable</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(15,577)</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30,228</w:t>
            </w:r>
          </w:p>
        </w:tc>
      </w:tr>
      <w:tr>
        <w:trPr>
          <w:trHeight w:val="186"/>
        </w:trPr>
        <w:tc>
          <w:tcPr>
            <w:tcW w:w="7880" w:type="dxa"/>
            <w:vAlign w:val="bottom"/>
          </w:tcPr>
          <w:p>
            <w:pPr>
              <w:ind w:left="140"/>
              <w:spacing w:after="0"/>
              <w:rPr>
                <w:sz w:val="20"/>
                <w:szCs w:val="20"/>
                <w:color w:val="auto"/>
              </w:rPr>
            </w:pPr>
            <w:r>
              <w:rPr>
                <w:rFonts w:ascii="Arial" w:cs="Arial" w:eastAsia="Arial" w:hAnsi="Arial"/>
                <w:sz w:val="14"/>
                <w:szCs w:val="14"/>
                <w:color w:val="auto"/>
              </w:rPr>
              <w:t>Inventories</w:t>
            </w:r>
          </w:p>
        </w:tc>
        <w:tc>
          <w:tcPr>
            <w:tcW w:w="100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(1,300)</w:t>
            </w:r>
          </w:p>
        </w:tc>
      </w:tr>
      <w:tr>
        <w:trPr>
          <w:trHeight w:val="192"/>
        </w:trPr>
        <w:tc>
          <w:tcPr>
            <w:tcW w:w="7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Prepaid expenses and other assets</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299</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(1,426)</w:t>
            </w:r>
          </w:p>
        </w:tc>
      </w:tr>
      <w:tr>
        <w:trPr>
          <w:trHeight w:val="186"/>
        </w:trPr>
        <w:tc>
          <w:tcPr>
            <w:tcW w:w="788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100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3,751</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(6,536)</w:t>
            </w:r>
          </w:p>
        </w:tc>
      </w:tr>
      <w:tr>
        <w:trPr>
          <w:trHeight w:val="192"/>
        </w:trPr>
        <w:tc>
          <w:tcPr>
            <w:tcW w:w="7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expenses and other liabilities</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9,053</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347</w:t>
            </w:r>
          </w:p>
        </w:tc>
      </w:tr>
      <w:tr>
        <w:trPr>
          <w:trHeight w:val="186"/>
        </w:trPr>
        <w:tc>
          <w:tcPr>
            <w:tcW w:w="78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Income taxes payable</w:t>
            </w:r>
          </w:p>
        </w:tc>
        <w:tc>
          <w:tcPr>
            <w:tcW w:w="10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(1,430)</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541</w:t>
            </w:r>
          </w:p>
        </w:tc>
      </w:tr>
      <w:tr>
        <w:trPr>
          <w:trHeight w:val="186"/>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18,126</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34,862</w:t>
            </w:r>
          </w:p>
        </w:tc>
      </w:tr>
      <w:tr>
        <w:trPr>
          <w:trHeight w:val="188"/>
        </w:trPr>
        <w:tc>
          <w:tcPr>
            <w:tcW w:w="788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0"/>
        </w:trPr>
        <w:tc>
          <w:tcPr>
            <w:tcW w:w="7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 of property, plant and equipment</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(10,188)</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(7,443)</w:t>
            </w:r>
          </w:p>
        </w:tc>
      </w:tr>
      <w:tr>
        <w:trPr>
          <w:trHeight w:val="186"/>
        </w:trPr>
        <w:tc>
          <w:tcPr>
            <w:tcW w:w="7880" w:type="dxa"/>
            <w:vAlign w:val="bottom"/>
          </w:tcPr>
          <w:p>
            <w:pPr>
              <w:ind w:left="140"/>
              <w:spacing w:after="0"/>
              <w:rPr>
                <w:sz w:val="20"/>
                <w:szCs w:val="20"/>
                <w:color w:val="auto"/>
              </w:rPr>
            </w:pPr>
            <w:r>
              <w:rPr>
                <w:rFonts w:ascii="Arial" w:cs="Arial" w:eastAsia="Arial" w:hAnsi="Arial"/>
                <w:sz w:val="14"/>
                <w:szCs w:val="14"/>
                <w:color w:val="auto"/>
              </w:rPr>
              <w:t>Purchase of intangible assets</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(618)</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(195)</w:t>
            </w:r>
          </w:p>
        </w:tc>
      </w:tr>
      <w:tr>
        <w:trPr>
          <w:trHeight w:val="192"/>
        </w:trPr>
        <w:tc>
          <w:tcPr>
            <w:tcW w:w="7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 of business, net of cash acquired</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86"/>
        </w:trPr>
        <w:tc>
          <w:tcPr>
            <w:tcW w:w="78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Proceeds from sale of equipment</w:t>
            </w:r>
          </w:p>
        </w:tc>
        <w:tc>
          <w:tcPr>
            <w:tcW w:w="10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899</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390</w:t>
            </w:r>
          </w:p>
        </w:tc>
      </w:tr>
      <w:tr>
        <w:trPr>
          <w:trHeight w:val="186"/>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(10,318)</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(7,248)</w:t>
            </w:r>
          </w:p>
        </w:tc>
      </w:tr>
      <w:tr>
        <w:trPr>
          <w:trHeight w:val="188"/>
        </w:trPr>
        <w:tc>
          <w:tcPr>
            <w:tcW w:w="788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0"/>
        </w:trPr>
        <w:tc>
          <w:tcPr>
            <w:tcW w:w="7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Repayment of finance lease obligations</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(2,050)</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(2,132)</w:t>
            </w:r>
          </w:p>
        </w:tc>
      </w:tr>
      <w:tr>
        <w:trPr>
          <w:trHeight w:val="186"/>
        </w:trPr>
        <w:tc>
          <w:tcPr>
            <w:tcW w:w="7880" w:type="dxa"/>
            <w:vAlign w:val="bottom"/>
          </w:tcPr>
          <w:p>
            <w:pPr>
              <w:ind w:left="140"/>
              <w:spacing w:after="0"/>
              <w:rPr>
                <w:sz w:val="20"/>
                <w:szCs w:val="20"/>
                <w:color w:val="auto"/>
              </w:rPr>
            </w:pPr>
            <w:r>
              <w:rPr>
                <w:rFonts w:ascii="Arial" w:cs="Arial" w:eastAsia="Arial" w:hAnsi="Arial"/>
                <w:sz w:val="14"/>
                <w:szCs w:val="14"/>
                <w:color w:val="auto"/>
              </w:rPr>
              <w:t>Proceeds from borrowings of long-term debt</w:t>
            </w:r>
          </w:p>
        </w:tc>
        <w:tc>
          <w:tcPr>
            <w:tcW w:w="100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1,605</w:t>
            </w:r>
          </w:p>
        </w:tc>
      </w:tr>
      <w:tr>
        <w:trPr>
          <w:trHeight w:val="192"/>
        </w:trPr>
        <w:tc>
          <w:tcPr>
            <w:tcW w:w="7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Repayment of long-term debt</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(7,957)</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(2,983)</w:t>
            </w:r>
          </w:p>
        </w:tc>
      </w:tr>
      <w:tr>
        <w:trPr>
          <w:trHeight w:val="186"/>
        </w:trPr>
        <w:tc>
          <w:tcPr>
            <w:tcW w:w="7880" w:type="dxa"/>
            <w:vAlign w:val="bottom"/>
          </w:tcPr>
          <w:p>
            <w:pPr>
              <w:ind w:left="140"/>
              <w:spacing w:after="0"/>
              <w:rPr>
                <w:sz w:val="20"/>
                <w:szCs w:val="20"/>
                <w:color w:val="auto"/>
              </w:rPr>
            </w:pPr>
            <w:r>
              <w:rPr>
                <w:rFonts w:ascii="Arial" w:cs="Arial" w:eastAsia="Arial" w:hAnsi="Arial"/>
                <w:sz w:val="14"/>
                <w:szCs w:val="14"/>
                <w:color w:val="auto"/>
              </w:rPr>
              <w:t>Proceeds from revolver</w:t>
            </w:r>
          </w:p>
        </w:tc>
        <w:tc>
          <w:tcPr>
            <w:tcW w:w="100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37,000</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16,500</w:t>
            </w:r>
          </w:p>
        </w:tc>
      </w:tr>
      <w:tr>
        <w:trPr>
          <w:trHeight w:val="192"/>
        </w:trPr>
        <w:tc>
          <w:tcPr>
            <w:tcW w:w="7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Repayment of revolver</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(37,500)</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(30,250)</w:t>
            </w:r>
          </w:p>
        </w:tc>
      </w:tr>
      <w:tr>
        <w:trPr>
          <w:trHeight w:val="186"/>
        </w:trPr>
        <w:tc>
          <w:tcPr>
            <w:tcW w:w="7880" w:type="dxa"/>
            <w:vAlign w:val="bottom"/>
          </w:tcPr>
          <w:p>
            <w:pPr>
              <w:ind w:left="140"/>
              <w:spacing w:after="0"/>
              <w:rPr>
                <w:sz w:val="20"/>
                <w:szCs w:val="20"/>
                <w:color w:val="auto"/>
              </w:rPr>
            </w:pPr>
            <w:r>
              <w:rPr>
                <w:rFonts w:ascii="Arial" w:cs="Arial" w:eastAsia="Arial" w:hAnsi="Arial"/>
                <w:sz w:val="14"/>
                <w:szCs w:val="14"/>
                <w:color w:val="auto"/>
              </w:rPr>
              <w:t>Payment of financing costs</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(550)</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(1,497)</w:t>
            </w:r>
          </w:p>
        </w:tc>
      </w:tr>
      <w:tr>
        <w:trPr>
          <w:trHeight w:val="192"/>
        </w:trPr>
        <w:tc>
          <w:tcPr>
            <w:tcW w:w="7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 of contingent consideration for business acquisitions</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(938)</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(1,303)</w:t>
            </w:r>
          </w:p>
        </w:tc>
      </w:tr>
      <w:tr>
        <w:trPr>
          <w:trHeight w:val="186"/>
        </w:trPr>
        <w:tc>
          <w:tcPr>
            <w:tcW w:w="78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Taxes paid related to net share settlement of share-based awards</w:t>
            </w:r>
          </w:p>
        </w:tc>
        <w:tc>
          <w:tcPr>
            <w:tcW w:w="10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(975)</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w:t>
            </w:r>
          </w:p>
        </w:tc>
      </w:tr>
      <w:tr>
        <w:trPr>
          <w:trHeight w:val="186"/>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financing activities</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(12,970)</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(20,337)</w:t>
            </w:r>
          </w:p>
        </w:tc>
      </w:tr>
      <w:tr>
        <w:trPr>
          <w:trHeight w:val="186"/>
        </w:trPr>
        <w:tc>
          <w:tcPr>
            <w:tcW w:w="78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Effect of exchange rate changes on cash and cash equivalents</w:t>
            </w:r>
          </w:p>
        </w:tc>
        <w:tc>
          <w:tcPr>
            <w:tcW w:w="10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(656)</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295</w:t>
            </w:r>
          </w:p>
        </w:tc>
      </w:tr>
      <w:tr>
        <w:trPr>
          <w:trHeight w:val="186"/>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change in cash and cash equivalents</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(5,818)</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7,572</w:t>
            </w:r>
          </w:p>
        </w:tc>
      </w:tr>
      <w:tr>
        <w:trPr>
          <w:trHeight w:val="186"/>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10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25,760</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15,016</w:t>
            </w:r>
          </w:p>
        </w:tc>
      </w:tr>
      <w:tr>
        <w:trPr>
          <w:trHeight w:val="186"/>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100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19,942</w:t>
            </w:r>
          </w:p>
        </w:tc>
        <w:tc>
          <w:tcPr>
            <w:tcW w:w="10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22,588</w:t>
            </w:r>
          </w:p>
        </w:tc>
      </w:tr>
      <w:tr>
        <w:trPr>
          <w:trHeight w:val="177"/>
        </w:trPr>
        <w:tc>
          <w:tcPr>
            <w:tcW w:w="788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cash paid</w:t>
            </w:r>
          </w:p>
        </w:tc>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95"/>
        </w:trPr>
        <w:tc>
          <w:tcPr>
            <w:tcW w:w="7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net</w:t>
            </w:r>
          </w:p>
        </w:tc>
        <w:tc>
          <w:tcPr>
            <w:tcW w:w="100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5,898</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5,554</w:t>
            </w:r>
          </w:p>
        </w:tc>
      </w:tr>
      <w:tr>
        <w:trPr>
          <w:trHeight w:val="186"/>
        </w:trPr>
        <w:tc>
          <w:tcPr>
            <w:tcW w:w="7880" w:type="dxa"/>
            <w:vAlign w:val="bottom"/>
          </w:tcPr>
          <w:p>
            <w:pPr>
              <w:ind w:left="140"/>
              <w:spacing w:after="0"/>
              <w:rPr>
                <w:sz w:val="20"/>
                <w:szCs w:val="20"/>
                <w:color w:val="auto"/>
              </w:rPr>
            </w:pPr>
            <w:r>
              <w:rPr>
                <w:rFonts w:ascii="Arial" w:cs="Arial" w:eastAsia="Arial" w:hAnsi="Arial"/>
                <w:sz w:val="14"/>
                <w:szCs w:val="14"/>
                <w:color w:val="auto"/>
              </w:rPr>
              <w:t>Income taxes, net of refunds</w:t>
            </w: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3,135</w:t>
            </w:r>
          </w:p>
        </w:tc>
        <w:tc>
          <w:tcPr>
            <w:tcW w:w="100" w:type="dxa"/>
            <w:vAlign w:val="bottom"/>
          </w:tcPr>
          <w:p>
            <w:pPr>
              <w:spacing w:after="0"/>
              <w:rPr>
                <w:sz w:val="16"/>
                <w:szCs w:val="16"/>
                <w:color w:val="auto"/>
              </w:rPr>
            </w:pPr>
          </w:p>
        </w:tc>
        <w:tc>
          <w:tcPr>
            <w:tcW w:w="960" w:type="dxa"/>
            <w:vAlign w:val="bottom"/>
          </w:tcPr>
          <w:p>
            <w:pPr>
              <w:jc w:val="right"/>
              <w:ind w:right="80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192"/>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Noncash investing and financing</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182"/>
        </w:trPr>
        <w:tc>
          <w:tcPr>
            <w:tcW w:w="7880" w:type="dxa"/>
            <w:vAlign w:val="bottom"/>
          </w:tcPr>
          <w:p>
            <w:pPr>
              <w:ind w:left="140"/>
              <w:spacing w:after="0"/>
              <w:rPr>
                <w:sz w:val="20"/>
                <w:szCs w:val="20"/>
                <w:color w:val="auto"/>
              </w:rPr>
            </w:pPr>
            <w:r>
              <w:rPr>
                <w:rFonts w:ascii="Arial" w:cs="Arial" w:eastAsia="Arial" w:hAnsi="Arial"/>
                <w:sz w:val="14"/>
                <w:szCs w:val="14"/>
                <w:color w:val="auto"/>
              </w:rPr>
              <w:t>Equipment acquired through finance lease obligations</w:t>
            </w: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1,623</w:t>
            </w:r>
          </w:p>
        </w:tc>
        <w:tc>
          <w:tcPr>
            <w:tcW w:w="100" w:type="dxa"/>
            <w:vAlign w:val="bottom"/>
          </w:tcPr>
          <w:p>
            <w:pPr>
              <w:spacing w:after="0"/>
              <w:rPr>
                <w:sz w:val="15"/>
                <w:szCs w:val="15"/>
                <w:color w:val="auto"/>
              </w:rPr>
            </w:pPr>
          </w:p>
        </w:tc>
        <w:tc>
          <w:tcPr>
            <w:tcW w:w="960" w:type="dxa"/>
            <w:vAlign w:val="bottom"/>
          </w:tcPr>
          <w:p>
            <w:pPr>
              <w:jc w:val="right"/>
              <w:ind w:right="80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1,266</w:t>
            </w:r>
          </w:p>
        </w:tc>
      </w:tr>
    </w:tbl>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Mistras Group, Inc. and subsidiaries (the Company) is a leading “one source” multinational provider of integrated technology-enabled asset protection solutions helping to maximize the safety and operational uptime for civilization's most critical industrial and civil assets.</w:t>
      </w:r>
    </w:p>
    <w:p>
      <w:pPr>
        <w:spacing w:after="0" w:line="19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Backed by an innovative, data-driven asset protection portfolio, proprietary technologies, and decades-long legacy of industry leadership, the Company helps clients with asset-intensive infrastructure in the oil and gas, aerospace and defense, industrials, power generation and transmission (including alternative and renewable energy), other process industries and infrastructure, research and engineering and other industries towards achieving and maintaining operational excellence. By supporting these organizations that help fuel our vehicles and power our society; inspecting components that are trusted for commercial, defense, and space craft; and building real-time monitoring equipment to enable safe travel across bridges, the Company helps the world at large.</w:t>
      </w:r>
    </w:p>
    <w:p>
      <w:pPr>
        <w:spacing w:after="0" w:line="206"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The Company enhances value for its clients by integrating asset protection throughout supply chains and centralizing integrity data through a suite of Industrial IoT-connected digital software and monitoring solutions, including OneSuite™, which serves as an ecosystem platform, pulling together all of the Company’s software and data services capabilities, for the benefit of its customers.</w:t>
      </w:r>
    </w:p>
    <w:p>
      <w:pPr>
        <w:spacing w:after="0" w:line="21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Company's core capabilities also include non-destructive testing (“NDT”) field inspections enhanced by advanced robotics, laboratory quality control and assurance testing, sensing technologies and NDT equipment, asset and mechanical integrity engineering services, and light mechanical maintenance and access services.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COVID-19 coronavirus (COVID-19) pandemic has caused significant volatility in domestic and international markets and is expected to continue to result in ongoing economic disruption.</w:t>
      </w:r>
    </w:p>
    <w:p>
      <w:pPr>
        <w:spacing w:after="0" w:line="19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Company's businesses have been classified as non-healthcare critical infrastructure as defined by the U.S. Centers for Disease Control and Prevention (CDC). As a result, a majority of the Company's customers have been and currently remain open for business. North American facilities have remained, and currently remain operating, with modified staffing in certain locations where appropriate. Similarly, the Company's European facilities have remained, and currently remain operating, with modified staffing in certain locations where appropriate, but at a slower pace than North America.</w:t>
      </w:r>
    </w:p>
    <w:p>
      <w:pPr>
        <w:spacing w:after="0" w:line="184"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Overall, the Company has taken actions to help ensure the health and safety of Company employees and those of its customers and suppliers; maintain business continuity and financial strength and stability; and serve customers as they provide essential products and services to the world.</w:t>
      </w:r>
    </w:p>
    <w:p>
      <w:pPr>
        <w:spacing w:after="0" w:line="151"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The COVID-19 pandemic uncertainty, significant volatility in oil prices, and decreased traffic in the aerospace industry have adversely affected the operations of the Company's customers, suppliers and contractors beginning in the first quarter of 2020, and as a consequence, the Company's results of operations were adversely impacted. These negative factors continue to cause volatility and uncertainty in the markets in which the Company operates, although the Company in 2021 has nevertheless begun approaching pre-pandemic levels of activity in certain end markets, particularly oil and gas.</w:t>
      </w:r>
    </w:p>
    <w:p>
      <w:pPr>
        <w:spacing w:after="0" w:line="18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While the Company cannot fully assess the impact that the factors discussed above will have on its operations at this time, there were certain impacts that the Company identified resulting in impairment charges in 2020. See Note 8-</w:t>
      </w:r>
      <w:r>
        <w:rPr>
          <w:rFonts w:ascii="Arial" w:cs="Arial" w:eastAsia="Arial" w:hAnsi="Arial"/>
          <w:sz w:val="18"/>
          <w:szCs w:val="18"/>
          <w:b w:val="1"/>
          <w:bCs w:val="1"/>
          <w:i w:val="1"/>
          <w:iCs w:val="1"/>
          <w:color w:val="auto"/>
        </w:rPr>
        <w:t>Goodwill,</w:t>
      </w:r>
      <w:r>
        <w:rPr>
          <w:rFonts w:ascii="Arial" w:cs="Arial" w:eastAsia="Arial" w:hAnsi="Arial"/>
          <w:sz w:val="18"/>
          <w:szCs w:val="18"/>
          <w:color w:val="auto"/>
        </w:rPr>
        <w:t xml:space="preserve"> Note 9-</w:t>
      </w:r>
      <w:r>
        <w:rPr>
          <w:rFonts w:ascii="Arial" w:cs="Arial" w:eastAsia="Arial" w:hAnsi="Arial"/>
          <w:sz w:val="18"/>
          <w:szCs w:val="18"/>
          <w:b w:val="1"/>
          <w:bCs w:val="1"/>
          <w:i w:val="1"/>
          <w:iCs w:val="1"/>
          <w:color w:val="auto"/>
        </w:rPr>
        <w:t>Intangible Assets</w:t>
      </w:r>
      <w:r>
        <w:rPr>
          <w:rFonts w:ascii="Arial" w:cs="Arial" w:eastAsia="Arial" w:hAnsi="Arial"/>
          <w:sz w:val="18"/>
          <w:szCs w:val="18"/>
          <w:color w:val="auto"/>
        </w:rPr>
        <w:t xml:space="preserve"> and Note 13-</w:t>
      </w:r>
      <w:r>
        <w:rPr>
          <w:rFonts w:ascii="Arial" w:cs="Arial" w:eastAsia="Arial" w:hAnsi="Arial"/>
          <w:sz w:val="18"/>
          <w:szCs w:val="18"/>
          <w:b w:val="1"/>
          <w:bCs w:val="1"/>
          <w:i w:val="1"/>
          <w:iCs w:val="1"/>
          <w:color w:val="auto"/>
        </w:rPr>
        <w:t>Leases</w:t>
      </w:r>
      <w:r>
        <w:rPr>
          <w:rFonts w:ascii="Arial" w:cs="Arial" w:eastAsia="Arial" w:hAnsi="Arial"/>
          <w:sz w:val="18"/>
          <w:szCs w:val="18"/>
          <w:color w:val="auto"/>
        </w:rPr>
        <w:t xml:space="preserve"> for additional information.</w:t>
      </w:r>
    </w:p>
    <w:p>
      <w:pPr>
        <w:spacing w:after="0" w:line="197"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To respond to the economic downturn resulting from the factors discussed above, the Company initiated a temporary cost reduction and efficiency program in April 2020. The Company has reinstated substantially all of the temporary cost reductions initiatives undertaken in 2020; although, the Company continues to manage and evaluate these actions in response to the ongoing impact of the COVID-19 pandemic.</w:t>
      </w: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is currently unable to predict with certainty the overall impact that the factors discussed above may have on its business, results of operations or liquidity or in other ways which the Company cannot yet determine. The Company will continue to monitor market conditions and respond accordingly. As of June 30, 2021, the cash balance was approximately $19.9 million.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Unaudited Condensed Consolidated Financial Statements contained in this report have been prepared in conformity with U.S. generally accepted accounting principles ("GAAP") and Securities and Exchange Commission guidance allowing for reduced disclosure for interim periods. In the opinion of management, the Unaudited Condensed Consolidated Financial Statements include all adjustments, which are of a normal recurring nature, necessary for a fair presentation of the results for the interim periods of the years ending December 31, 2021 and December 31, 2020.</w:t>
      </w:r>
    </w:p>
    <w:p>
      <w:pPr>
        <w:spacing w:after="0" w:line="19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the Audited Consolidated Financial Statements contained in the Company's 2020 Annual Report on Form 10-K ("2020 Annual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accompanying Unaudited Condensed Consolidated Financial Statements include the accounts of Mistras Group, Inc. as well as its wholly-owned subsidiaries, majority-owned subsidiaries and consolidated variable interest entities (VIE). For subsidiaries in which the Company’s ownership interest is less than 100%, the non-controlling interests are reported in stockholders’ equity in the accompanying Condensed Consolidated Balance Sheets. The non-controlling interests in net results, net of tax, is classified separately in the accompanying Unaudited Condensed Consolidated Statements of Income (Loss). All significant intercompany accounts and transactions have been eliminated in consolidation. The results of operations of companies acquired are included from the date of acquisition.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Certain amounts in prior periods have been reclassified to conform to the current year presentation. Such reclassifications did not have a material effect on the Company's financial condition or results of operations as previously reported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each of the three and six months ended June 30, 2021 and 2020, no customer represented 10% or more of the Company's 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Company’s significant accounting policies are disclosed in Note 1–</w:t>
      </w:r>
      <w:r>
        <w:rPr>
          <w:rFonts w:ascii="Arial" w:cs="Arial" w:eastAsia="Arial" w:hAnsi="Arial"/>
          <w:sz w:val="18"/>
          <w:szCs w:val="18"/>
          <w:b w:val="1"/>
          <w:bCs w:val="1"/>
          <w:i w:val="1"/>
          <w:iCs w:val="1"/>
          <w:color w:val="auto"/>
        </w:rPr>
        <w:t>Summary of Significant Accounting Policies and Practices</w:t>
      </w:r>
      <w:r>
        <w:rPr>
          <w:rFonts w:ascii="Arial" w:cs="Arial" w:eastAsia="Arial" w:hAnsi="Arial"/>
          <w:sz w:val="18"/>
          <w:szCs w:val="18"/>
          <w:color w:val="auto"/>
        </w:rPr>
        <w:t xml:space="preserve"> in the 2020 Annual Report. On an ongoing basis, the Company evaluates its estimates and assumptions, including among other things, those related to revenue recognition, long-lived assets, goodwill and acquisitions. Since the date of the 2020 Annual Report, there have been no material changes to the Company's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Income taxes are accounted for under the asset and liability method. Deferred income tax assets and liabilities are recognized for the future tax consequences attributable to differences between the financial statement carrying amounts of existing assets and liabilities and their respective tax bases and tax credit carry-forwards. Deferred income tax assets and liabilities are measured using enacted tax rates expected to apply to taxable income in the years in which those temporary differences are expected to be recovered or settled. The effect on deferred income tax assets and liabilities of a change in tax rates is recognized in income in the period that includes the enactment date. A valuation allowance is provided if it is more likely than not that some or all of a deferred income tax asset will not be realized. A current tax liability or asset is recognized for the estimated taxes payable or refundable on tax returns for the current and prior years. US GAAP prescribes a minimum recognition threshold a tax position is required to meet before being recognized in the financial statements. US GAAP also provides guidance on de-recognition, measurement, and classification of amounts relating to uncertain tax positions, accounting for and disclosure of interest and penalties, accounting in interim periods and disclosures required. Interest and penalties related to unrecognized tax positions are recognized as incurred within “provision for income taxes” in the consolidated statements of income.</w:t>
      </w:r>
    </w:p>
    <w:p>
      <w:pPr>
        <w:spacing w:after="0" w:line="19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continues to evaluate its deferred tax assets each period to determine if a valuation allowance is required based on whether it is more likely than not that some portion of these deferred tax assets will not be realized. As of June 30, 2021 management concluded that it is more likely than not that a substantial portion of the Company's deferred tax assets will be realized. As part of the Company's analysis, it considered both positive and negative factors that impact profitability and whether those factors would lead to a change in the estimate of the Company's deferred tax assets that may be realized in the future.</w:t>
      </w:r>
    </w:p>
    <w:p>
      <w:pPr>
        <w:spacing w:after="0" w:line="201" w:lineRule="exact"/>
        <w:rPr>
          <w:sz w:val="20"/>
          <w:szCs w:val="20"/>
          <w:color w:val="auto"/>
        </w:rPr>
      </w:pPr>
    </w:p>
    <w:p>
      <w:pPr>
        <w:ind w:right="460"/>
        <w:spacing w:after="0" w:line="307" w:lineRule="auto"/>
        <w:rPr>
          <w:sz w:val="20"/>
          <w:szCs w:val="20"/>
          <w:color w:val="auto"/>
        </w:rPr>
      </w:pPr>
      <w:r>
        <w:rPr>
          <w:rFonts w:ascii="Arial" w:cs="Arial" w:eastAsia="Arial" w:hAnsi="Arial"/>
          <w:sz w:val="16"/>
          <w:szCs w:val="16"/>
          <w:color w:val="auto"/>
        </w:rPr>
        <w:t>The Company’s effective income tax rate was approximately 27.7% and 20.7% for the three months ended June 30, 2021 and 2020, respectively. The Company’s effective income tax rate was approximately (125.4)% and 13.8% for the six months ended June 30, 2021 and 2020,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The effective income tax rate for the three months ended June 30, 2021, was higher than the statutory rate due to earnings in jurisdictions with higher</w:t>
      </w:r>
    </w:p>
    <w:p>
      <w:pPr>
        <w:spacing w:after="0" w:line="35" w:lineRule="exact"/>
        <w:rPr>
          <w:sz w:val="20"/>
          <w:szCs w:val="20"/>
          <w:color w:val="auto"/>
        </w:rPr>
      </w:pPr>
    </w:p>
    <w:p>
      <w:pPr>
        <w:ind w:right="380"/>
        <w:spacing w:after="0" w:line="305" w:lineRule="auto"/>
        <w:rPr>
          <w:sz w:val="20"/>
          <w:szCs w:val="20"/>
          <w:color w:val="auto"/>
        </w:rPr>
      </w:pPr>
      <w:r>
        <w:rPr>
          <w:rFonts w:ascii="Arial" w:cs="Arial" w:eastAsia="Arial" w:hAnsi="Arial"/>
          <w:sz w:val="16"/>
          <w:szCs w:val="16"/>
          <w:color w:val="auto"/>
        </w:rPr>
        <w:t>income tax rates than the United States. The effective income tax rate for the three months ended June 30, 2020 approximated the statutory rate, as the favorable impact of the CARES Act was offset by the unfavorable impact of taxes in other jurisdictions and other permanent book to tax differences.</w:t>
      </w:r>
    </w:p>
    <w:p>
      <w:pPr>
        <w:spacing w:after="0" w:line="153"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The effective income tax rate for the six months ended June 30, 2021 was lower than the statutory rate due to capitalization of certain non-US intercompany balances which resulted in a deductible foreign exchange loss in the US. The effective income tax rate for the six months ended June 30, 2020 was lower than the statutory rate primarily due to the income tax benefits of the CARES Act, partially offset by impairments for which the Company did not realize income tax benefits.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The ASU removes certain exceptions from the guidance in ASC 740 related to intra-period tax allocations, interim calculations and the recognition of deferred tax liabilities for outside basis differences and clarifies and simplifies several other aspects of accounting for income taxes. Different transition methods apply to the various income tax simplifications. The Company adopted ASU 2019-12 effective January 1, 2021. The impact of adopting this standard was not material to the Company’s consolidated financial position, results of operations, and cash flows.</w:t>
      </w:r>
    </w:p>
    <w:p>
      <w:pPr>
        <w:spacing w:after="0" w:line="21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March 2020 and updated in January 2021, the FASB issued ASU 2020-04, “Reference Rate Reform (Topic 848): Facilitation of the Effects of Reference Rate Reform on Financial Reporting.” The amendments provide optional guidance for a limited period of time to ease the potential burden in accounting for (or recognizing the effects of) reference rate reform on financial reporting. The guidance provides optional expedients and exceptions for applying U.S. GAAP to contract modifications and hedging relationships, subject to meeting certain criteria, that reference LIBOR or another rate that is expected to be discontinued. The amendments in ASU 2020-04 are effective for all entities as of March 12, 2020 through December 31, 2022. The Company is currently evaluating applicable contracts and the available expedients provided by the new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Revenue</w:t>
      </w:r>
    </w:p>
    <w:p>
      <w:pPr>
        <w:spacing w:after="0" w:line="2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The Company derives the majority of its revenue by providing services on a time and material basis, and are short-term in nature. The Company accounts for revenue in accordance with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4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provides highly integrated and bundled inspection services to its customers. The majority of the Company's contracts have a single performance obligation as the promise to transfer the individual goods or services is not separately identifiable from other promises in the contracts and is, therefore, not distinct. For contracts with multiple performance obligations, the Company allocates the contract’s transaction price to each performance obligation using the Company's best estimate of the standalone selling price of each distinct good or service in the contract. The primary method used to estimate standalone selling price is a relative selling price based on price lists.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Contract modifications are not routine in the performance of the Company's contracts. Generally, when contracts are modified, the modification is to account for changes in scope to the goods and services that are provided. In most instances, contract modifications are for goods or services that are distinct, and, therefore, are accounted for as a separate contract.</w:t>
      </w:r>
    </w:p>
    <w:p>
      <w:pPr>
        <w:spacing w:after="0" w:line="21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Company's performance obligations are satisfied over time as work progresses or at a point in time. The majority of the Company's revenue is recognized over time as work progresses for the Company's service deliverables, which includes providing testing, inspection and mechanical services to our customers. Revenue is recognized over time based on time and material incurred to date which best portrays the transfer of control to the customer. The Company also utilizes an available practical expedient that provides for revenue to be recognized in an amount that corresponds directly with the value to the customer of the entity’s performance completed to date. Fixed fee arrangements are determined based on expected labor, material, and overhead to be consumed on fulfillment of such services. For these arrangements, revenue is recognized on a cost-to-cost method tracked on an input basis.</w:t>
      </w:r>
    </w:p>
    <w:p>
      <w:pPr>
        <w:spacing w:after="0" w:line="19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majority of our revenue recognized at a point in time is related to product sales when the customer obtains control of the asset, which is generally upon shipment to the customer. Contract costs include labor, material and overhead.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any significant remaining performance obligations to be satisfied within one year.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25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majority of the Company's revenues are short-term in nature. The Company has many master service agreements (MSAs) that specify an overall framework and contract terms when the Company and customers agree upon services or products to be provided. The actual contracting to provide services or furnish products are triggered by a work order, purchase order, or some similar document issued pursuant to a MSA which sets forth the scope of services and/or identifies the products to be provided. From time-to-time, the Company may enter into long-term contracts, which can range from several months to several years. Revenue on certain contracts is recognized as work is performed based on total costs incurred to date in relation to the total estimated costs for the performance of the contract at completion. This includes contract estimates of costs to be incurred for the performance of the contract. Cost estimation is based upon the professional knowledge and experience of the Company's project managers, engineers and financial professionals. Factors that are considered in estimating the work to be completed include the availability of materials, the effect of any delays in the Company's project performance and the recoverability of any claims. Whenever revisions of estimates, contract costs and/or contract values indicate that the contract costs will exceed estimated revenues, thus creating a loss, a provision for the total estimated loss is recorded in that period.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Category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series of tables present the Company's disaggregated 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Revenue by industry was as follows:</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680" w:type="dxa"/>
            <w:vAlign w:val="bottom"/>
          </w:tcPr>
          <w:p>
            <w:pPr>
              <w:spacing w:after="0"/>
              <w:rPr>
                <w:sz w:val="20"/>
                <w:szCs w:val="20"/>
                <w:color w:val="auto"/>
              </w:rPr>
            </w:pPr>
            <w:r>
              <w:rPr>
                <w:rFonts w:ascii="Arial" w:cs="Arial" w:eastAsia="Arial" w:hAnsi="Arial"/>
                <w:sz w:val="14"/>
                <w:szCs w:val="14"/>
                <w:b w:val="1"/>
                <w:bCs w:val="1"/>
                <w:color w:val="auto"/>
              </w:rPr>
              <w:t>Three Months Ended June 30, 2021</w:t>
            </w:r>
          </w:p>
        </w:tc>
        <w:tc>
          <w:tcPr>
            <w:tcW w:w="26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Products</w:t>
            </w: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Total</w:t>
            </w:r>
          </w:p>
        </w:tc>
      </w:tr>
      <w:tr>
        <w:trPr>
          <w:trHeight w:val="229"/>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Oil &amp; Gas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91,767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101,559</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Aerospace &amp; Defense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4,127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16,935</w:t>
            </w:r>
          </w:p>
        </w:tc>
      </w:tr>
      <w:tr>
        <w:trPr>
          <w:trHeight w:val="229"/>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Industrials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17,854</w:t>
            </w: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Power Generation &amp; Transmission</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3,183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14,086</w:t>
            </w: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 Process Industries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14,018</w:t>
            </w: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Infrastructure, Research &amp; Engineering</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3,254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9,253</w:t>
            </w:r>
          </w:p>
        </w:tc>
      </w:tr>
      <w:tr>
        <w:trPr>
          <w:trHeight w:val="229"/>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4"/>
              </w:rPr>
              <w:t>(2,454)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3,972</w:t>
            </w:r>
          </w:p>
        </w:tc>
      </w:tr>
      <w:tr>
        <w:trPr>
          <w:trHeight w:val="223"/>
        </w:trPr>
        <w:tc>
          <w:tcPr>
            <w:tcW w:w="3680" w:type="dxa"/>
            <w:vAlign w:val="bottom"/>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144,977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31,951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3,203</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4"/>
              </w:rPr>
              <w:t>(2,454)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177,677</w:t>
            </w:r>
          </w:p>
        </w:tc>
      </w:tr>
      <w:tr>
        <w:trPr>
          <w:trHeight w:val="21"/>
        </w:trPr>
        <w:tc>
          <w:tcPr>
            <w:tcW w:w="3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41"/>
        </w:trPr>
        <w:tc>
          <w:tcPr>
            <w:tcW w:w="3680" w:type="dxa"/>
            <w:vAlign w:val="bottom"/>
          </w:tcPr>
          <w:p>
            <w:pPr>
              <w:spacing w:after="0"/>
              <w:rPr>
                <w:sz w:val="20"/>
                <w:szCs w:val="20"/>
                <w:color w:val="auto"/>
              </w:rPr>
            </w:pPr>
            <w:r>
              <w:rPr>
                <w:rFonts w:ascii="Arial" w:cs="Arial" w:eastAsia="Arial" w:hAnsi="Arial"/>
                <w:sz w:val="14"/>
                <w:szCs w:val="14"/>
                <w:b w:val="1"/>
                <w:bCs w:val="1"/>
                <w:color w:val="auto"/>
              </w:rPr>
              <w:t>Three Months Ended June 30, 2020</w:t>
            </w:r>
          </w:p>
        </w:tc>
        <w:tc>
          <w:tcPr>
            <w:tcW w:w="260" w:type="dxa"/>
            <w:vAlign w:val="bottom"/>
          </w:tcPr>
          <w:p>
            <w:pPr>
              <w:spacing w:after="0"/>
              <w:rPr>
                <w:sz w:val="24"/>
                <w:szCs w:val="2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Pr>
          <w:p>
            <w:pPr>
              <w:spacing w:after="0"/>
              <w:rPr>
                <w:sz w:val="24"/>
                <w:szCs w:val="2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Products</w:t>
            </w:r>
          </w:p>
        </w:tc>
        <w:tc>
          <w:tcPr>
            <w:tcW w:w="24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40" w:type="dxa"/>
            <w:vAlign w:val="bottom"/>
          </w:tcPr>
          <w:p>
            <w:pPr>
              <w:spacing w:after="0"/>
              <w:rPr>
                <w:sz w:val="24"/>
                <w:szCs w:val="24"/>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Total</w:t>
            </w:r>
          </w:p>
        </w:tc>
      </w:tr>
      <w:tr>
        <w:trPr>
          <w:trHeight w:val="229"/>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Oil &amp; Gas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59,279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66,686</w:t>
            </w: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Aerospace &amp; Defense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3,595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17,994</w:t>
            </w:r>
          </w:p>
        </w:tc>
      </w:tr>
      <w:tr>
        <w:trPr>
          <w:trHeight w:val="229"/>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Industrials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14,534</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Power Generation &amp; Transmission</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9,503</w:t>
            </w:r>
          </w:p>
        </w:tc>
      </w:tr>
      <w:tr>
        <w:trPr>
          <w:trHeight w:val="229"/>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 Process Industries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7,683</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Infrastructure, Research &amp; Engineering</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6,914</w:t>
            </w: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4"/>
              </w:rPr>
              <w:t>(1,587)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w:t>
            </w:r>
          </w:p>
        </w:tc>
      </w:tr>
      <w:tr>
        <w:trPr>
          <w:trHeight w:val="223"/>
        </w:trPr>
        <w:tc>
          <w:tcPr>
            <w:tcW w:w="3680" w:type="dxa"/>
            <w:vAlign w:val="bottom"/>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100,677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21,343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4,002</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4"/>
              </w:rPr>
              <w:t>(1,587)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124,435</w:t>
            </w:r>
          </w:p>
        </w:tc>
      </w:tr>
      <w:tr>
        <w:trPr>
          <w:trHeight w:val="20"/>
        </w:trPr>
        <w:tc>
          <w:tcPr>
            <w:tcW w:w="3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28"/>
        </w:trPr>
        <w:tc>
          <w:tcPr>
            <w:tcW w:w="3680" w:type="dxa"/>
            <w:vAlign w:val="bottom"/>
          </w:tcPr>
          <w:p>
            <w:pPr>
              <w:spacing w:after="0"/>
              <w:rPr>
                <w:sz w:val="20"/>
                <w:szCs w:val="20"/>
                <w:color w:val="auto"/>
              </w:rPr>
            </w:pPr>
            <w:r>
              <w:rPr>
                <w:rFonts w:ascii="Arial" w:cs="Arial" w:eastAsia="Arial" w:hAnsi="Arial"/>
                <w:sz w:val="14"/>
                <w:szCs w:val="14"/>
                <w:b w:val="1"/>
                <w:bCs w:val="1"/>
                <w:color w:val="auto"/>
              </w:rPr>
              <w:t>Six Months Ended June 30, 2021</w:t>
            </w:r>
          </w:p>
        </w:tc>
        <w:tc>
          <w:tcPr>
            <w:tcW w:w="260" w:type="dxa"/>
            <w:vAlign w:val="bottom"/>
          </w:tcPr>
          <w:p>
            <w:pPr>
              <w:spacing w:after="0"/>
              <w:rPr>
                <w:sz w:val="24"/>
                <w:szCs w:val="2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Pr>
          <w:p>
            <w:pPr>
              <w:spacing w:after="0"/>
              <w:rPr>
                <w:sz w:val="24"/>
                <w:szCs w:val="2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Products</w:t>
            </w:r>
          </w:p>
        </w:tc>
        <w:tc>
          <w:tcPr>
            <w:tcW w:w="24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40" w:type="dxa"/>
            <w:vAlign w:val="bottom"/>
          </w:tcPr>
          <w:p>
            <w:pPr>
              <w:spacing w:after="0"/>
              <w:rPr>
                <w:sz w:val="24"/>
                <w:szCs w:val="24"/>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Total</w:t>
            </w:r>
          </w:p>
        </w:tc>
      </w:tr>
      <w:tr>
        <w:trPr>
          <w:trHeight w:val="229"/>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Oil &amp; Gas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176,451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194,307</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Aerospace &amp; Defense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24,602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8,444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33,110</w:t>
            </w: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Industrials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31,849</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Power Generation &amp; Transmission</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5,161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22,357</w:t>
            </w:r>
          </w:p>
        </w:tc>
      </w:tr>
      <w:tr>
        <w:trPr>
          <w:trHeight w:val="229"/>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 Process Industries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24,795</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Infrastructure, Research &amp; Engineering</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17,322</w:t>
            </w: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4"/>
              </w:rPr>
              <w:t>(3,653)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7,672</w:t>
            </w:r>
          </w:p>
        </w:tc>
      </w:tr>
      <w:tr>
        <w:trPr>
          <w:trHeight w:val="223"/>
        </w:trPr>
        <w:tc>
          <w:tcPr>
            <w:tcW w:w="3680" w:type="dxa"/>
            <w:vAlign w:val="bottom"/>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269,275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59,599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6,191</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4"/>
              </w:rPr>
              <w:t>(3,653)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331,412</w:t>
            </w:r>
          </w:p>
        </w:tc>
      </w:tr>
      <w:tr>
        <w:trPr>
          <w:trHeight w:val="20"/>
        </w:trPr>
        <w:tc>
          <w:tcPr>
            <w:tcW w:w="3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14"/>
        </w:trPr>
        <w:tc>
          <w:tcPr>
            <w:tcW w:w="3680" w:type="dxa"/>
            <w:vAlign w:val="bottom"/>
          </w:tcPr>
          <w:p>
            <w:pPr>
              <w:spacing w:after="0"/>
              <w:rPr>
                <w:sz w:val="20"/>
                <w:szCs w:val="20"/>
                <w:color w:val="auto"/>
              </w:rPr>
            </w:pPr>
            <w:r>
              <w:rPr>
                <w:rFonts w:ascii="Arial" w:cs="Arial" w:eastAsia="Arial" w:hAnsi="Arial"/>
                <w:sz w:val="14"/>
                <w:szCs w:val="14"/>
                <w:b w:val="1"/>
                <w:bCs w:val="1"/>
                <w:color w:val="auto"/>
              </w:rPr>
              <w:t>Six Months Ended June 30, 2020</w:t>
            </w:r>
          </w:p>
        </w:tc>
        <w:tc>
          <w:tcPr>
            <w:tcW w:w="260" w:type="dxa"/>
            <w:vAlign w:val="bottom"/>
          </w:tcPr>
          <w:p>
            <w:pPr>
              <w:spacing w:after="0"/>
              <w:rPr>
                <w:sz w:val="24"/>
                <w:szCs w:val="2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Pr>
          <w:p>
            <w:pPr>
              <w:spacing w:after="0"/>
              <w:rPr>
                <w:sz w:val="24"/>
                <w:szCs w:val="2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Products</w:t>
            </w:r>
          </w:p>
        </w:tc>
        <w:tc>
          <w:tcPr>
            <w:tcW w:w="24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40" w:type="dxa"/>
            <w:vAlign w:val="bottom"/>
          </w:tcPr>
          <w:p>
            <w:pPr>
              <w:spacing w:after="0"/>
              <w:rPr>
                <w:sz w:val="24"/>
                <w:szCs w:val="24"/>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Total</w:t>
            </w:r>
          </w:p>
        </w:tc>
      </w:tr>
      <w:tr>
        <w:trPr>
          <w:trHeight w:val="229"/>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Oil &amp; Gas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142,578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159,184</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Aerospace &amp; Defense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28,900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40,208</w:t>
            </w: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Industrials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32,808</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Power Generation &amp; Transmission</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2,904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17,149</w:t>
            </w:r>
          </w:p>
        </w:tc>
      </w:tr>
      <w:tr>
        <w:trPr>
          <w:trHeight w:val="229"/>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 Process Industries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15,810</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Infrastructure, Research &amp; Engineering</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4,481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14,452</w:t>
            </w: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4"/>
              </w:rPr>
              <w:t>(2,874)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4,289</w:t>
            </w:r>
          </w:p>
        </w:tc>
      </w:tr>
      <w:tr>
        <w:trPr>
          <w:trHeight w:val="223"/>
        </w:trPr>
        <w:tc>
          <w:tcPr>
            <w:tcW w:w="3680" w:type="dxa"/>
            <w:vAlign w:val="bottom"/>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229,550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50,410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6,814</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4"/>
              </w:rPr>
              <w:t>(2,874)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283,900</w:t>
            </w:r>
          </w:p>
        </w:tc>
      </w:tr>
      <w:tr>
        <w:trPr>
          <w:trHeight w:val="20"/>
        </w:trPr>
        <w:tc>
          <w:tcPr>
            <w:tcW w:w="3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Revenue per key geographic location was as follows:</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680" w:type="dxa"/>
            <w:vAlign w:val="bottom"/>
          </w:tcPr>
          <w:p>
            <w:pPr>
              <w:spacing w:after="0"/>
              <w:rPr>
                <w:sz w:val="20"/>
                <w:szCs w:val="20"/>
                <w:color w:val="auto"/>
              </w:rPr>
            </w:pPr>
            <w:r>
              <w:rPr>
                <w:rFonts w:ascii="Arial" w:cs="Arial" w:eastAsia="Arial" w:hAnsi="Arial"/>
                <w:sz w:val="14"/>
                <w:szCs w:val="14"/>
                <w:b w:val="1"/>
                <w:bCs w:val="1"/>
                <w:color w:val="auto"/>
              </w:rPr>
              <w:t>Three Months Ended June 30, 2021</w:t>
            </w:r>
          </w:p>
        </w:tc>
        <w:tc>
          <w:tcPr>
            <w:tcW w:w="26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Products</w:t>
            </w: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4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29"/>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122,762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123,776</w:t>
            </w: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Other Americas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21,288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21,729</w:t>
            </w:r>
          </w:p>
        </w:tc>
      </w:tr>
      <w:tr>
        <w:trPr>
          <w:trHeight w:val="229"/>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30,438</w:t>
            </w:r>
          </w:p>
        </w:tc>
      </w:tr>
      <w:tr>
        <w:trPr>
          <w:trHeight w:val="230"/>
        </w:trPr>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Asia-Pacific</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w:t>
            </w:r>
          </w:p>
        </w:tc>
      </w:tr>
      <w:tr>
        <w:trPr>
          <w:trHeight w:val="248"/>
        </w:trPr>
        <w:tc>
          <w:tcPr>
            <w:tcW w:w="3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3,203</w:t>
            </w: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177,677</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522"/>
        </w:trPr>
        <w:tc>
          <w:tcPr>
            <w:tcW w:w="3680" w:type="dxa"/>
            <w:vAlign w:val="bottom"/>
          </w:tcPr>
          <w:p>
            <w:pPr>
              <w:spacing w:after="0"/>
              <w:rPr>
                <w:sz w:val="20"/>
                <w:szCs w:val="20"/>
                <w:color w:val="auto"/>
              </w:rPr>
            </w:pPr>
            <w:r>
              <w:rPr>
                <w:rFonts w:ascii="Arial" w:cs="Arial" w:eastAsia="Arial" w:hAnsi="Arial"/>
                <w:sz w:val="14"/>
                <w:szCs w:val="14"/>
                <w:b w:val="1"/>
                <w:bCs w:val="1"/>
                <w:color w:val="auto"/>
              </w:rPr>
              <w:t>Three Months Ended June 30, 2020</w:t>
            </w:r>
          </w:p>
        </w:tc>
        <w:tc>
          <w:tcPr>
            <w:tcW w:w="260" w:type="dxa"/>
            <w:vAlign w:val="bottom"/>
          </w:tcPr>
          <w:p>
            <w:pPr>
              <w:spacing w:after="0"/>
              <w:rPr>
                <w:sz w:val="24"/>
                <w:szCs w:val="2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Pr>
          <w:p>
            <w:pPr>
              <w:spacing w:after="0"/>
              <w:rPr>
                <w:sz w:val="24"/>
                <w:szCs w:val="2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Products</w:t>
            </w:r>
          </w:p>
        </w:tc>
        <w:tc>
          <w:tcPr>
            <w:tcW w:w="24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40" w:type="dxa"/>
            <w:vAlign w:val="bottom"/>
          </w:tcPr>
          <w:p>
            <w:pPr>
              <w:spacing w:after="0"/>
              <w:rPr>
                <w:sz w:val="24"/>
                <w:szCs w:val="24"/>
                <w:color w:val="auto"/>
              </w:rPr>
            </w:pPr>
          </w:p>
        </w:tc>
        <w:tc>
          <w:tcPr>
            <w:tcW w:w="108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29"/>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88,205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89,608</w:t>
            </w: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Other Americas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12,984</w:t>
            </w: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20,220</w:t>
            </w:r>
          </w:p>
        </w:tc>
      </w:tr>
      <w:tr>
        <w:trPr>
          <w:trHeight w:val="229"/>
        </w:trPr>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Asia-Pacific</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1,623</w:t>
            </w:r>
          </w:p>
        </w:tc>
      </w:tr>
      <w:tr>
        <w:trPr>
          <w:trHeight w:val="248"/>
        </w:trPr>
        <w:tc>
          <w:tcPr>
            <w:tcW w:w="3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4,002</w:t>
            </w: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124,435</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508"/>
        </w:trPr>
        <w:tc>
          <w:tcPr>
            <w:tcW w:w="3680" w:type="dxa"/>
            <w:vAlign w:val="bottom"/>
          </w:tcPr>
          <w:p>
            <w:pPr>
              <w:spacing w:after="0"/>
              <w:rPr>
                <w:sz w:val="20"/>
                <w:szCs w:val="20"/>
                <w:color w:val="auto"/>
              </w:rPr>
            </w:pPr>
            <w:r>
              <w:rPr>
                <w:rFonts w:ascii="Arial" w:cs="Arial" w:eastAsia="Arial" w:hAnsi="Arial"/>
                <w:sz w:val="14"/>
                <w:szCs w:val="14"/>
                <w:b w:val="1"/>
                <w:bCs w:val="1"/>
                <w:color w:val="auto"/>
              </w:rPr>
              <w:t>Six Months Ended June 30, 2021</w:t>
            </w:r>
          </w:p>
        </w:tc>
        <w:tc>
          <w:tcPr>
            <w:tcW w:w="260" w:type="dxa"/>
            <w:vAlign w:val="bottom"/>
          </w:tcPr>
          <w:p>
            <w:pPr>
              <w:spacing w:after="0"/>
              <w:rPr>
                <w:sz w:val="24"/>
                <w:szCs w:val="2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Pr>
          <w:p>
            <w:pPr>
              <w:spacing w:after="0"/>
              <w:rPr>
                <w:sz w:val="24"/>
                <w:szCs w:val="2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Products</w:t>
            </w:r>
          </w:p>
        </w:tc>
        <w:tc>
          <w:tcPr>
            <w:tcW w:w="24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40" w:type="dxa"/>
            <w:vAlign w:val="bottom"/>
          </w:tcPr>
          <w:p>
            <w:pPr>
              <w:spacing w:after="0"/>
              <w:rPr>
                <w:sz w:val="24"/>
                <w:szCs w:val="24"/>
                <w:color w:val="auto"/>
              </w:rPr>
            </w:pPr>
          </w:p>
        </w:tc>
        <w:tc>
          <w:tcPr>
            <w:tcW w:w="108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29"/>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227,308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229,599</w:t>
            </w: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Other Americas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40,166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41,788</w:t>
            </w: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55,978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56,474</w:t>
            </w:r>
          </w:p>
        </w:tc>
      </w:tr>
      <w:tr>
        <w:trPr>
          <w:trHeight w:val="229"/>
        </w:trPr>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Asia-Pacific</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3,551</w:t>
            </w:r>
          </w:p>
        </w:tc>
      </w:tr>
      <w:tr>
        <w:trPr>
          <w:trHeight w:val="248"/>
        </w:trPr>
        <w:tc>
          <w:tcPr>
            <w:tcW w:w="3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6,191</w:t>
            </w: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331,412</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495"/>
        </w:trPr>
        <w:tc>
          <w:tcPr>
            <w:tcW w:w="3680" w:type="dxa"/>
            <w:vAlign w:val="bottom"/>
          </w:tcPr>
          <w:p>
            <w:pPr>
              <w:spacing w:after="0"/>
              <w:rPr>
                <w:sz w:val="20"/>
                <w:szCs w:val="20"/>
                <w:color w:val="auto"/>
              </w:rPr>
            </w:pPr>
            <w:r>
              <w:rPr>
                <w:rFonts w:ascii="Arial" w:cs="Arial" w:eastAsia="Arial" w:hAnsi="Arial"/>
                <w:sz w:val="14"/>
                <w:szCs w:val="14"/>
                <w:b w:val="1"/>
                <w:bCs w:val="1"/>
                <w:color w:val="auto"/>
              </w:rPr>
              <w:t>Six Months Ended June 30, 2020</w:t>
            </w:r>
          </w:p>
        </w:tc>
        <w:tc>
          <w:tcPr>
            <w:tcW w:w="260" w:type="dxa"/>
            <w:vAlign w:val="bottom"/>
          </w:tcPr>
          <w:p>
            <w:pPr>
              <w:spacing w:after="0"/>
              <w:rPr>
                <w:sz w:val="24"/>
                <w:szCs w:val="2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Pr>
          <w:p>
            <w:pPr>
              <w:spacing w:after="0"/>
              <w:rPr>
                <w:sz w:val="24"/>
                <w:szCs w:val="2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Products</w:t>
            </w:r>
          </w:p>
        </w:tc>
        <w:tc>
          <w:tcPr>
            <w:tcW w:w="24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40" w:type="dxa"/>
            <w:vAlign w:val="bottom"/>
          </w:tcPr>
          <w:p>
            <w:pPr>
              <w:spacing w:after="0"/>
              <w:rPr>
                <w:sz w:val="24"/>
                <w:szCs w:val="24"/>
                <w:color w:val="auto"/>
              </w:rPr>
            </w:pPr>
          </w:p>
        </w:tc>
        <w:tc>
          <w:tcPr>
            <w:tcW w:w="108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29"/>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197,786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200,191</w:t>
            </w: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Other Americas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30,781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33,349</w:t>
            </w: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46,524</w:t>
            </w:r>
          </w:p>
        </w:tc>
      </w:tr>
      <w:tr>
        <w:trPr>
          <w:trHeight w:val="230"/>
        </w:trPr>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Asia-Pacific</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3,836</w:t>
            </w:r>
          </w:p>
        </w:tc>
      </w:tr>
      <w:tr>
        <w:trPr>
          <w:trHeight w:val="248"/>
        </w:trPr>
        <w:tc>
          <w:tcPr>
            <w:tcW w:w="3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6,814</w:t>
            </w: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283,900</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5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timing of revenue recognition, billings and cash collections results in billed accounts receivable, unbilled receivables (contract assets), and customer advances and deposits (contract liabilities) on the Consolidated Balance Sheets. Amounts are generally billed as work progresses in accordance with agreed-upon contractual terms, generally at periodic intervals (e.g., weekly, bi-weekly or monthly). Generally, billing occurs subsequent to revenue recognition, resulting in contract assets. However, the Company sometimes receives advances or deposits from its customers before revenue is recognized, resulting in contract liabilities. These assets and liabilities are aggregated on an individual contract basis and reported on the Consolidated Balance Sheets at the end of each reporting period within accounts receivable, net or accrued expenses and other current liabilities.</w:t>
      </w:r>
    </w:p>
    <w:p>
      <w:pPr>
        <w:spacing w:after="0" w:line="19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Revenue recognized during the six months ended June 30, 2021 and 2020 that was included in the contract liability balance at the beginning of such year was $3.3 million and $3.2 million, respectively. Changes in the contract asset and liability balances during these periods were not materially impacted by any other factors. The Company applies a practical expedient to expense incremental costs incurred related to obtaining a contract. The Company’s expenses are expected to be amortized over a period less than one year.</w:t>
      </w:r>
    </w:p>
    <w:p>
      <w:pPr>
        <w:spacing w:after="0" w:line="21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Share-Based Compensation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The Company has share-based incentive awards outstanding to its eligible employees and non-employee directors under two equity incentive plans: (i) the 2009 Long-Term Incentive Plan (the "2009 Plan") and (ii) the 2016 Long-Term Incentive Plan (the "2016 Plan"). No further awards may be granted under the 2009 Plan, although one stock option award granted under the 2009 Plan remains outstanding in accordance with its terms. Awards granted under the 2016 Plan may be in the form of stock options, restricted stock units and other forms of share-based incentives, including performance restricted stock units, stock appreciation rights and deferred stock rights. At the annual shareholders meeting on May 19, 2020, the Company’s shareholders approved an amendment to increase the total number of shares that may be issued under the 2016 Plan by 2.0 million, for a total of 3.7 million shares that are authorized for issuance under the 2016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For each of the three and six months ended June 30, 2021 and 2020, the Company did not recognize any share-based compensation expense related to the stock option award, as the one outstanding stock option award was already fully vested. No unrecognized compensation costs remained related to the stock option award as of June 30, 2021.</w:t>
      </w:r>
    </w:p>
    <w:p>
      <w:pPr>
        <w:spacing w:after="0" w:line="211" w:lineRule="exact"/>
        <w:rPr>
          <w:sz w:val="20"/>
          <w:szCs w:val="20"/>
          <w:color w:val="auto"/>
        </w:rPr>
      </w:pPr>
    </w:p>
    <w:p>
      <w:pPr>
        <w:ind w:right="280"/>
        <w:spacing w:after="0" w:line="269" w:lineRule="auto"/>
        <w:rPr>
          <w:sz w:val="20"/>
          <w:szCs w:val="20"/>
          <w:color w:val="auto"/>
        </w:rPr>
      </w:pPr>
      <w:r>
        <w:rPr>
          <w:rFonts w:ascii="Arial" w:cs="Arial" w:eastAsia="Arial" w:hAnsi="Arial"/>
          <w:sz w:val="18"/>
          <w:szCs w:val="18"/>
          <w:color w:val="auto"/>
        </w:rPr>
        <w:t>The following table sets forth a summary of the stock option activity, weighted-average exercise prices and options outstanding as of June 30, 2021 and 2020:</w:t>
      </w:r>
    </w:p>
    <w:p>
      <w:pPr>
        <w:ind w:left="7140"/>
        <w:spacing w:after="0"/>
        <w:rPr>
          <w:sz w:val="20"/>
          <w:szCs w:val="20"/>
          <w:color w:val="auto"/>
        </w:rPr>
      </w:pPr>
      <w:r>
        <w:rPr>
          <w:rFonts w:ascii="Arial" w:cs="Arial" w:eastAsia="Arial" w:hAnsi="Arial"/>
          <w:sz w:val="14"/>
          <w:szCs w:val="14"/>
          <w:b w:val="1"/>
          <w:bCs w:val="1"/>
          <w:color w:val="auto"/>
        </w:rPr>
        <w:t>Six months ended June 30,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40" w:type="dxa"/>
            <w:vAlign w:val="bottom"/>
          </w:tcPr>
          <w:p>
            <w:pPr>
              <w:spacing w:after="0"/>
              <w:rPr>
                <w:sz w:val="16"/>
                <w:szCs w:val="16"/>
                <w:color w:val="auto"/>
              </w:rPr>
            </w:pPr>
          </w:p>
        </w:tc>
        <w:tc>
          <w:tcPr>
            <w:tcW w:w="116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auto"/>
              <w:bottom w:val="single" w:sz="8" w:color="auto"/>
            </w:tcBorders>
            <w:gridSpan w:val="3"/>
          </w:tcPr>
          <w:p>
            <w:pPr>
              <w:jc w:val="right"/>
              <w:ind w:right="884"/>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2020</w:t>
            </w:r>
          </w:p>
        </w:tc>
        <w:tc>
          <w:tcPr>
            <w:tcW w:w="124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740" w:type="dxa"/>
            <w:vAlign w:val="bottom"/>
          </w:tcPr>
          <w:p>
            <w:pPr>
              <w:spacing w:after="0"/>
              <w:rPr>
                <w:sz w:val="11"/>
                <w:szCs w:val="11"/>
                <w:color w:val="auto"/>
              </w:rPr>
            </w:pPr>
          </w:p>
        </w:tc>
        <w:tc>
          <w:tcPr>
            <w:tcW w:w="1160" w:type="dxa"/>
            <w:vAlign w:val="bottom"/>
            <w:vMerge w:val="restart"/>
          </w:tcPr>
          <w:p>
            <w:pPr>
              <w:jc w:val="center"/>
              <w:ind w:left="308"/>
              <w:spacing w:after="0"/>
              <w:rPr>
                <w:sz w:val="20"/>
                <w:szCs w:val="20"/>
                <w:color w:val="auto"/>
              </w:rPr>
            </w:pPr>
            <w:r>
              <w:rPr>
                <w:rFonts w:ascii="Arial" w:cs="Arial" w:eastAsia="Arial" w:hAnsi="Arial"/>
                <w:sz w:val="14"/>
                <w:szCs w:val="14"/>
                <w:b w:val="1"/>
                <w:bCs w:val="1"/>
                <w:color w:val="auto"/>
                <w:w w:val="95"/>
              </w:rPr>
              <w:t>Common</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spacing w:after="0" w:line="130"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1160" w:type="dxa"/>
            <w:vAlign w:val="bottom"/>
            <w:vMerge w:val="restart"/>
          </w:tcPr>
          <w:p>
            <w:pPr>
              <w:jc w:val="center"/>
              <w:ind w:left="288"/>
              <w:spacing w:after="0"/>
              <w:rPr>
                <w:sz w:val="20"/>
                <w:szCs w:val="20"/>
                <w:color w:val="auto"/>
              </w:rPr>
            </w:pPr>
            <w:r>
              <w:rPr>
                <w:rFonts w:ascii="Arial" w:cs="Arial" w:eastAsia="Arial" w:hAnsi="Arial"/>
                <w:sz w:val="14"/>
                <w:szCs w:val="14"/>
                <w:b w:val="1"/>
                <w:bCs w:val="1"/>
                <w:color w:val="auto"/>
                <w:w w:val="92"/>
              </w:rPr>
              <w:t>Common</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tcPr>
          <w:p>
            <w:pPr>
              <w:jc w:val="center"/>
              <w:ind w:right="218"/>
              <w:spacing w:after="0" w:line="130"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left="424"/>
              <w:spacing w:after="0" w:line="135" w:lineRule="exact"/>
              <w:rPr>
                <w:sz w:val="20"/>
                <w:szCs w:val="20"/>
                <w:color w:val="auto"/>
              </w:rPr>
            </w:pPr>
            <w:r>
              <w:rPr>
                <w:rFonts w:ascii="Arial" w:cs="Arial" w:eastAsia="Arial" w:hAnsi="Arial"/>
                <w:sz w:val="14"/>
                <w:szCs w:val="14"/>
                <w:b w:val="1"/>
                <w:bCs w:val="1"/>
                <w:color w:val="auto"/>
                <w:w w:val="90"/>
              </w:rPr>
              <w:t>Average</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tcPr>
          <w:p>
            <w:pPr>
              <w:jc w:val="center"/>
              <w:ind w:right="218"/>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160" w:type="dxa"/>
            <w:vAlign w:val="bottom"/>
          </w:tcPr>
          <w:p>
            <w:pPr>
              <w:jc w:val="center"/>
              <w:ind w:left="308"/>
              <w:spacing w:after="0" w:line="135" w:lineRule="exact"/>
              <w:rPr>
                <w:sz w:val="20"/>
                <w:szCs w:val="20"/>
                <w:color w:val="auto"/>
              </w:rPr>
            </w:pPr>
            <w:r>
              <w:rPr>
                <w:rFonts w:ascii="Arial" w:cs="Arial" w:eastAsia="Arial" w:hAnsi="Arial"/>
                <w:sz w:val="14"/>
                <w:szCs w:val="14"/>
                <w:b w:val="1"/>
                <w:bCs w:val="1"/>
                <w:color w:val="auto"/>
                <w:w w:val="89"/>
              </w:rPr>
              <w:t>Stock</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left="404"/>
              <w:spacing w:after="0" w:line="135" w:lineRule="exact"/>
              <w:rPr>
                <w:sz w:val="20"/>
                <w:szCs w:val="20"/>
                <w:color w:val="auto"/>
              </w:rPr>
            </w:pPr>
            <w:r>
              <w:rPr>
                <w:rFonts w:ascii="Arial" w:cs="Arial" w:eastAsia="Arial" w:hAnsi="Arial"/>
                <w:sz w:val="14"/>
                <w:szCs w:val="14"/>
                <w:b w:val="1"/>
                <w:bCs w:val="1"/>
                <w:color w:val="auto"/>
                <w:w w:val="90"/>
              </w:rPr>
              <w:t>Exercise</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jc w:val="center"/>
              <w:ind w:left="268"/>
              <w:spacing w:after="0" w:line="135" w:lineRule="exact"/>
              <w:rPr>
                <w:sz w:val="20"/>
                <w:szCs w:val="20"/>
                <w:color w:val="auto"/>
              </w:rPr>
            </w:pPr>
            <w:r>
              <w:rPr>
                <w:rFonts w:ascii="Arial" w:cs="Arial" w:eastAsia="Arial" w:hAnsi="Arial"/>
                <w:sz w:val="14"/>
                <w:szCs w:val="14"/>
                <w:b w:val="1"/>
                <w:bCs w:val="1"/>
                <w:color w:val="auto"/>
                <w:w w:val="89"/>
              </w:rPr>
              <w:t>Stock</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tcPr>
          <w:p>
            <w:pPr>
              <w:jc w:val="center"/>
              <w:ind w:right="218"/>
              <w:spacing w:after="0" w:line="135"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88"/>
        </w:trPr>
        <w:tc>
          <w:tcPr>
            <w:tcW w:w="47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94"/>
              </w:rPr>
              <w:t>Options</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404"/>
              <w:spacing w:after="0"/>
              <w:rPr>
                <w:sz w:val="20"/>
                <w:szCs w:val="20"/>
                <w:color w:val="auto"/>
              </w:rPr>
            </w:pPr>
            <w:r>
              <w:rPr>
                <w:rFonts w:ascii="Arial" w:cs="Arial" w:eastAsia="Arial" w:hAnsi="Arial"/>
                <w:sz w:val="14"/>
                <w:szCs w:val="14"/>
                <w:b w:val="1"/>
                <w:bCs w:val="1"/>
                <w:color w:val="auto"/>
                <w:w w:val="93"/>
              </w:rPr>
              <w:t>Price</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w w:val="90"/>
              </w:rPr>
              <w:t>Options</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24"/>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beginning of period:</w:t>
            </w: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64"/>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22.35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30"/>
        </w:trPr>
        <w:tc>
          <w:tcPr>
            <w:tcW w:w="590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64"/>
              <w:spacing w:after="0"/>
              <w:rPr>
                <w:sz w:val="20"/>
                <w:szCs w:val="20"/>
                <w:color w:val="auto"/>
              </w:rPr>
            </w:pPr>
            <w:r>
              <w:rPr>
                <w:rFonts w:ascii="Arial" w:cs="Arial" w:eastAsia="Arial" w:hAnsi="Arial"/>
                <w:sz w:val="18"/>
                <w:szCs w:val="18"/>
                <w:color w:val="auto"/>
              </w:rPr>
              <w:t>$</w:t>
            </w:r>
          </w:p>
        </w:tc>
        <w:tc>
          <w:tcPr>
            <w:tcW w:w="1760" w:type="dxa"/>
            <w:vAlign w:val="bottom"/>
            <w:gridSpan w:val="3"/>
          </w:tcPr>
          <w:p>
            <w:pPr>
              <w:jc w:val="right"/>
              <w:ind w:right="1268"/>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64"/>
              <w:spacing w:after="0"/>
              <w:rPr>
                <w:sz w:val="20"/>
                <w:szCs w:val="20"/>
                <w:color w:val="auto"/>
              </w:rPr>
            </w:pPr>
            <w:r>
              <w:rPr>
                <w:rFonts w:ascii="Arial" w:cs="Arial" w:eastAsia="Arial" w:hAnsi="Arial"/>
                <w:sz w:val="18"/>
                <w:szCs w:val="18"/>
                <w:color w:val="auto"/>
              </w:rPr>
              <w:t>$</w:t>
            </w:r>
          </w:p>
        </w:tc>
        <w:tc>
          <w:tcPr>
            <w:tcW w:w="1760" w:type="dxa"/>
            <w:vAlign w:val="bottom"/>
            <w:gridSpan w:val="3"/>
            <w:shd w:val="clear" w:color="auto" w:fill="CCEEFF"/>
          </w:tcPr>
          <w:p>
            <w:pPr>
              <w:jc w:val="right"/>
              <w:ind w:right="1268"/>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Expired or forfeited</w:t>
            </w:r>
          </w:p>
        </w:tc>
        <w:tc>
          <w:tcPr>
            <w:tcW w:w="1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tcPr>
          <w:p>
            <w:pPr>
              <w:jc w:val="right"/>
              <w:ind w:right="864"/>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end of period:</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140" w:type="dxa"/>
            <w:vAlign w:val="bottom"/>
            <w:gridSpan w:val="2"/>
            <w:shd w:val="clear" w:color="auto" w:fill="CCEEFF"/>
          </w:tcPr>
          <w:p>
            <w:pPr>
              <w:jc w:val="right"/>
              <w:ind w:right="864"/>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22.35</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Awards</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For the three months ended June 30, 2021 and June 30, 2020, the Company recognized share-based compensation expense related to restricted stock unit awards of $0.9 million and $1.4 million, respectively. For the six months ended June 30, 2021 and 2020, the Company recognized share-based compensation expense related to restricted stock unit awards of $1.8 million and $2.1 million, respectively. As of June 30, 2021, there was $7.7 million of unrecognized compensation costs, net of estimated forfeitures, related to restricted stock unit awards, which is expected to be recognized over a remaining weighted-average period of 2.8 years. Upon vesting, restricted stock units are generally net share-settled to cover the required withholding tax and the remaining amount is converted into an equivalent number of shares of common stock.</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vesting activity of restricted stock unit awards, with the respective fair value of the awards,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4"/>
                <w:szCs w:val="14"/>
                <w:b w:val="1"/>
                <w:bCs w:val="1"/>
                <w:color w:val="auto"/>
              </w:rPr>
              <w:t>Six months ended June 30,</w:t>
            </w:r>
          </w:p>
        </w:tc>
        <w:tc>
          <w:tcPr>
            <w:tcW w:w="480" w:type="dxa"/>
            <w:vAlign w:val="bottom"/>
            <w:tcBorders>
              <w:bottom w:val="single" w:sz="8" w:color="auto"/>
            </w:tcBorders>
          </w:tcPr>
          <w:p>
            <w:pPr>
              <w:spacing w:after="0"/>
              <w:rPr>
                <w:sz w:val="16"/>
                <w:szCs w:val="16"/>
                <w:color w:val="auto"/>
              </w:rPr>
            </w:pPr>
          </w:p>
        </w:tc>
      </w:tr>
      <w:tr>
        <w:trPr>
          <w:trHeight w:val="187"/>
        </w:trPr>
        <w:tc>
          <w:tcPr>
            <w:tcW w:w="80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r>
      <w:tr>
        <w:trPr>
          <w:trHeight w:val="224"/>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awards vested</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Fair value of awards vested</w:t>
            </w:r>
          </w:p>
        </w:tc>
        <w:tc>
          <w:tcPr>
            <w:tcW w:w="980" w:type="dxa"/>
            <w:vAlign w:val="bottom"/>
          </w:tcPr>
          <w:p>
            <w:pPr>
              <w:jc w:val="right"/>
              <w:ind w:right="802"/>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2,670</w:t>
            </w:r>
          </w:p>
        </w:tc>
        <w:tc>
          <w:tcPr>
            <w:tcW w:w="120" w:type="dxa"/>
            <w:vAlign w:val="bottom"/>
          </w:tcPr>
          <w:p>
            <w:pPr>
              <w:spacing w:after="0"/>
              <w:rPr>
                <w:sz w:val="20"/>
                <w:szCs w:val="20"/>
                <w:color w:val="auto"/>
              </w:rPr>
            </w:pPr>
          </w:p>
        </w:tc>
        <w:tc>
          <w:tcPr>
            <w:tcW w:w="1040" w:type="dxa"/>
            <w:vAlign w:val="bottom"/>
          </w:tcPr>
          <w:p>
            <w:pPr>
              <w:jc w:val="right"/>
              <w:ind w:right="859"/>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542</w:t>
            </w:r>
          </w:p>
        </w:tc>
      </w:tr>
      <w:tr>
        <w:trPr>
          <w:trHeight w:val="525"/>
        </w:trPr>
        <w:tc>
          <w:tcPr>
            <w:tcW w:w="10720" w:type="dxa"/>
            <w:vAlign w:val="bottom"/>
            <w:gridSpan w:val="5"/>
          </w:tcPr>
          <w:p>
            <w:pPr>
              <w:spacing w:after="0"/>
              <w:rPr>
                <w:sz w:val="20"/>
                <w:szCs w:val="20"/>
                <w:color w:val="auto"/>
              </w:rPr>
            </w:pPr>
            <w:r>
              <w:rPr>
                <w:rFonts w:ascii="Arial" w:cs="Arial" w:eastAsia="Arial" w:hAnsi="Arial"/>
                <w:sz w:val="18"/>
                <w:szCs w:val="18"/>
                <w:color w:val="auto"/>
                <w:w w:val="93"/>
              </w:rPr>
              <w:t>A summary of the fully-vested common stock the Company issued to its six non-employee directors, in connection with its non-employee director</w:t>
            </w:r>
          </w:p>
        </w:tc>
        <w:tc>
          <w:tcPr>
            <w:tcW w:w="480" w:type="dxa"/>
            <w:vAlign w:val="bottom"/>
          </w:tcPr>
          <w:p>
            <w:pPr>
              <w:spacing w:after="0"/>
              <w:rPr>
                <w:sz w:val="24"/>
                <w:szCs w:val="24"/>
                <w:color w:val="auto"/>
              </w:rPr>
            </w:pPr>
          </w:p>
        </w:tc>
      </w:tr>
      <w:tr>
        <w:trPr>
          <w:trHeight w:val="230"/>
        </w:trPr>
        <w:tc>
          <w:tcPr>
            <w:tcW w:w="8040" w:type="dxa"/>
            <w:vAlign w:val="bottom"/>
          </w:tcPr>
          <w:p>
            <w:pPr>
              <w:spacing w:after="0"/>
              <w:rPr>
                <w:sz w:val="20"/>
                <w:szCs w:val="20"/>
                <w:color w:val="auto"/>
              </w:rPr>
            </w:pPr>
            <w:r>
              <w:rPr>
                <w:rFonts w:ascii="Arial" w:cs="Arial" w:eastAsia="Arial" w:hAnsi="Arial"/>
                <w:sz w:val="18"/>
                <w:szCs w:val="18"/>
                <w:color w:val="auto"/>
              </w:rPr>
              <w:t>compensation plan, is as follows:</w:t>
            </w: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10"/>
        </w:trPr>
        <w:tc>
          <w:tcPr>
            <w:tcW w:w="8040" w:type="dxa"/>
            <w:vAlign w:val="bottom"/>
          </w:tcPr>
          <w:p>
            <w:pPr>
              <w:spacing w:after="0"/>
              <w:rPr>
                <w:sz w:val="18"/>
                <w:szCs w:val="18"/>
                <w:color w:val="auto"/>
              </w:rPr>
            </w:pPr>
          </w:p>
        </w:tc>
        <w:tc>
          <w:tcPr>
            <w:tcW w:w="268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4"/>
                <w:szCs w:val="14"/>
                <w:b w:val="1"/>
                <w:bCs w:val="1"/>
                <w:color w:val="auto"/>
              </w:rPr>
              <w:t>Six months ended June 30,</w:t>
            </w:r>
          </w:p>
        </w:tc>
        <w:tc>
          <w:tcPr>
            <w:tcW w:w="480" w:type="dxa"/>
            <w:vAlign w:val="bottom"/>
            <w:tcBorders>
              <w:bottom w:val="single" w:sz="8" w:color="auto"/>
            </w:tcBorders>
          </w:tcPr>
          <w:p>
            <w:pPr>
              <w:spacing w:after="0"/>
              <w:rPr>
                <w:sz w:val="18"/>
                <w:szCs w:val="18"/>
                <w:color w:val="auto"/>
              </w:rPr>
            </w:pPr>
          </w:p>
        </w:tc>
      </w:tr>
      <w:tr>
        <w:trPr>
          <w:trHeight w:val="187"/>
        </w:trPr>
        <w:tc>
          <w:tcPr>
            <w:tcW w:w="80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r>
      <w:tr>
        <w:trPr>
          <w:trHeight w:val="224"/>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Awards issued</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Grant date fair value of awards issued</w:t>
            </w:r>
          </w:p>
        </w:tc>
        <w:tc>
          <w:tcPr>
            <w:tcW w:w="980" w:type="dxa"/>
            <w:vAlign w:val="bottom"/>
          </w:tcPr>
          <w:p>
            <w:pPr>
              <w:jc w:val="right"/>
              <w:ind w:right="802"/>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0"/>
                <w:szCs w:val="20"/>
                <w:color w:val="auto"/>
              </w:rPr>
            </w:pPr>
          </w:p>
        </w:tc>
        <w:tc>
          <w:tcPr>
            <w:tcW w:w="1040" w:type="dxa"/>
            <w:vAlign w:val="bottom"/>
          </w:tcPr>
          <w:p>
            <w:pPr>
              <w:jc w:val="right"/>
              <w:ind w:right="859"/>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outstanding, non-vested restricted share units is as follows:</w:t>
      </w:r>
    </w:p>
    <w:p>
      <w:pPr>
        <w:spacing w:after="0" w:line="41" w:lineRule="exact"/>
        <w:rPr>
          <w:sz w:val="20"/>
          <w:szCs w:val="20"/>
          <w:color w:val="auto"/>
        </w:rPr>
      </w:pPr>
    </w:p>
    <w:p>
      <w:pPr>
        <w:ind w:left="7140"/>
        <w:spacing w:after="0"/>
        <w:rPr>
          <w:sz w:val="20"/>
          <w:szCs w:val="20"/>
          <w:color w:val="auto"/>
        </w:rPr>
      </w:pPr>
      <w:r>
        <w:rPr>
          <w:rFonts w:ascii="Arial" w:cs="Arial" w:eastAsia="Arial" w:hAnsi="Arial"/>
          <w:sz w:val="14"/>
          <w:szCs w:val="14"/>
          <w:b w:val="1"/>
          <w:bCs w:val="1"/>
          <w:color w:val="auto"/>
        </w:rPr>
        <w:t>Six months ended June 30,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40" w:type="dxa"/>
            <w:vAlign w:val="bottom"/>
          </w:tcPr>
          <w:p>
            <w:pPr>
              <w:spacing w:after="0"/>
              <w:rPr>
                <w:sz w:val="16"/>
                <w:szCs w:val="16"/>
                <w:color w:val="auto"/>
              </w:rPr>
            </w:pPr>
          </w:p>
        </w:tc>
        <w:tc>
          <w:tcPr>
            <w:tcW w:w="10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2021</w:t>
            </w:r>
          </w:p>
        </w:tc>
        <w:tc>
          <w:tcPr>
            <w:tcW w:w="12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80" w:type="dxa"/>
            <w:vAlign w:val="bottom"/>
            <w:tcBorders>
              <w:top w:val="single" w:sz="8" w:color="auto"/>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2020</w:t>
            </w:r>
          </w:p>
        </w:tc>
        <w:tc>
          <w:tcPr>
            <w:tcW w:w="128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jc w:val="center"/>
              <w:ind w:right="138"/>
              <w:spacing w:after="0" w:line="130"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78"/>
              <w:spacing w:after="0" w:line="130"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0"/>
              </w:rPr>
              <w:t>Average</w:t>
            </w: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78"/>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0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Units</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99"/>
              </w:rPr>
              <w:t>Grant-Date</w:t>
            </w:r>
          </w:p>
        </w:tc>
        <w:tc>
          <w:tcPr>
            <w:tcW w:w="152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218"/>
              <w:spacing w:after="0" w:line="135"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Fair Value</w:t>
            </w:r>
          </w:p>
        </w:tc>
        <w:tc>
          <w:tcPr>
            <w:tcW w:w="1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center"/>
              <w:ind w:right="17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4"/>
        </w:trPr>
        <w:tc>
          <w:tcPr>
            <w:tcW w:w="4740" w:type="dxa"/>
            <w:vAlign w:val="bottom"/>
          </w:tcPr>
          <w:p>
            <w:pPr>
              <w:ind w:left="20"/>
              <w:spacing w:after="0"/>
              <w:rPr>
                <w:sz w:val="20"/>
                <w:szCs w:val="20"/>
                <w:color w:val="auto"/>
              </w:rPr>
            </w:pPr>
            <w:r>
              <w:rPr>
                <w:rFonts w:ascii="Arial" w:cs="Arial" w:eastAsia="Arial" w:hAnsi="Arial"/>
                <w:sz w:val="18"/>
                <w:szCs w:val="18"/>
                <w:color w:val="auto"/>
              </w:rPr>
              <w:t>Outstanding at beginning of period:</w:t>
            </w:r>
          </w:p>
        </w:tc>
        <w:tc>
          <w:tcPr>
            <w:tcW w:w="10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1,076</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12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29"/>
        </w:trPr>
        <w:tc>
          <w:tcPr>
            <w:tcW w:w="5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Granted</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29"/>
        </w:trPr>
        <w:tc>
          <w:tcPr>
            <w:tcW w:w="5740" w:type="dxa"/>
            <w:vAlign w:val="bottom"/>
            <w:gridSpan w:val="2"/>
          </w:tcPr>
          <w:p>
            <w:pPr>
              <w:ind w:left="140"/>
              <w:spacing w:after="0"/>
              <w:rPr>
                <w:sz w:val="20"/>
                <w:szCs w:val="20"/>
                <w:color w:val="auto"/>
              </w:rPr>
            </w:pPr>
            <w:r>
              <w:rPr>
                <w:rFonts w:ascii="Arial" w:cs="Arial" w:eastAsia="Arial" w:hAnsi="Arial"/>
                <w:sz w:val="18"/>
                <w:szCs w:val="18"/>
                <w:color w:val="auto"/>
              </w:rPr>
              <w:t>Released</w:t>
            </w:r>
          </w:p>
        </w:tc>
        <w:tc>
          <w:tcPr>
            <w:tcW w:w="540" w:type="dxa"/>
            <w:vAlign w:val="bottom"/>
          </w:tcPr>
          <w:p>
            <w:pPr>
              <w:jc w:val="right"/>
              <w:spacing w:after="0"/>
              <w:rPr>
                <w:sz w:val="20"/>
                <w:szCs w:val="20"/>
                <w:color w:val="auto"/>
              </w:rPr>
            </w:pPr>
            <w:r>
              <w:rPr>
                <w:rFonts w:ascii="Arial" w:cs="Arial" w:eastAsia="Arial" w:hAnsi="Arial"/>
                <w:sz w:val="18"/>
                <w:szCs w:val="18"/>
                <w:color w:val="auto"/>
              </w:rPr>
              <w:t>(238)</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10.98</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(143)</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16.74</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0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23"/>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Outstanding at end of period:</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1,327</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7.78</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959</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Restricted Stock Units</w:t>
      </w:r>
    </w:p>
    <w:p>
      <w:pPr>
        <w:spacing w:after="0" w:line="252"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The Company maintains Performance Restricted Stock Units (PRSUs) that have been granted to select executives and senior officers whose ultimate payout is based on the Company’s performance over a one-year period based on specific metrics approved by the Compensation Committee of the Board of Directors of the Company.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For 2020, the Compensation Committee approved the following four metrics:</w:t>
      </w:r>
    </w:p>
    <w:p>
      <w:pPr>
        <w:spacing w:after="0" w:line="2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Revenue.</w:t>
      </w:r>
    </w:p>
    <w:p>
      <w:pPr>
        <w:spacing w:after="0" w:line="9"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defined as net income attributable to the Company plus: interest expense, provision for income taxes, depreciation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amortization, share-based compensation expense and certain acquisition related costs (including transaction due diligence costs and adjustments to the fair value of contingent consideration), foreign exchange (gain) loss and, if applicable, certain special items which are noted).</w:t>
      </w:r>
    </w:p>
    <w:p>
      <w:pPr>
        <w:spacing w:after="0" w:line="1" w:lineRule="exact"/>
        <w:rPr>
          <w:rFonts w:ascii="Arial" w:cs="Arial" w:eastAsia="Arial" w:hAnsi="Arial"/>
          <w:sz w:val="16"/>
          <w:szCs w:val="16"/>
          <w:i w:val="1"/>
          <w:iCs w:val="1"/>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Free Cash Flow </w:t>
      </w:r>
      <w:r>
        <w:rPr>
          <w:rFonts w:ascii="Arial" w:cs="Arial" w:eastAsia="Arial" w:hAnsi="Arial"/>
          <w:sz w:val="18"/>
          <w:szCs w:val="18"/>
          <w:color w:val="auto"/>
        </w:rPr>
        <w:t>as a percentage of revenue.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Return on Average Book Equity </w:t>
      </w:r>
      <w:r>
        <w:rPr>
          <w:rFonts w:ascii="Arial" w:cs="Arial" w:eastAsia="Arial" w:hAnsi="Arial"/>
          <w:sz w:val="18"/>
          <w:szCs w:val="18"/>
          <w:color w:val="auto"/>
        </w:rPr>
        <w:t>defined as net income divided by average book value of shareholders equity.</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free cash flow and return on average book equity criteria are relative metrics, the performance of which are based upon how the Company performs relative to a peer group.</w:t>
      </w:r>
    </w:p>
    <w:p>
      <w:pPr>
        <w:spacing w:after="0" w:line="19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For 2021, the Compensation Committee made changes to the Company’s equity incentive compensation plan for its executive officers and approved the new target awards for 2021. For 2021, the three metrics are:</w:t>
      </w:r>
    </w:p>
    <w:p>
      <w:pPr>
        <w:spacing w:after="0" w:line="1" w:lineRule="exact"/>
        <w:rPr>
          <w:sz w:val="20"/>
          <w:szCs w:val="20"/>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Free Cash Flow </w:t>
      </w:r>
      <w:r>
        <w:rPr>
          <w:rFonts w:ascii="Arial" w:cs="Arial" w:eastAsia="Arial" w:hAnsi="Arial"/>
          <w:sz w:val="18"/>
          <w:szCs w:val="18"/>
          <w:color w:val="auto"/>
        </w:rPr>
        <w:t>net cash provided by operating activities less purchases of property, plant, equipment and intangible assets and is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approved by the Compensation Committee.</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as defined in the 2020 metric section above.</w:t>
      </w:r>
    </w:p>
    <w:p>
      <w:pPr>
        <w:spacing w:after="0" w:line="9"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Total Shareholder Return (TSR) </w:t>
      </w:r>
      <w:r>
        <w:rPr>
          <w:rFonts w:ascii="Arial" w:cs="Arial" w:eastAsia="Arial" w:hAnsi="Arial"/>
          <w:sz w:val="16"/>
          <w:szCs w:val="16"/>
          <w:color w:val="auto"/>
        </w:rPr>
        <w:t>measures the total return to shareholders of the Company during 2021 versus the total return to the shareholders of</w:t>
      </w:r>
      <w:r>
        <w:rPr>
          <w:rFonts w:ascii="Arial" w:cs="Arial" w:eastAsia="Arial" w:hAnsi="Arial"/>
          <w:sz w:val="16"/>
          <w:szCs w:val="16"/>
          <w:i w:val="1"/>
          <w:iCs w:val="1"/>
          <w:color w:val="auto"/>
        </w:rPr>
        <w:t xml:space="preserve"> </w:t>
      </w:r>
      <w:r>
        <w:rPr>
          <w:rFonts w:ascii="Arial" w:cs="Arial" w:eastAsia="Arial" w:hAnsi="Arial"/>
          <w:sz w:val="16"/>
          <w:szCs w:val="16"/>
          <w:color w:val="auto"/>
        </w:rPr>
        <w:t>a predefined peer group of companies that provide inspection, testing, certification or similar industrial services. The return will be measured by the year over year percent change in share price. The share prices used to calculate the return are the average share price during the 20-trading day period ending on the initial measurement date (the last 20 trading days of 2020), compared to the average share price during the 20-trading day period ending on the final measurement date (the last 20 trading days of 2021). Any cash dividends or distributions paid in 2021 will be added to calculate the return to shareholders during the year. TSR is considered a market condition for which the fair value of PRSUs with this condition is determined using a Monte Carlo valuation model. Key assumptions in the Monte Carlo valuation model included:</w:t>
      </w:r>
    </w:p>
    <w:p>
      <w:pPr>
        <w:spacing w:after="0" w:line="4" w:lineRule="exact"/>
        <w:rPr>
          <w:rFonts w:ascii="Arial" w:cs="Arial" w:eastAsia="Arial" w:hAnsi="Arial"/>
          <w:sz w:val="16"/>
          <w:szCs w:val="16"/>
          <w:color w:val="auto"/>
        </w:rPr>
      </w:pPr>
    </w:p>
    <w:p>
      <w:pPr>
        <w:ind w:left="1300" w:right="20" w:hanging="320"/>
        <w:spacing w:after="0" w:line="250" w:lineRule="auto"/>
        <w:tabs>
          <w:tab w:leader="none" w:pos="129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Expected volatility of the Company’s common stock at the date of grant was estimated based on a historical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rate for the approximate 1-year performance period.</w:t>
      </w: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 The dividend yield assumption was based on historical and anticipated dividend payouts (assumed at zero).</w:t>
      </w:r>
    </w:p>
    <w:p>
      <w:pPr>
        <w:spacing w:after="0" w:line="9" w:lineRule="exact"/>
        <w:rPr>
          <w:rFonts w:ascii="Arial" w:cs="Arial" w:eastAsia="Arial" w:hAnsi="Arial"/>
          <w:sz w:val="18"/>
          <w:szCs w:val="18"/>
          <w:color w:val="auto"/>
        </w:rPr>
      </w:pPr>
    </w:p>
    <w:p>
      <w:pPr>
        <w:ind w:left="1300" w:hanging="320"/>
        <w:spacing w:after="0" w:line="260" w:lineRule="auto"/>
        <w:tabs>
          <w:tab w:leader="none" w:pos="129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assumption was based on observed interest rates consistent with the approximate 1-year performance measurement period.</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PRSUs are equity-classified and compensation costs are initially measured using the fair value of the underlying stock at the date of grant. Compensation costs related to the PRSUs are subsequently adjusted for changes in the expected outcomes of the performance conditions. Compensation cost related to the PRSUs with a market condition is not reversed if the market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condition is not achieved, provided the employee requisite service has been rendered. PRSUs generally vest ratably on each of the first four anniversary dates upon completion of the performance period, for a total requisite service period of up to five years and have no dividend rights.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PRSU activity is as follows:</w:t>
      </w:r>
    </w:p>
    <w:p>
      <w:pPr>
        <w:spacing w:after="0" w:line="41" w:lineRule="exact"/>
        <w:rPr>
          <w:sz w:val="20"/>
          <w:szCs w:val="20"/>
          <w:color w:val="auto"/>
        </w:rPr>
      </w:pPr>
    </w:p>
    <w:p>
      <w:pPr>
        <w:ind w:left="7140"/>
        <w:spacing w:after="0"/>
        <w:rPr>
          <w:sz w:val="20"/>
          <w:szCs w:val="20"/>
          <w:color w:val="auto"/>
        </w:rPr>
      </w:pPr>
      <w:r>
        <w:rPr>
          <w:rFonts w:ascii="Arial" w:cs="Arial" w:eastAsia="Arial" w:hAnsi="Arial"/>
          <w:sz w:val="14"/>
          <w:szCs w:val="14"/>
          <w:b w:val="1"/>
          <w:bCs w:val="1"/>
          <w:color w:val="auto"/>
        </w:rPr>
        <w:t>Six months ended June 30,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40" w:type="dxa"/>
            <w:vAlign w:val="bottom"/>
          </w:tcPr>
          <w:p>
            <w:pPr>
              <w:spacing w:after="0"/>
              <w:rPr>
                <w:sz w:val="16"/>
                <w:szCs w:val="16"/>
                <w:color w:val="auto"/>
              </w:rPr>
            </w:pPr>
          </w:p>
        </w:tc>
        <w:tc>
          <w:tcPr>
            <w:tcW w:w="10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2021</w:t>
            </w:r>
          </w:p>
        </w:tc>
        <w:tc>
          <w:tcPr>
            <w:tcW w:w="12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80" w:type="dxa"/>
            <w:vAlign w:val="bottom"/>
            <w:tcBorders>
              <w:top w:val="single" w:sz="8" w:color="auto"/>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2020</w:t>
            </w:r>
          </w:p>
        </w:tc>
        <w:tc>
          <w:tcPr>
            <w:tcW w:w="128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jc w:val="center"/>
              <w:ind w:right="137"/>
              <w:spacing w:after="0" w:line="130"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77"/>
              <w:spacing w:after="0" w:line="130"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0"/>
              </w:rPr>
              <w:t>Average</w:t>
            </w: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77"/>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02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Units</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99"/>
              </w:rPr>
              <w:t>Grant-Date</w:t>
            </w:r>
          </w:p>
        </w:tc>
        <w:tc>
          <w:tcPr>
            <w:tcW w:w="152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217"/>
              <w:spacing w:after="0" w:line="135"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Fair Value</w:t>
            </w:r>
          </w:p>
        </w:tc>
        <w:tc>
          <w:tcPr>
            <w:tcW w:w="1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center"/>
              <w:ind w:right="177"/>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4"/>
        </w:trPr>
        <w:tc>
          <w:tcPr>
            <w:tcW w:w="4740" w:type="dxa"/>
            <w:vAlign w:val="bottom"/>
          </w:tcPr>
          <w:p>
            <w:pPr>
              <w:ind w:left="20"/>
              <w:spacing w:after="0"/>
              <w:rPr>
                <w:sz w:val="20"/>
                <w:szCs w:val="20"/>
                <w:color w:val="auto"/>
              </w:rPr>
            </w:pPr>
            <w:r>
              <w:rPr>
                <w:rFonts w:ascii="Arial" w:cs="Arial" w:eastAsia="Arial" w:hAnsi="Arial"/>
                <w:sz w:val="18"/>
                <w:szCs w:val="18"/>
                <w:color w:val="auto"/>
              </w:rPr>
              <w:t>Outstanding at beginning of period:</w:t>
            </w:r>
          </w:p>
        </w:tc>
        <w:tc>
          <w:tcPr>
            <w:tcW w:w="10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12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29"/>
        </w:trPr>
        <w:tc>
          <w:tcPr>
            <w:tcW w:w="5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Granted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29"/>
        </w:trPr>
        <w:tc>
          <w:tcPr>
            <w:tcW w:w="5760" w:type="dxa"/>
            <w:vAlign w:val="bottom"/>
            <w:gridSpan w:val="2"/>
          </w:tcPr>
          <w:p>
            <w:pPr>
              <w:ind w:left="140"/>
              <w:spacing w:after="0"/>
              <w:rPr>
                <w:sz w:val="20"/>
                <w:szCs w:val="20"/>
                <w:color w:val="auto"/>
              </w:rPr>
            </w:pPr>
            <w:r>
              <w:rPr>
                <w:rFonts w:ascii="Arial" w:cs="Arial" w:eastAsia="Arial" w:hAnsi="Arial"/>
                <w:sz w:val="18"/>
                <w:szCs w:val="18"/>
                <w:color w:val="auto"/>
              </w:rPr>
              <w:t>Performance condition adjustments</w:t>
            </w:r>
          </w:p>
        </w:tc>
        <w:tc>
          <w:tcPr>
            <w:tcW w:w="520" w:type="dxa"/>
            <w:vAlign w:val="bottom"/>
          </w:tcPr>
          <w:p>
            <w:pPr>
              <w:jc w:val="right"/>
              <w:spacing w:after="0"/>
              <w:rPr>
                <w:sz w:val="20"/>
                <w:szCs w:val="20"/>
                <w:color w:val="auto"/>
              </w:rPr>
            </w:pPr>
            <w:r>
              <w:rPr>
                <w:rFonts w:ascii="Arial" w:cs="Arial" w:eastAsia="Arial" w:hAnsi="Arial"/>
                <w:sz w:val="18"/>
                <w:szCs w:val="18"/>
                <w:color w:val="auto"/>
              </w:rPr>
              <w:t>(193)</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30"/>
        </w:trPr>
        <w:tc>
          <w:tcPr>
            <w:tcW w:w="5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Released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end of period: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During the six months ended June 30, 2021 and June 30, 2020, the Compensation Committee approved the final calculation of the award metrics for calendar year 2020 and calendar year 2019, respectively. As a result, the calendar year 2020 PRSUs decreased by approximately 125,000 units (related to not achieving the 2020 Return on Average Book Equity metric) and the calendar year 2019 PRSUs increased by approximately 1,000 units. Calendar year 2021 PRSUs decreased by 68,000 units during the six months ended June 30, 2021 based on forecasted results for calendar year 2021.</w:t>
      </w:r>
    </w:p>
    <w:p>
      <w:pPr>
        <w:spacing w:after="0" w:line="182"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For the three months ended June 30, 2021 and June 30, 2020, the Company recognized aggregate share-based compensation expense related to the awards described above of approximately $0.3 million and $0.3 million, respectively. For the six months ended June 30, 2021 and June 30, 2020, the Company recognized aggregate share-based compensation expense related to the awards described above of approximately $0.4 million and $0.6 million, respectively. At June 30, 2021, there was $1.8 million of total unrecognized compensation costs related to approximately 307,000 non-vested PRSUs, which is expected to be recognized over a remaining weighted-average period of 2.4 years.</w:t>
      </w:r>
    </w:p>
    <w:p>
      <w:pPr>
        <w:spacing w:after="0" w:line="200" w:lineRule="exact"/>
        <w:rPr>
          <w:sz w:val="20"/>
          <w:szCs w:val="20"/>
          <w:color w:val="auto"/>
        </w:rPr>
      </w:pPr>
    </w:p>
    <w:p>
      <w:pPr>
        <w:spacing w:after="0" w:line="28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Earnings (loss) per Share</w:t>
      </w:r>
    </w:p>
    <w:p>
      <w:pPr>
        <w:spacing w:after="0" w:line="22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Basic earnings (loss) per share is computed by dividing net income by the weighted-average number of shares outstanding during the period. Diluted earnings per share is computed by dividing net income by the sum of (1) the weighted-average number of shares of common stock outstanding during the period, and (2) the dilutive effect of assumed conversion of equity awards using the treasury stock method. With respect to the number of weighted-average shares outstanding (denominator), diluted shares reflects: (i) the exercise of options to acquire common stock to the extent that the options’ exercise prices are less than the average market price of common shares during the period and (ii) the pro forma vesting of restricted stock units.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computations of basic and diluted earnings per share: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48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r>
      <w:tr>
        <w:trPr>
          <w:trHeight w:val="35"/>
        </w:trPr>
        <w:tc>
          <w:tcPr>
            <w:tcW w:w="4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income (loss) per share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Numerator:</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 attributable to Mistras Group, Inc.</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(101,165)</w:t>
            </w: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29,085</w:t>
            </w: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29,514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29,024</w:t>
            </w: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Basic income (loss) per share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(3.49)</w:t>
            </w:r>
          </w:p>
        </w:tc>
      </w:tr>
      <w:tr>
        <w:trPr>
          <w:trHeight w:val="68"/>
        </w:trPr>
        <w:tc>
          <w:tcPr>
            <w:tcW w:w="486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Diluted income (loss) per share:</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4860" w:type="dxa"/>
            <w:vAlign w:val="bottom"/>
          </w:tcPr>
          <w:p>
            <w:pPr>
              <w:ind w:left="140"/>
              <w:spacing w:after="0"/>
              <w:rPr>
                <w:sz w:val="20"/>
                <w:szCs w:val="20"/>
                <w:color w:val="auto"/>
              </w:rPr>
            </w:pPr>
            <w:r>
              <w:rPr>
                <w:rFonts w:ascii="Arial" w:cs="Arial" w:eastAsia="Arial" w:hAnsi="Arial"/>
                <w:sz w:val="18"/>
                <w:szCs w:val="18"/>
                <w:color w:val="auto"/>
              </w:rPr>
              <w:t>Net income (loss) attributable to Mistras Group, Inc.</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5,937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(2,656)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(101,165)</w:t>
            </w: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4860" w:type="dxa"/>
            <w:vAlign w:val="bottom"/>
          </w:tcPr>
          <w:p>
            <w:pPr>
              <w:ind w:left="140"/>
              <w:spacing w:after="0"/>
              <w:rPr>
                <w:sz w:val="20"/>
                <w:szCs w:val="20"/>
                <w:color w:val="auto"/>
              </w:rPr>
            </w:pPr>
            <w:r>
              <w:rPr>
                <w:rFonts w:ascii="Arial" w:cs="Arial" w:eastAsia="Arial" w:hAnsi="Arial"/>
                <w:sz w:val="18"/>
                <w:szCs w:val="18"/>
                <w:color w:val="auto"/>
              </w:rPr>
              <w:t>Weighted average common shares outstanding</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29,602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29,085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29,514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29,024</w:t>
            </w:r>
          </w:p>
        </w:tc>
      </w:tr>
      <w:tr>
        <w:trPr>
          <w:trHeight w:val="229"/>
        </w:trPr>
        <w:tc>
          <w:tcPr>
            <w:tcW w:w="4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Dilutive effect of stock options outstanding</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86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 xml:space="preserve">Dilutive effect of restricted stock units outstanding </w:t>
            </w:r>
            <w:r>
              <w:rPr>
                <w:rFonts w:ascii="Arial" w:cs="Arial" w:eastAsia="Arial" w:hAnsi="Arial"/>
                <w:sz w:val="23"/>
                <w:szCs w:val="23"/>
                <w:color w:val="auto"/>
                <w:vertAlign w:val="superscript"/>
              </w:rPr>
              <w:t>(1)</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61"/>
        </w:trPr>
        <w:tc>
          <w:tcPr>
            <w:tcW w:w="48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30,136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29,085</w:t>
            </w:r>
          </w:p>
        </w:tc>
        <w:tc>
          <w:tcPr>
            <w:tcW w:w="10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30,039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29,024</w:t>
            </w:r>
          </w:p>
        </w:tc>
      </w:tr>
      <w:tr>
        <w:trPr>
          <w:trHeight w:val="191"/>
        </w:trPr>
        <w:tc>
          <w:tcPr>
            <w:tcW w:w="4860" w:type="dxa"/>
            <w:vAlign w:val="bottom"/>
            <w:tcBorders>
              <w:top w:val="single" w:sz="8" w:color="CCEEFF"/>
            </w:tcBorders>
          </w:tcPr>
          <w:p>
            <w:pPr>
              <w:ind w:left="20"/>
              <w:spacing w:after="0" w:line="191" w:lineRule="exact"/>
              <w:rPr>
                <w:sz w:val="20"/>
                <w:szCs w:val="20"/>
                <w:color w:val="auto"/>
              </w:rPr>
            </w:pPr>
            <w:r>
              <w:rPr>
                <w:rFonts w:ascii="Arial" w:cs="Arial" w:eastAsia="Arial" w:hAnsi="Arial"/>
                <w:sz w:val="18"/>
                <w:szCs w:val="18"/>
                <w:b w:val="1"/>
                <w:bCs w:val="1"/>
                <w:color w:val="auto"/>
              </w:rPr>
              <w:t>Diluted income (loss) per share</w:t>
            </w:r>
          </w:p>
        </w:tc>
        <w:tc>
          <w:tcPr>
            <w:tcW w:w="360" w:type="dxa"/>
            <w:vAlign w:val="bottom"/>
            <w:tcBorders>
              <w:top w:val="single" w:sz="8" w:color="auto"/>
            </w:tcBorders>
          </w:tcPr>
          <w:p>
            <w:pPr>
              <w:jc w:val="right"/>
              <w:ind w:right="170"/>
              <w:spacing w:after="0" w:line="191"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0.20</w:t>
            </w:r>
          </w:p>
        </w:tc>
        <w:tc>
          <w:tcPr>
            <w:tcW w:w="12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jc w:val="right"/>
              <w:ind w:right="170"/>
              <w:spacing w:after="0" w:line="191"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(0.09)</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jc w:val="right"/>
              <w:ind w:right="170"/>
              <w:spacing w:after="0" w:line="191"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0.02</w:t>
            </w:r>
          </w:p>
        </w:tc>
        <w:tc>
          <w:tcPr>
            <w:tcW w:w="12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jc w:val="right"/>
              <w:ind w:right="170"/>
              <w:spacing w:after="0" w:line="191"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(3.49)</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14" w:lineRule="exact"/>
        <w:rPr>
          <w:sz w:val="20"/>
          <w:szCs w:val="20"/>
          <w:color w:val="auto"/>
        </w:rPr>
      </w:pPr>
    </w:p>
    <w:p>
      <w:pPr>
        <w:ind w:left="180" w:right="800" w:hanging="172"/>
        <w:spacing w:after="0" w:line="261" w:lineRule="auto"/>
        <w:tabs>
          <w:tab w:leader="none" w:pos="183"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For the three and six months ended June 30, 2020, 118,000 and 223,000 shares, respectively, related to restricted stock were excluded from the calculation of diluted EPS due to the net loss for the period.</w:t>
      </w:r>
    </w:p>
    <w:p>
      <w:pPr>
        <w:spacing w:after="0" w:line="200" w:lineRule="exact"/>
        <w:rPr>
          <w:sz w:val="20"/>
          <w:szCs w:val="20"/>
          <w:color w:val="auto"/>
        </w:rPr>
      </w:pPr>
    </w:p>
    <w:p>
      <w:pPr>
        <w:spacing w:after="0" w:line="24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Acquisition-Related Expense</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the course of its acquisition activities, the Company incurs costs in connection with due diligence, such as professional fees, and other expenses. Additionally, the Company adjusts the fair value of acquisition-related contingent consideration liabilities on a quarterly basis. These amounts are reported as Acquisition-related expense, net on the Unaudited Condensed Consolidated Statements of Loss and were as follows for the three and six months ended June 30, 2021 and 2020:</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136"/>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Borders>
              <w:bottom w:val="single" w:sz="8" w:color="auto"/>
            </w:tcBorders>
          </w:tcPr>
          <w:p>
            <w:pPr>
              <w:spacing w:after="0"/>
              <w:rPr>
                <w:sz w:val="16"/>
                <w:szCs w:val="16"/>
                <w:color w:val="auto"/>
              </w:rPr>
            </w:pPr>
          </w:p>
        </w:tc>
      </w:tr>
      <w:tr>
        <w:trPr>
          <w:trHeight w:val="187"/>
        </w:trPr>
        <w:tc>
          <w:tcPr>
            <w:tcW w:w="48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r>
      <w:tr>
        <w:trPr>
          <w:trHeight w:val="224"/>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diligence, professional fees and other transaction costs</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8"/>
              </w:rPr>
              <w:t>Adjustments to fair value of contingent consideration liabilities</w:t>
            </w:r>
          </w:p>
        </w:tc>
        <w:tc>
          <w:tcPr>
            <w:tcW w:w="10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19</w:t>
            </w: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r>
      <w:tr>
        <w:trPr>
          <w:trHeight w:val="248"/>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Acquisition-related expense, net</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19</w:t>
            </w:r>
          </w:p>
        </w:tc>
        <w:tc>
          <w:tcPr>
            <w:tcW w:w="110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Company's contingent consideration liabilities are included in Accrued expenses and other current liabilities and Other long-term liabilities on the Condensed Consolidated Balance Sheets.</w:t>
      </w:r>
    </w:p>
    <w:p>
      <w:pPr>
        <w:spacing w:after="0" w:line="200" w:lineRule="exact"/>
        <w:rPr>
          <w:sz w:val="20"/>
          <w:szCs w:val="20"/>
          <w:color w:val="auto"/>
        </w:rPr>
      </w:pPr>
    </w:p>
    <w:p>
      <w:pPr>
        <w:spacing w:after="0" w:line="23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Accounts Receivable,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16"/>
                <w:szCs w:val="16"/>
                <w:color w:val="auto"/>
              </w:rPr>
            </w:pPr>
          </w:p>
        </w:tc>
        <w:tc>
          <w:tcPr>
            <w:tcW w:w="1380" w:type="dxa"/>
            <w:vAlign w:val="bottom"/>
          </w:tcPr>
          <w:p>
            <w:pPr>
              <w:jc w:val="right"/>
              <w:ind w:right="95"/>
              <w:spacing w:after="0"/>
              <w:rPr>
                <w:sz w:val="20"/>
                <w:szCs w:val="20"/>
                <w:color w:val="auto"/>
              </w:rPr>
            </w:pPr>
            <w:r>
              <w:rPr>
                <w:rFonts w:ascii="Arial" w:cs="Arial" w:eastAsia="Arial" w:hAnsi="Arial"/>
                <w:sz w:val="14"/>
                <w:szCs w:val="14"/>
                <w:b w:val="1"/>
                <w:bCs w:val="1"/>
                <w:color w:val="auto"/>
                <w:w w:val="93"/>
              </w:rPr>
              <w:t>December 31, 2020</w:t>
            </w:r>
          </w:p>
        </w:tc>
      </w:tr>
      <w:tr>
        <w:trPr>
          <w:trHeight w:val="256"/>
        </w:trPr>
        <w:tc>
          <w:tcPr>
            <w:tcW w:w="804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receivable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115,841</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credit losses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(8,213)</w:t>
            </w:r>
          </w:p>
        </w:tc>
      </w:tr>
      <w:tr>
        <w:trPr>
          <w:trHeight w:val="248"/>
        </w:trPr>
        <w:tc>
          <w:tcPr>
            <w:tcW w:w="8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107,628</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had $19.3 million and $11.9 million of unbilled revenue accrued as of June 30, 2021 and December 31, 2020, respectively. These amounts are included in the trade accounts receivable balances above. Unbilled revenue is generally billed in the subsequent quarter to their revenue recognition. For unbilled receivables, the Company considers them as short-term in nature as they are normally converted to trade receivables within 90 days, thus future changes in economic conditions will not have a significant effect on the credit loss estimate.</w:t>
      </w:r>
    </w:p>
    <w:p>
      <w:pPr>
        <w:spacing w:after="0" w:line="214"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Company was contracted to perform inspections of welds on various pipeline projects in Texas for a customer. As of December 31, 2019, approximately $1.4 million of past due receivables were outstanding from this customer. The Company received notice from the customer in December 2019, alleging that the work performed was not in compliance with the contract. The Company recorded a full reserve for this matter during 2019 and the status of this situation has not changed since 2019. See Note 14-</w:t>
      </w:r>
      <w:r>
        <w:rPr>
          <w:rFonts w:ascii="Arial" w:cs="Arial" w:eastAsia="Arial" w:hAnsi="Arial"/>
          <w:sz w:val="17"/>
          <w:szCs w:val="17"/>
          <w:b w:val="1"/>
          <w:bCs w:val="1"/>
          <w:i w:val="1"/>
          <w:iCs w:val="1"/>
          <w:color w:val="auto"/>
        </w:rPr>
        <w:t>Commitments and Contingencies</w:t>
      </w:r>
      <w:r>
        <w:rPr>
          <w:rFonts w:ascii="Arial" w:cs="Arial" w:eastAsia="Arial" w:hAnsi="Arial"/>
          <w:sz w:val="17"/>
          <w:szCs w:val="17"/>
          <w:color w:val="auto"/>
        </w:rPr>
        <w:t xml:space="preserve"> for additional details.</w:t>
      </w:r>
    </w:p>
    <w:p>
      <w:pPr>
        <w:spacing w:after="0" w:line="19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Property, Plant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consisted of the following:</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Useful Life</w:t>
            </w:r>
          </w:p>
        </w:tc>
        <w:tc>
          <w:tcPr>
            <w:tcW w:w="240" w:type="dxa"/>
            <w:vAlign w:val="bottom"/>
          </w:tcPr>
          <w:p>
            <w:pPr>
              <w:spacing w:after="0"/>
              <w:rPr>
                <w:sz w:val="14"/>
                <w:szCs w:val="14"/>
                <w:color w:val="auto"/>
              </w:rPr>
            </w:pPr>
          </w:p>
        </w:tc>
        <w:tc>
          <w:tcPr>
            <w:tcW w:w="14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14"/>
                <w:szCs w:val="14"/>
                <w:color w:val="auto"/>
              </w:rPr>
            </w:pPr>
          </w:p>
        </w:tc>
        <w:tc>
          <w:tcPr>
            <w:tcW w:w="140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188"/>
        </w:trPr>
        <w:tc>
          <w:tcPr>
            <w:tcW w:w="6940" w:type="dxa"/>
            <w:vAlign w:val="bottom"/>
          </w:tcPr>
          <w:p>
            <w:pPr>
              <w:spacing w:after="0"/>
              <w:rPr>
                <w:sz w:val="16"/>
                <w:szCs w:val="16"/>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694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0" w:type="dxa"/>
            <w:vAlign w:val="bottom"/>
          </w:tcPr>
          <w:p>
            <w:pPr>
              <w:spacing w:after="0"/>
              <w:rPr>
                <w:sz w:val="1"/>
                <w:szCs w:val="1"/>
                <w:color w:val="auto"/>
              </w:rPr>
            </w:pP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30-40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25,363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25,731</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furniture and equipment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19,902</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Machinery and equipment</w:t>
            </w:r>
          </w:p>
        </w:tc>
        <w:tc>
          <w:tcPr>
            <w:tcW w:w="10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5-7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243,658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234,331</w:t>
            </w:r>
          </w:p>
        </w:tc>
        <w:tc>
          <w:tcPr>
            <w:tcW w:w="0" w:type="dxa"/>
            <w:vAlign w:val="bottom"/>
          </w:tcPr>
          <w:p>
            <w:pPr>
              <w:spacing w:after="0"/>
              <w:rPr>
                <w:sz w:val="1"/>
                <w:szCs w:val="1"/>
                <w:color w:val="auto"/>
              </w:rPr>
            </w:pPr>
          </w:p>
        </w:tc>
      </w:tr>
      <w:tr>
        <w:trPr>
          <w:trHeight w:val="223"/>
        </w:trPr>
        <w:tc>
          <w:tcPr>
            <w:tcW w:w="69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282,688</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(200,548)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(190,007)</w:t>
            </w:r>
          </w:p>
        </w:tc>
        <w:tc>
          <w:tcPr>
            <w:tcW w:w="0" w:type="dxa"/>
            <w:vAlign w:val="bottom"/>
          </w:tcPr>
          <w:p>
            <w:pPr>
              <w:spacing w:after="0"/>
              <w:rPr>
                <w:sz w:val="1"/>
                <w:szCs w:val="1"/>
                <w:color w:val="auto"/>
              </w:rPr>
            </w:pPr>
          </w:p>
        </w:tc>
      </w:tr>
      <w:tr>
        <w:trPr>
          <w:trHeight w:val="248"/>
        </w:trPr>
        <w:tc>
          <w:tcPr>
            <w:tcW w:w="6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Property, plant and equipment, net</w:t>
            </w: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92,681</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for each of the three months ended June 30, 2021 and 2020 was approximately $6.2 million and $6.0 million, respectively.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each of the six months ended June 30, 2021 and June 30, 2020 was $12.3 million and 12.1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by segment is shown below:</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Services</w:t>
            </w:r>
          </w:p>
        </w:tc>
        <w:tc>
          <w:tcPr>
            <w:tcW w:w="24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International</w:t>
            </w:r>
          </w:p>
        </w:tc>
        <w:tc>
          <w:tcPr>
            <w:tcW w:w="1620" w:type="dxa"/>
            <w:vAlign w:val="bottom"/>
            <w:gridSpan w:val="3"/>
          </w:tcPr>
          <w:p>
            <w:pPr>
              <w:ind w:left="80"/>
              <w:spacing w:after="0"/>
              <w:rPr>
                <w:sz w:val="20"/>
                <w:szCs w:val="20"/>
                <w:color w:val="auto"/>
              </w:rPr>
            </w:pPr>
            <w:r>
              <w:rPr>
                <w:rFonts w:ascii="Arial" w:cs="Arial" w:eastAsia="Arial" w:hAnsi="Arial"/>
                <w:sz w:val="14"/>
                <w:szCs w:val="14"/>
                <w:b w:val="1"/>
                <w:bCs w:val="1"/>
                <w:color w:val="auto"/>
              </w:rPr>
              <w:t>Products and Systems</w:t>
            </w:r>
          </w:p>
        </w:tc>
        <w:tc>
          <w:tcPr>
            <w:tcW w:w="360" w:type="dxa"/>
            <w:vAlign w:val="bottom"/>
          </w:tcPr>
          <w:p>
            <w:pPr>
              <w:spacing w:after="0"/>
              <w:rPr>
                <w:sz w:val="16"/>
                <w:szCs w:val="16"/>
                <w:color w:val="auto"/>
              </w:rPr>
            </w:pPr>
          </w:p>
        </w:tc>
        <w:tc>
          <w:tcPr>
            <w:tcW w:w="1180" w:type="dxa"/>
            <w:vAlign w:val="bottom"/>
          </w:tcPr>
          <w:p>
            <w:pPr>
              <w:jc w:val="right"/>
              <w:ind w:right="533"/>
              <w:spacing w:after="0"/>
              <w:rPr>
                <w:sz w:val="20"/>
                <w:szCs w:val="20"/>
                <w:color w:val="auto"/>
              </w:rPr>
            </w:pPr>
            <w:r>
              <w:rPr>
                <w:rFonts w:ascii="Arial" w:cs="Arial" w:eastAsia="Arial" w:hAnsi="Arial"/>
                <w:sz w:val="14"/>
                <w:szCs w:val="14"/>
                <w:b w:val="1"/>
                <w:bCs w:val="1"/>
                <w:color w:val="auto"/>
              </w:rPr>
              <w:t>Total</w:t>
            </w:r>
          </w:p>
        </w:tc>
      </w:tr>
      <w:tr>
        <w:trPr>
          <w:trHeight w:val="229"/>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190,112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15,896</w:t>
            </w:r>
          </w:p>
        </w:tc>
        <w:tc>
          <w:tcPr>
            <w:tcW w:w="1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206,008</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Goodwill acquired during the period</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388</w:t>
            </w: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preliminary purchase price allocations</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1,779</w:t>
            </w:r>
          </w:p>
        </w:tc>
      </w:tr>
      <w:tr>
        <w:trPr>
          <w:trHeight w:val="248"/>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2021</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208,175</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The Company reviews goodwill for impairment on a reporting unit basis on October 1 of each year and whenever events or changes in circumstances indicate the carrying value of goodwill may not be recoverable.</w:t>
      </w:r>
    </w:p>
    <w:p>
      <w:pPr>
        <w:spacing w:after="0" w:line="198"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During the first quarter of 2020, the Company’s market capitalization declined significantly compared to the fourth quarter of 2019. Over the same period, the equity value of the Company’s peer group, and the overall U.S. stock market also declined significantly amid market volatility. In addition, oil prices had dropped significantly. These declines were driven in large part by the uncertainty surrounding the COVID-19 pandemic and other macroeconomic events such as the geopolitical tensions between OPEC and Russia. Based on these factors, the Company concluded that multiple triggering events occurred and, accordingly, an interim quantitative goodwill impairment test was performed as of the testing date for each reporting unit as of March 31, 2020 (“testing date”). During the first quarter of 2020, the Company also performed an analysis to determine any impairment of long-lived assets (see Note 9-</w:t>
      </w:r>
      <w:r>
        <w:rPr>
          <w:rFonts w:ascii="Arial" w:cs="Arial" w:eastAsia="Arial" w:hAnsi="Arial"/>
          <w:sz w:val="17"/>
          <w:szCs w:val="17"/>
          <w:b w:val="1"/>
          <w:bCs w:val="1"/>
          <w:i w:val="1"/>
          <w:iCs w:val="1"/>
          <w:color w:val="auto"/>
        </w:rPr>
        <w:t>Intangible Assets</w:t>
      </w:r>
      <w:r>
        <w:rPr>
          <w:rFonts w:ascii="Arial" w:cs="Arial" w:eastAsia="Arial" w:hAnsi="Arial"/>
          <w:sz w:val="17"/>
          <w:szCs w:val="17"/>
          <w:color w:val="auto"/>
        </w:rPr>
        <w:t>) based on the triggering events noted above.</w:t>
      </w:r>
    </w:p>
    <w:p>
      <w:pPr>
        <w:spacing w:after="0" w:line="207"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In performing the interim quantitative goodwill impairment test and consistent with prior practice, the Company determined the fair value of each of the reporting units using a combination of the income approach and the market approach by assessing each of these valuation methodologies based upon availability and relevance of comparable company data and determining the appropriate weighting.</w:t>
      </w:r>
    </w:p>
    <w:p>
      <w:pPr>
        <w:spacing w:after="0" w:line="209" w:lineRule="exact"/>
        <w:rPr>
          <w:sz w:val="20"/>
          <w:szCs w:val="20"/>
          <w:color w:val="auto"/>
        </w:rPr>
      </w:pPr>
    </w:p>
    <w:p>
      <w:pPr>
        <w:ind w:right="240"/>
        <w:spacing w:after="0" w:line="253" w:lineRule="auto"/>
        <w:rPr>
          <w:sz w:val="20"/>
          <w:szCs w:val="20"/>
          <w:color w:val="auto"/>
        </w:rPr>
      </w:pPr>
      <w:r>
        <w:rPr>
          <w:rFonts w:ascii="Arial" w:cs="Arial" w:eastAsia="Arial" w:hAnsi="Arial"/>
          <w:sz w:val="17"/>
          <w:szCs w:val="17"/>
          <w:color w:val="auto"/>
        </w:rPr>
        <w:t>Under the income approach, the fair value for each of the reporting units was determined based on the present value of estimated future cash flows, discounted at an appropriate risk-adjusted rate. The Company used internal forecasts, updated for recent events, to estimate future cash flows with cash flows beyond the specific operating plans estimated using a terminal value calculation, which incorporates historical and forecasted trends, including an estimate of long-term future growth rates, based on the Company’s most recent views of the long-term outlook for each reporting unit. The internal forecasts include assumptions about future market recovery, including the expected demand for the Company’s goods and services. Due to the inherent uncertainties involved in making estimates and assumptions, actual results may differ from those assumed in the forecasts. The Company derived the discount rates using a capital asset pricing model and analyzing published rates for industries relevant to the reporting units to estimate the cost of equity financing. The Company used discount rates that are commensurate with the risks and uncertainties inherent in the respective businesses and in the internally developed forecasts, updated for recent events.</w:t>
      </w:r>
    </w:p>
    <w:p>
      <w:pPr>
        <w:spacing w:after="0" w:line="211"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The market approach valuations were derived from metrics of publicly traded companies or historically completed transactions of comparable businesses. The selection of comparable businesses was based on the markets in which the reporting units operate considering risk profiles, size, geography, and diversity of products and services.</w:t>
      </w:r>
    </w:p>
    <w:p>
      <w:pPr>
        <w:spacing w:after="0" w:line="20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Based upon the results of the interim quantitative goodwill impairment test during the first quarter of 2020, the Company recorded an aggregate impairment charge of $77.1 million, which consisted of $57.2 million in the services reporting unit within the Services segment, and $19.3 million in the European reporting unit and $0.6 million in the Brazilian reporting unit, both within the International segment. The impairment was calculated based on the difference between the estimated fair value and the carrying value of the reporting units and are included in Impairment charges on the Unaudited Condensed Consolidated Statements of Income (Loss) for the three months ended March 31, 2020. Subsequent to March 31, 2020 through June 30, 2021, the Company did not identify any changes in circumstances that would indicate the carrying value of goodwill may not be recoverable. Significant adverse changes in future periods could negatively affect the Company's key assumptions and may result in future goodwill impairment charges which could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Company's cumulative goodwill impairment as of June 30, 2021 and December 31, 2020 was $100.2 million, of which $57.2 million related to the Services segment, $29.8 million related to the International segment and $13.2 million related to the Products and Systems segment.</w:t>
      </w:r>
    </w:p>
    <w:p>
      <w:pPr>
        <w:spacing w:after="0" w:line="16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gross amount, accumulated amortization and net carrying amount of intangible assets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320" w:type="dxa"/>
            <w:vAlign w:val="bottom"/>
          </w:tcPr>
          <w:p>
            <w:pPr>
              <w:spacing w:after="0"/>
              <w:rPr>
                <w:sz w:val="11"/>
                <w:szCs w:val="11"/>
                <w:color w:val="auto"/>
              </w:rPr>
            </w:pPr>
          </w:p>
        </w:tc>
        <w:tc>
          <w:tcPr>
            <w:tcW w:w="10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Useful Life</w:t>
            </w:r>
          </w:p>
        </w:tc>
        <w:tc>
          <w:tcPr>
            <w:tcW w:w="180" w:type="dxa"/>
            <w:vAlign w:val="bottom"/>
          </w:tcPr>
          <w:p>
            <w:pPr>
              <w:spacing w:after="0"/>
              <w:rPr>
                <w:sz w:val="11"/>
                <w:szCs w:val="11"/>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1"/>
                <w:szCs w:val="11"/>
                <w:color w:val="auto"/>
              </w:rPr>
            </w:pPr>
          </w:p>
        </w:tc>
        <w:tc>
          <w:tcPr>
            <w:tcW w:w="820" w:type="dxa"/>
            <w:vAlign w:val="bottom"/>
          </w:tcPr>
          <w:p>
            <w:pPr>
              <w:jc w:val="center"/>
              <w:ind w:right="77"/>
              <w:spacing w:after="0" w:line="135" w:lineRule="exact"/>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center"/>
              <w:ind w:right="77"/>
              <w:spacing w:after="0" w:line="135"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Impairment</w:t>
            </w:r>
          </w:p>
        </w:tc>
        <w:tc>
          <w:tcPr>
            <w:tcW w:w="160" w:type="dxa"/>
            <w:vAlign w:val="bottom"/>
          </w:tcPr>
          <w:p>
            <w:pPr>
              <w:spacing w:after="0"/>
              <w:rPr>
                <w:sz w:val="11"/>
                <w:szCs w:val="11"/>
                <w:color w:val="auto"/>
              </w:rPr>
            </w:pPr>
          </w:p>
        </w:tc>
        <w:tc>
          <w:tcPr>
            <w:tcW w:w="820" w:type="dxa"/>
            <w:vAlign w:val="bottom"/>
          </w:tcPr>
          <w:p>
            <w:pPr>
              <w:jc w:val="center"/>
              <w:ind w:right="77"/>
              <w:spacing w:after="0" w:line="135"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88"/>
        </w:trPr>
        <w:tc>
          <w:tcPr>
            <w:tcW w:w="2320" w:type="dxa"/>
            <w:vAlign w:val="bottom"/>
          </w:tcPr>
          <w:p>
            <w:pPr>
              <w:spacing w:after="0"/>
              <w:rPr>
                <w:sz w:val="16"/>
                <w:szCs w:val="16"/>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(Years)</w:t>
            </w:r>
          </w:p>
        </w:tc>
        <w:tc>
          <w:tcPr>
            <w:tcW w:w="18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77"/>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89"/>
        </w:trPr>
        <w:tc>
          <w:tcPr>
            <w:tcW w:w="2320" w:type="dxa"/>
            <w:vAlign w:val="bottom"/>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38,246</w:t>
            </w: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Arial" w:cs="Arial" w:eastAsia="Arial" w:hAnsi="Arial"/>
                <w:sz w:val="18"/>
                <w:szCs w:val="18"/>
                <w:color w:val="auto"/>
              </w:rPr>
              <w:t>Software/Technology</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3-15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52,462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(25,137)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27,325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77,326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(23,519)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(25,874)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27,933</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Covenants not to compete</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30"/>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2-12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48"/>
        </w:trPr>
        <w:tc>
          <w:tcPr>
            <w:tcW w:w="2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68,642</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the three months ended June 30, 2021 and 2020 was approximately $2.5 million and $2.6 million, respectively.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the six months ended June 30, 2021 and June 30, 2020 was $4.9 million and $5.9 million, respectively.</w:t>
      </w:r>
    </w:p>
    <w:p>
      <w:pPr>
        <w:spacing w:after="0" w:line="239"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As described in Note 8-</w:t>
      </w:r>
      <w:r>
        <w:rPr>
          <w:rFonts w:ascii="Arial" w:cs="Arial" w:eastAsia="Arial" w:hAnsi="Arial"/>
          <w:sz w:val="17"/>
          <w:szCs w:val="17"/>
          <w:b w:val="1"/>
          <w:bCs w:val="1"/>
          <w:i w:val="1"/>
          <w:iCs w:val="1"/>
          <w:color w:val="auto"/>
        </w:rPr>
        <w:t>Goodwill</w:t>
      </w:r>
      <w:r>
        <w:rPr>
          <w:rFonts w:ascii="Arial" w:cs="Arial" w:eastAsia="Arial" w:hAnsi="Arial"/>
          <w:sz w:val="17"/>
          <w:szCs w:val="17"/>
          <w:color w:val="auto"/>
        </w:rPr>
        <w:t>, during the first quarter of 2020, there were negative market indicators that were determined to be triggering events indicating a potential impairment of certain long-lived assets within asset groups in the Services, International, and Products and Systems segments, as well as Corporate. The asset groups are groupings of assets and liabilities determined at the lowest level for which identifiable cash flows are largely independent of the cash flows of other assets and liabilities. Recoverability testing indicated that certain intangible assets and right of use assets (See Note 13-</w:t>
      </w:r>
      <w:r>
        <w:rPr>
          <w:rFonts w:ascii="Arial" w:cs="Arial" w:eastAsia="Arial" w:hAnsi="Arial"/>
          <w:sz w:val="17"/>
          <w:szCs w:val="17"/>
          <w:b w:val="1"/>
          <w:bCs w:val="1"/>
          <w:i w:val="1"/>
          <w:iCs w:val="1"/>
          <w:color w:val="auto"/>
        </w:rPr>
        <w:t>Leases</w:t>
      </w:r>
      <w:r>
        <w:rPr>
          <w:rFonts w:ascii="Arial" w:cs="Arial" w:eastAsia="Arial" w:hAnsi="Arial"/>
          <w:sz w:val="17"/>
          <w:szCs w:val="17"/>
          <w:color w:val="auto"/>
        </w:rPr>
        <w:t>) were potentially impaired. For asset groups that required an impairment measurement, similar to the valuations performed to determine the goodwill impairment, the Company used income and market approaches to estimate the fair value of the long-lived assets, which requires significant judgment in evaluation of the useful lives of the assets, economic and industry trends, estimated future cash flows, discount rates, and other factors. The result of the analysis was an aggregate impairment charge of $28.8 million, which consisted of $25.9 million to software/technology, $2.2 million to customer relationships, $0.5 million to other intangibles and $0.2 million to covenants not to compete, all of which are in the Services reporting unit within the Services segment and are included in Impairment charges on the Unaudited Condensed Consolidated Statements of Income (Loss) for the six months ended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5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Accrued Expenses and Other 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16"/>
                <w:szCs w:val="16"/>
                <w:color w:val="auto"/>
              </w:rPr>
            </w:pPr>
          </w:p>
        </w:tc>
        <w:tc>
          <w:tcPr>
            <w:tcW w:w="1380" w:type="dxa"/>
            <w:vAlign w:val="bottom"/>
          </w:tcPr>
          <w:p>
            <w:pPr>
              <w:jc w:val="right"/>
              <w:ind w:right="92"/>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256"/>
        </w:trPr>
        <w:tc>
          <w:tcPr>
            <w:tcW w:w="804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salaries, wages and related employee benefits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30,214</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Contingent consideration, current portion</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workers’ compensation and health benefits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3,948</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6,538</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accrual</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Right-of-use liability - Operating</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10,212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10,348</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expenses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26,301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23,633</w:t>
            </w:r>
          </w:p>
        </w:tc>
        <w:tc>
          <w:tcPr>
            <w:tcW w:w="0" w:type="dxa"/>
            <w:vAlign w:val="bottom"/>
          </w:tcPr>
          <w:p>
            <w:pPr>
              <w:spacing w:after="0"/>
              <w:rPr>
                <w:sz w:val="1"/>
                <w:szCs w:val="1"/>
                <w:color w:val="auto"/>
              </w:rPr>
            </w:pPr>
          </w:p>
        </w:tc>
      </w:tr>
      <w:tr>
        <w:trPr>
          <w:trHeight w:val="223"/>
        </w:trPr>
        <w:tc>
          <w:tcPr>
            <w:tcW w:w="8040" w:type="dxa"/>
            <w:vAlign w:val="bottom"/>
          </w:tcPr>
          <w:p>
            <w:pPr>
              <w:ind w:left="1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87,472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78,500</w:t>
            </w:r>
          </w:p>
        </w:tc>
        <w:tc>
          <w:tcPr>
            <w:tcW w:w="0" w:type="dxa"/>
            <w:vAlign w:val="bottom"/>
          </w:tcPr>
          <w:p>
            <w:pPr>
              <w:spacing w:after="0"/>
              <w:rPr>
                <w:sz w:val="1"/>
                <w:szCs w:val="1"/>
                <w:color w:val="auto"/>
              </w:rPr>
            </w:pPr>
          </w:p>
        </w:tc>
      </w:tr>
      <w:tr>
        <w:trPr>
          <w:trHeight w:val="21"/>
        </w:trPr>
        <w:tc>
          <w:tcPr>
            <w:tcW w:w="8040" w:type="dxa"/>
            <w:vAlign w:val="bottom"/>
            <w:vMerge w:val="restart"/>
          </w:tcPr>
          <w:p>
            <w:pPr>
              <w:spacing w:after="0"/>
              <w:rPr>
                <w:sz w:val="20"/>
                <w:szCs w:val="20"/>
                <w:color w:val="auto"/>
              </w:rPr>
            </w:pPr>
            <w:r>
              <w:rPr>
                <w:rFonts w:ascii="Arial" w:cs="Arial" w:eastAsia="Arial" w:hAnsi="Arial"/>
                <w:sz w:val="18"/>
                <w:szCs w:val="18"/>
                <w:b w:val="1"/>
                <w:bCs w:val="1"/>
                <w:color w:val="auto"/>
              </w:rPr>
              <w:t>11.  Long-Term Debt</w:t>
            </w: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0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40" w:type="dxa"/>
            <w:vAlign w:val="bottom"/>
          </w:tcPr>
          <w:p>
            <w:pPr>
              <w:spacing w:after="0"/>
              <w:rPr>
                <w:sz w:val="20"/>
                <w:szCs w:val="20"/>
                <w:color w:val="auto"/>
              </w:rPr>
            </w:pPr>
            <w:r>
              <w:rPr>
                <w:rFonts w:ascii="Arial" w:cs="Arial" w:eastAsia="Arial" w:hAnsi="Arial"/>
                <w:sz w:val="18"/>
                <w:szCs w:val="18"/>
                <w:color w:val="auto"/>
              </w:rPr>
              <w:t>Long-term debt consisted of the following:</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18"/>
                <w:szCs w:val="18"/>
                <w:color w:val="auto"/>
              </w:rPr>
            </w:pPr>
          </w:p>
        </w:tc>
        <w:tc>
          <w:tcPr>
            <w:tcW w:w="1380" w:type="dxa"/>
            <w:vAlign w:val="bottom"/>
          </w:tcPr>
          <w:p>
            <w:pPr>
              <w:jc w:val="right"/>
              <w:ind w:right="92"/>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256"/>
        </w:trPr>
        <w:tc>
          <w:tcPr>
            <w:tcW w:w="804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credit facility</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120,312</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w w:val="91"/>
              </w:rPr>
              <w:t>Senior secured term loan, net of unamortized debt issuance costs of $0.3 million and $0.3 million, respectively</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84,120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89,745</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10,159</w:t>
            </w:r>
          </w:p>
        </w:tc>
        <w:tc>
          <w:tcPr>
            <w:tcW w:w="0" w:type="dxa"/>
            <w:vAlign w:val="bottom"/>
          </w:tcPr>
          <w:p>
            <w:pPr>
              <w:spacing w:after="0"/>
              <w:rPr>
                <w:sz w:val="1"/>
                <w:szCs w:val="1"/>
                <w:color w:val="auto"/>
              </w:rPr>
            </w:pPr>
          </w:p>
        </w:tc>
      </w:tr>
      <w:tr>
        <w:trPr>
          <w:trHeight w:val="223"/>
        </w:trPr>
        <w:tc>
          <w:tcPr>
            <w:tcW w:w="8040" w:type="dxa"/>
            <w:vAlign w:val="bottom"/>
          </w:tcPr>
          <w:p>
            <w:pPr>
              <w:ind w:left="140"/>
              <w:spacing w:after="0"/>
              <w:rPr>
                <w:sz w:val="20"/>
                <w:szCs w:val="20"/>
                <w:color w:val="auto"/>
              </w:rPr>
            </w:pPr>
            <w:r>
              <w:rPr>
                <w:rFonts w:ascii="Arial" w:cs="Arial" w:eastAsia="Arial" w:hAnsi="Arial"/>
                <w:sz w:val="18"/>
                <w:szCs w:val="18"/>
                <w:color w:val="auto"/>
              </w:rPr>
              <w:t>Total debt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211,167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220,216</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(10,678)</w:t>
            </w:r>
          </w:p>
        </w:tc>
        <w:tc>
          <w:tcPr>
            <w:tcW w:w="0" w:type="dxa"/>
            <w:vAlign w:val="bottom"/>
          </w:tcPr>
          <w:p>
            <w:pPr>
              <w:spacing w:after="0"/>
              <w:rPr>
                <w:sz w:val="1"/>
                <w:szCs w:val="1"/>
                <w:color w:val="auto"/>
              </w:rPr>
            </w:pPr>
          </w:p>
        </w:tc>
      </w:tr>
      <w:tr>
        <w:trPr>
          <w:trHeight w:val="223"/>
        </w:trPr>
        <w:tc>
          <w:tcPr>
            <w:tcW w:w="8040" w:type="dxa"/>
            <w:vAlign w:val="bottom"/>
          </w:tcPr>
          <w:p>
            <w:pPr>
              <w:ind w:left="140"/>
              <w:spacing w:after="0"/>
              <w:rPr>
                <w:sz w:val="20"/>
                <w:szCs w:val="20"/>
                <w:color w:val="auto"/>
              </w:rPr>
            </w:pPr>
            <w:r>
              <w:rPr>
                <w:rFonts w:ascii="Arial" w:cs="Arial" w:eastAsia="Arial" w:hAnsi="Arial"/>
                <w:sz w:val="18"/>
                <w:szCs w:val="18"/>
                <w:color w:val="auto"/>
              </w:rPr>
              <w:t>Long-term debt, net of current portion</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193,332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209,538</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Credit Facility</w:t>
      </w:r>
    </w:p>
    <w:p>
      <w:pPr>
        <w:spacing w:after="0" w:line="21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Company has a credit agreement with its banking group (as amended, the "Credit Agreement") which provides the Company with a revolving line of credit and a $100 million senior secured term loan A facility with a balance of $84.1 million as of June 30, 2021. Pursuant to the Amendment described below, the revolving line of credit was reduced from $175 million to $165 million, and will be further reduced to $155 million on September 30, 2021, then</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to $150 million on December 31, 202</w:t>
      </w:r>
      <w:r>
        <w:rPr>
          <w:rFonts w:ascii="Arial" w:cs="Arial" w:eastAsia="Arial" w:hAnsi="Arial"/>
          <w:sz w:val="19"/>
          <w:szCs w:val="19"/>
          <w:color w:val="auto"/>
        </w:rPr>
        <w:t>1</w:t>
      </w:r>
      <w:r>
        <w:rPr>
          <w:rFonts w:ascii="Arial" w:cs="Arial" w:eastAsia="Arial" w:hAnsi="Arial"/>
          <w:sz w:val="18"/>
          <w:szCs w:val="18"/>
          <w:color w:val="auto"/>
        </w:rPr>
        <w:t>. Both the revolving line of credit and the term loan A facility under the Credit Agreement have a maturity date of December 12, 2023.</w:t>
      </w:r>
    </w:p>
    <w:p>
      <w:pPr>
        <w:spacing w:after="0" w:line="203"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On May 19, 2021, the Company entered into the Fifth Amendment (the “Amendment”) to the Credit Agreement. The Amendment made the following changes:</w:t>
      </w:r>
    </w:p>
    <w:p>
      <w:pPr>
        <w:spacing w:after="0" w:line="1" w:lineRule="exact"/>
        <w:rPr>
          <w:sz w:val="20"/>
          <w:szCs w:val="20"/>
          <w:color w:val="auto"/>
        </w:rPr>
      </w:pPr>
    </w:p>
    <w:p>
      <w:pPr>
        <w:jc w:val="both"/>
        <w:ind w:left="660" w:hanging="328"/>
        <w:spacing w:after="0" w:line="226"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Removed the LIBOR floor of 1.0%, which provided that if LIBOR is below 1.0%, the interest rate will be calculated as if LIBOR is 1.0%. Now the actual LIBOR rate is used to calculate interest, even if LIBOR is below 1.0%. The LIBOR margins and base rate margins are unchanged but are based upon the new Total Consolidated Debt Leverage Ratio (defined below); previously the margin was based upon the Funded Debt Leverage Ratio.</w:t>
      </w:r>
    </w:p>
    <w:p>
      <w:pPr>
        <w:spacing w:after="0" w:line="203" w:lineRule="exact"/>
        <w:rPr>
          <w:rFonts w:ascii="Arial" w:cs="Arial" w:eastAsia="Arial" w:hAnsi="Arial"/>
          <w:sz w:val="18"/>
          <w:szCs w:val="18"/>
          <w:color w:val="auto"/>
        </w:rPr>
      </w:pPr>
    </w:p>
    <w:p>
      <w:pPr>
        <w:ind w:left="660" w:hanging="328"/>
        <w:spacing w:after="0" w:line="22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Requires the Company to maintain a Total Consolidated Debt Leverage Ratio not to exceed 4.00 to 1.0 as of the end of each quarter through the quarter ending March 31, 2022, and for each quarter thereafter the ratio shall not exceed 3.50 to 1.0.</w:t>
      </w:r>
    </w:p>
    <w:p>
      <w:pPr>
        <w:ind w:left="1300" w:hanging="320"/>
        <w:spacing w:after="0" w:line="219" w:lineRule="auto"/>
        <w:tabs>
          <w:tab w:leader="none" w:pos="1323" w:val="left"/>
        </w:tabs>
        <w:numPr>
          <w:ilvl w:val="1"/>
          <w:numId w:val="6"/>
        </w:numPr>
        <w:rPr>
          <w:rFonts w:ascii="Arial" w:cs="Arial" w:eastAsia="Arial" w:hAnsi="Arial"/>
          <w:sz w:val="18"/>
          <w:szCs w:val="18"/>
          <w:color w:val="auto"/>
        </w:rPr>
      </w:pPr>
      <w:r>
        <w:rPr>
          <w:rFonts w:ascii="Arial" w:cs="Arial" w:eastAsia="Arial" w:hAnsi="Arial"/>
          <w:sz w:val="18"/>
          <w:szCs w:val="18"/>
          <w:color w:val="auto"/>
        </w:rPr>
        <w:t>Total Consolidated Debt Leverage Ratio means the ratio of (a) Total Consolidated Debt to (b) EBITDA (as defined in the Credit Agreement) for the trailing four consecutive quarters.</w:t>
      </w:r>
    </w:p>
    <w:p>
      <w:pPr>
        <w:ind w:left="1300" w:hanging="320"/>
        <w:spacing w:after="0" w:line="233" w:lineRule="auto"/>
        <w:tabs>
          <w:tab w:leader="none" w:pos="131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Total Consolidated Debt means all indebtedness (including subordinated debt) of the Company on a consolidated basis (with a limited exception).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660" w:hanging="328"/>
        <w:spacing w:after="0" w:line="235"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Company incurs certain subordinated debt or other permitted indebtedness, then the Company must maintain a Total Consolidated Debt Leverage Ratio not to exceed 4.50 to 1.0 and maintain a ratio of Senior Debt to EBITDA not to exceed 3.50 to 1.00, with Senior Debt being Total Consolidated Debt, less permitted subordinated debt.</w:t>
      </w:r>
    </w:p>
    <w:p>
      <w:pPr>
        <w:spacing w:after="0" w:line="201" w:lineRule="exact"/>
        <w:rPr>
          <w:rFonts w:ascii="Arial" w:cs="Arial" w:eastAsia="Arial" w:hAnsi="Arial"/>
          <w:sz w:val="18"/>
          <w:szCs w:val="18"/>
          <w:color w:val="auto"/>
        </w:rPr>
      </w:pPr>
    </w:p>
    <w:p>
      <w:pPr>
        <w:jc w:val="both"/>
        <w:ind w:left="660" w:hanging="328"/>
        <w:spacing w:after="0" w:line="235"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must repay loans under the Credit Agreement with the net proceeds from certain dispositions of assets under certain circumstances and limits investments in non-guarantor subsidiaries under certain circumstances if the Company’s Total Consolidated Leverage Ratio is above 3.5 to 1.0.</w:t>
      </w:r>
    </w:p>
    <w:p>
      <w:pPr>
        <w:spacing w:after="0" w:line="201"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Borrowing capacity was reduced on the revolving loan line of credit under the Credit Agreement to $165 million, and will be further reduced to $155 million on September 30, 2021, then to $150 million on December 31, 2021.</w:t>
      </w:r>
    </w:p>
    <w:p>
      <w:pPr>
        <w:spacing w:after="0" w:line="196"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Quarterly payments on the term loan increased to $3.75 million through March 31, 2022, then to $5.0 million for each quarterly payment thereafter and a final balloon payment at maturity.</w:t>
      </w:r>
    </w:p>
    <w:p>
      <w:pPr>
        <w:spacing w:after="0" w:line="197"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As a result of the borrowing capacity reduction on the revolving loan line of credit, the Company expensed $0.1 million in unamortized capitalized debt issuance costs during the three months ended June 30, 2021, which was included in Selling, general and administrative expenses on the Unaudited Condensed Consolidated Statements of Income (Loss). The Company incurred $0.5 million in financing costs for the Amendment of which $0.2 million of third party costs were expensed and included in Selling, general and administrative expenses on the Unaudited Condensed Consolidated Statements of Income (Loss).</w:t>
      </w:r>
    </w:p>
    <w:p>
      <w:pPr>
        <w:spacing w:after="0" w:line="21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Under the Credit Agreement, the Company may borrow up to $100 million in non-U.S. Dollar currencies and use up to $20 million of the credit limit for the issuance of letters of credit.</w:t>
      </w:r>
    </w:p>
    <w:p>
      <w:pPr>
        <w:spacing w:after="0" w:line="198"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As of June 30, 2021, the Company had borrowings of $203.9 million and a total of $4.3 million of letters of credit outstanding under the Credit Agreement. The Company has capitalized costs associated with debt modifications of $1.1 million as of June 30, 2021, which is included in Other Assets on the Condensed Consolidated Balance Sheets and will be amortized into interest expense over the remaining term of the Credit Agreement through December 12, 2023.</w:t>
      </w:r>
    </w:p>
    <w:p>
      <w:pPr>
        <w:spacing w:after="0" w:line="215"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As of June 30, 2021, the Company was in compliance with the terms of the Credit Agreement. The Company will continuously monitor its compliance with the covenants contained in its Credit Agreement. The Company believes that it is probable that the Company will be able to comply with the financial covenants in the Credit Agreement and that sufficient credit remains available under the Credit Agreement to meet the Company's liquidity needs. However, due to the uncertainties being caused by the COVID-19 pandemic, the significant volatility in oil prices, and volatility in the aerospace production, such matters cannot be predicted with certainty.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debt</w:t>
      </w:r>
    </w:p>
    <w:p>
      <w:pPr>
        <w:spacing w:after="0" w:line="25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Company's other debt includes local bank financing provided at the local subsidiary level used to support working capital requirements and fund capital expenditures. At June 30, 2021, there was an aggregate of approximately $7.5 million outstanding, payable at various times through 2030. Monthly payments range from $1.0 thousand to $19.0 thousand and interest rates range from 0.4% to 3.5%.</w:t>
      </w:r>
    </w:p>
    <w:p>
      <w:pPr>
        <w:spacing w:after="0" w:line="20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Fair Value Measurements</w:t>
      </w:r>
    </w:p>
    <w:p>
      <w:pPr>
        <w:spacing w:after="0" w:line="229"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The Company performs fair value measurements in accordance with the guidance provided by ASC 820, Fair Value Measurements and Disclosures. ASC 820 defines fair value as the price that would be received to sell an asset or paid to transfer a liability in an orderly transaction between market participants at the measurement date. It also establishes a three level hierarchy that prioritizes the inputs used to measure fair value.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measured at fair value on a recurring basis</w:t>
      </w:r>
    </w:p>
    <w:p>
      <w:pPr>
        <w:spacing w:after="0" w:line="252"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fair value of contingent consideration liabilities was estimated using a discounted cash flow technique with significant inputs that are not observable in the market and thus represents a Level 3 fair value measurement as defined in ASC 820. The significant inputs in the Level 3 measurement not supported by market activity include the probability assessments of expected future cash flows related to the acquisitions, appropriately discounted considering the uncertainties associated with the obligation, and as calculated in accordance with the terms of the applicable acquisition agreements.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changes in the fair value of Level 3 contingent consideration: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80" w:type="dxa"/>
            <w:vAlign w:val="bottom"/>
          </w:tcPr>
          <w:p>
            <w:pPr>
              <w:spacing w:after="0"/>
              <w:rPr>
                <w:sz w:val="16"/>
                <w:szCs w:val="16"/>
                <w:color w:val="auto"/>
              </w:rPr>
            </w:pPr>
          </w:p>
        </w:tc>
        <w:tc>
          <w:tcPr>
            <w:tcW w:w="258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6"/>
                <w:szCs w:val="16"/>
                <w:color w:val="auto"/>
              </w:rPr>
            </w:pPr>
          </w:p>
        </w:tc>
      </w:tr>
      <w:tr>
        <w:trPr>
          <w:trHeight w:val="187"/>
        </w:trPr>
        <w:tc>
          <w:tcPr>
            <w:tcW w:w="80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r>
      <w:tr>
        <w:trPr>
          <w:trHeight w:val="224"/>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Acquisitions</w:t>
            </w:r>
          </w:p>
        </w:tc>
        <w:tc>
          <w:tcPr>
            <w:tcW w:w="9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(1,303)</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Accretion of liability</w:t>
            </w:r>
          </w:p>
        </w:tc>
        <w:tc>
          <w:tcPr>
            <w:tcW w:w="9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Revaluation</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9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48"/>
        </w:trPr>
        <w:tc>
          <w:tcPr>
            <w:tcW w:w="8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980" w:type="dxa"/>
            <w:vAlign w:val="bottom"/>
            <w:tcBorders>
              <w:top w:val="single" w:sz="8" w:color="auto"/>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not measured at fair value on a recurring basis</w:t>
      </w:r>
    </w:p>
    <w:p>
      <w:pPr>
        <w:spacing w:after="0" w:line="225" w:lineRule="exact"/>
        <w:rPr>
          <w:sz w:val="20"/>
          <w:szCs w:val="20"/>
          <w:color w:val="auto"/>
        </w:rPr>
      </w:pPr>
    </w:p>
    <w:p>
      <w:pPr>
        <w:jc w:val="both"/>
        <w:ind w:right="580"/>
        <w:spacing w:after="0" w:line="311" w:lineRule="auto"/>
        <w:rPr>
          <w:sz w:val="20"/>
          <w:szCs w:val="20"/>
          <w:color w:val="auto"/>
        </w:rPr>
      </w:pPr>
      <w:r>
        <w:rPr>
          <w:rFonts w:ascii="Arial" w:cs="Arial" w:eastAsia="Arial" w:hAnsi="Arial"/>
          <w:sz w:val="16"/>
          <w:szCs w:val="16"/>
          <w:color w:val="auto"/>
        </w:rPr>
        <w:t>The Company has evaluated current market conditions and borrower credit quality and has determined that the carrying value of its long-term debt approximates fair value. The fair value of the Company’s notes payable and finance lease obligations approximates their carrying amounts based on anticipated interest rates which management believes would currently be available to the Company for similar issuances of debt.</w:t>
      </w:r>
    </w:p>
    <w:p>
      <w:pPr>
        <w:spacing w:after="0" w:line="14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3"/>
          <w:szCs w:val="13"/>
          <w:b w:val="1"/>
          <w:bCs w:val="1"/>
          <w:color w:val="auto"/>
        </w:rPr>
        <w:t>Leases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Condensed Consolidated Balance Sheets include the following related to operating leases: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gridSpan w:val="2"/>
          </w:tcPr>
          <w:p>
            <w:pPr>
              <w:ind w:left="20"/>
              <w:spacing w:after="0"/>
              <w:rPr>
                <w:sz w:val="20"/>
                <w:szCs w:val="20"/>
                <w:color w:val="auto"/>
              </w:rPr>
            </w:pPr>
            <w:r>
              <w:rPr>
                <w:rFonts w:ascii="Arial" w:cs="Arial" w:eastAsia="Arial" w:hAnsi="Arial"/>
                <w:sz w:val="14"/>
                <w:szCs w:val="14"/>
                <w:b w:val="1"/>
                <w:bCs w:val="1"/>
                <w:color w:val="auto"/>
              </w:rPr>
              <w:t>Leases</w:t>
            </w:r>
          </w:p>
        </w:tc>
        <w:tc>
          <w:tcPr>
            <w:tcW w:w="316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Classification</w:t>
            </w:r>
          </w:p>
        </w:tc>
        <w:tc>
          <w:tcPr>
            <w:tcW w:w="24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16"/>
                <w:szCs w:val="16"/>
                <w:color w:val="auto"/>
              </w:rPr>
            </w:pPr>
          </w:p>
        </w:tc>
        <w:tc>
          <w:tcPr>
            <w:tcW w:w="1380" w:type="dxa"/>
            <w:vAlign w:val="bottom"/>
          </w:tcPr>
          <w:p>
            <w:pPr>
              <w:jc w:val="right"/>
              <w:ind w:right="94"/>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229"/>
        </w:trPr>
        <w:tc>
          <w:tcPr>
            <w:tcW w:w="47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19"/>
                <w:szCs w:val="19"/>
                <w:color w:val="auto"/>
              </w:rPr>
            </w:pPr>
          </w:p>
        </w:tc>
        <w:tc>
          <w:tcPr>
            <w:tcW w:w="3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ROU assets</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46,728</w:t>
            </w:r>
          </w:p>
        </w:tc>
        <w:tc>
          <w:tcPr>
            <w:tcW w:w="0" w:type="dxa"/>
            <w:vAlign w:val="bottom"/>
          </w:tcPr>
          <w:p>
            <w:pPr>
              <w:spacing w:after="0"/>
              <w:rPr>
                <w:sz w:val="1"/>
                <w:szCs w:val="1"/>
                <w:color w:val="auto"/>
              </w:rPr>
            </w:pPr>
          </w:p>
        </w:tc>
      </w:tr>
      <w:tr>
        <w:trPr>
          <w:trHeight w:val="378"/>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3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86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ROU - current</w:t>
            </w:r>
          </w:p>
        </w:tc>
        <w:tc>
          <w:tcPr>
            <w:tcW w:w="31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Accrued expenses and other current</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10,212</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10,348</w:t>
            </w:r>
          </w:p>
        </w:tc>
        <w:tc>
          <w:tcPr>
            <w:tcW w:w="0" w:type="dxa"/>
            <w:vAlign w:val="bottom"/>
          </w:tcPr>
          <w:p>
            <w:pPr>
              <w:spacing w:after="0"/>
              <w:rPr>
                <w:sz w:val="1"/>
                <w:szCs w:val="1"/>
                <w:color w:val="auto"/>
              </w:rPr>
            </w:pPr>
          </w:p>
        </w:tc>
      </w:tr>
      <w:tr>
        <w:trPr>
          <w:trHeight w:val="230"/>
        </w:trPr>
        <w:tc>
          <w:tcPr>
            <w:tcW w:w="4860" w:type="dxa"/>
            <w:vAlign w:val="bottom"/>
            <w:gridSpan w:val="2"/>
            <w:vMerge w:val="continue"/>
            <w:shd w:val="clear" w:color="auto" w:fill="CCEEFF"/>
          </w:tcPr>
          <w:p>
            <w:pPr>
              <w:spacing w:after="0"/>
              <w:rPr>
                <w:sz w:val="19"/>
                <w:szCs w:val="19"/>
                <w:color w:val="auto"/>
              </w:rPr>
            </w:pP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40" w:type="dxa"/>
            <w:vAlign w:val="bottom"/>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ROU liability - long-term</w:t>
            </w:r>
          </w:p>
        </w:tc>
        <w:tc>
          <w:tcPr>
            <w:tcW w:w="31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35,156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37,689</w:t>
            </w: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ROU liabilities</w:t>
            </w:r>
          </w:p>
        </w:tc>
        <w:tc>
          <w:tcPr>
            <w:tcW w:w="3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48,037</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right="80"/>
        <w:spacing w:after="0"/>
        <w:rPr>
          <w:sz w:val="20"/>
          <w:szCs w:val="20"/>
          <w:color w:val="auto"/>
        </w:rPr>
      </w:pPr>
      <w:r>
        <w:rPr>
          <w:rFonts w:ascii="Arial" w:cs="Arial" w:eastAsia="Arial" w:hAnsi="Arial"/>
          <w:sz w:val="18"/>
          <w:szCs w:val="18"/>
          <w:color w:val="auto"/>
        </w:rPr>
        <w:t>Included within the balance of operating leases is a lease for the Company’s headquarters which is with a related party. The ROU liability for this facility was approximately $3.3 million and $3.8 million as of June 30, 2021 and December 31, 2020, respectively. Total rent payments for this facility were approximately $0.3 million and $0.2 million for the three months ended June 30, 2021 and June 30, 2020, respectively. Total rent payments for this facility were approximately $0.7 million and $0.4 million for the six months ended June 30, 2021 and June 30, 2020, respectively. An agreement was reached with the related party to reduce rental payments by 20% and defer payments for 90 days for the lease of the Company’s headquarters, starting in June 2020 through December 2020 as part of COVID-19 related vendor concessions.</w:t>
      </w:r>
    </w:p>
    <w:p>
      <w:pPr>
        <w:spacing w:after="0" w:line="203" w:lineRule="exact"/>
        <w:rPr>
          <w:sz w:val="20"/>
          <w:szCs w:val="20"/>
          <w:color w:val="auto"/>
        </w:rPr>
      </w:pPr>
    </w:p>
    <w:p>
      <w:pPr>
        <w:ind w:right="540"/>
        <w:spacing w:after="0" w:line="258" w:lineRule="auto"/>
        <w:rPr>
          <w:sz w:val="20"/>
          <w:szCs w:val="20"/>
          <w:color w:val="auto"/>
        </w:rPr>
      </w:pPr>
      <w:r>
        <w:rPr>
          <w:rFonts w:ascii="Arial" w:cs="Arial" w:eastAsia="Arial" w:hAnsi="Arial"/>
          <w:sz w:val="17"/>
          <w:szCs w:val="17"/>
          <w:color w:val="auto"/>
        </w:rPr>
        <w:t>The total ROU assets attributable to finance leases were approximately $15.0 million and $15.8 million as of June 30, 2021 and December 31, 2020, respectively, which is included in Property, plant, and equipment, net on the Condensed Consolidated Balance Sheets.</w:t>
      </w:r>
    </w:p>
    <w:p>
      <w:pPr>
        <w:spacing w:after="0" w:line="18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As described in Note 9-</w:t>
      </w:r>
      <w:r>
        <w:rPr>
          <w:rFonts w:ascii="Arial" w:cs="Arial" w:eastAsia="Arial" w:hAnsi="Arial"/>
          <w:sz w:val="17"/>
          <w:szCs w:val="17"/>
          <w:b w:val="1"/>
          <w:bCs w:val="1"/>
          <w:i w:val="1"/>
          <w:iCs w:val="1"/>
          <w:color w:val="auto"/>
        </w:rPr>
        <w:t>Intangible Assets</w:t>
      </w:r>
      <w:r>
        <w:rPr>
          <w:rFonts w:ascii="Arial" w:cs="Arial" w:eastAsia="Arial" w:hAnsi="Arial"/>
          <w:sz w:val="17"/>
          <w:szCs w:val="17"/>
          <w:color w:val="auto"/>
        </w:rPr>
        <w:t>, the Company performed an analysis to determine whether there was any impairment of long-lived assets, which included the ROU assets, within the Services, International, and Products and Systems operating segments as well as Corporate. The result of the analysis was a $0.2 million impairment of a ROU asset in an asset group within the Services segment which is included in Impairment charges on the Unaudited Condensed Consolidated Statements of Loss for the three months ended March 31, 2020.</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8"/>
          </w:tcPr>
          <w:p>
            <w:pPr>
              <w:ind w:left="1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6"/>
        </w:trPr>
        <w:tc>
          <w:tcPr>
            <w:tcW w:w="2040" w:type="dxa"/>
            <w:vAlign w:val="bottom"/>
          </w:tcPr>
          <w:p>
            <w:pPr>
              <w:spacing w:after="0"/>
              <w:rPr>
                <w:sz w:val="16"/>
                <w:szCs w:val="16"/>
                <w:color w:val="auto"/>
              </w:rPr>
            </w:pPr>
          </w:p>
        </w:tc>
        <w:tc>
          <w:tcPr>
            <w:tcW w:w="314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Classification</w:t>
            </w:r>
          </w:p>
        </w:tc>
        <w:tc>
          <w:tcPr>
            <w:tcW w:w="360" w:type="dxa"/>
            <w:vAlign w:val="bottom"/>
          </w:tcPr>
          <w:p>
            <w:pPr>
              <w:spacing w:after="0"/>
              <w:rPr>
                <w:sz w:val="16"/>
                <w:szCs w:val="16"/>
                <w:color w:val="auto"/>
              </w:rPr>
            </w:pPr>
          </w:p>
        </w:tc>
        <w:tc>
          <w:tcPr>
            <w:tcW w:w="1160" w:type="dxa"/>
            <w:vAlign w:val="bottom"/>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40" w:type="dxa"/>
            <w:vAlign w:val="bottom"/>
          </w:tcPr>
          <w:p>
            <w:pPr>
              <w:ind w:left="20"/>
              <w:spacing w:after="0"/>
              <w:rPr>
                <w:sz w:val="20"/>
                <w:szCs w:val="20"/>
                <w:color w:val="auto"/>
              </w:rPr>
            </w:pPr>
            <w:r>
              <w:rPr>
                <w:rFonts w:ascii="Arial" w:cs="Arial" w:eastAsia="Arial" w:hAnsi="Arial"/>
                <w:sz w:val="18"/>
                <w:szCs w:val="18"/>
                <w:color w:val="auto"/>
              </w:rPr>
              <w:t>Finance lease expense</w:t>
            </w:r>
          </w:p>
        </w:tc>
        <w:tc>
          <w:tcPr>
            <w:tcW w:w="3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Amortization of ROU</w:t>
            </w:r>
          </w:p>
        </w:tc>
        <w:tc>
          <w:tcPr>
            <w:tcW w:w="31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Depreciation and amortization</w:t>
            </w: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0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1,133</w:t>
            </w:r>
          </w:p>
        </w:tc>
        <w:tc>
          <w:tcPr>
            <w:tcW w:w="500" w:type="dxa"/>
            <w:vAlign w:val="bottom"/>
            <w:vMerge w:val="restart"/>
            <w:shd w:val="clear" w:color="auto" w:fill="CCEEFF"/>
          </w:tcPr>
          <w:p>
            <w:pPr>
              <w:jc w:val="right"/>
              <w:ind w:right="279"/>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5"/>
                <w:szCs w:val="15"/>
                <w:color w:val="auto"/>
              </w:rPr>
            </w:pPr>
          </w:p>
        </w:tc>
        <w:tc>
          <w:tcPr>
            <w:tcW w:w="48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w w:val="88"/>
              </w:rPr>
              <w:t>2,091</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assets</w:t>
            </w:r>
          </w:p>
        </w:tc>
        <w:tc>
          <w:tcPr>
            <w:tcW w:w="3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80" w:type="dxa"/>
            <w:vAlign w:val="bottom"/>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40" w:type="dxa"/>
            <w:vAlign w:val="bottom"/>
          </w:tcPr>
          <w:p>
            <w:pPr>
              <w:ind w:left="140"/>
              <w:spacing w:after="0" w:line="176" w:lineRule="exact"/>
              <w:rPr>
                <w:sz w:val="20"/>
                <w:szCs w:val="20"/>
                <w:color w:val="auto"/>
              </w:rPr>
            </w:pPr>
            <w:r>
              <w:rPr>
                <w:rFonts w:ascii="Arial" w:cs="Arial" w:eastAsia="Arial" w:hAnsi="Arial"/>
                <w:sz w:val="18"/>
                <w:szCs w:val="18"/>
                <w:color w:val="auto"/>
              </w:rPr>
              <w:t>Interest on lease</w:t>
            </w:r>
          </w:p>
        </w:tc>
        <w:tc>
          <w:tcPr>
            <w:tcW w:w="31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216</w:t>
            </w: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437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140"/>
              <w:spacing w:after="0"/>
              <w:rPr>
                <w:sz w:val="20"/>
                <w:szCs w:val="20"/>
                <w:color w:val="auto"/>
              </w:rPr>
            </w:pPr>
            <w:r>
              <w:rPr>
                <w:rFonts w:ascii="Arial" w:cs="Arial" w:eastAsia="Arial" w:hAnsi="Arial"/>
                <w:sz w:val="18"/>
                <w:szCs w:val="18"/>
                <w:color w:val="auto"/>
              </w:rPr>
              <w:t>liabilities</w:t>
            </w:r>
          </w:p>
        </w:tc>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Operating lease expense</w:t>
            </w:r>
          </w:p>
        </w:tc>
        <w:tc>
          <w:tcPr>
            <w:tcW w:w="31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Cost of revenue; Selling, general &amp;</w:t>
            </w:r>
          </w:p>
        </w:tc>
        <w:tc>
          <w:tcPr>
            <w:tcW w:w="3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3,317</w:t>
            </w:r>
          </w:p>
        </w:tc>
        <w:tc>
          <w:tcPr>
            <w:tcW w:w="5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8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w w:val="88"/>
              </w:rPr>
              <w:t>6,577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6,664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spacing w:after="0"/>
              <w:rPr>
                <w:sz w:val="19"/>
                <w:szCs w:val="19"/>
                <w:color w:val="auto"/>
              </w:rPr>
            </w:pPr>
          </w:p>
        </w:tc>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administrative expenses</w:t>
            </w:r>
          </w:p>
        </w:tc>
        <w:tc>
          <w:tcPr>
            <w:tcW w:w="36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80" w:type="dxa"/>
            <w:vAlign w:val="bottom"/>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40" w:type="dxa"/>
            <w:vAlign w:val="bottom"/>
          </w:tcPr>
          <w:p>
            <w:pPr>
              <w:ind w:left="20"/>
              <w:spacing w:after="0" w:line="176" w:lineRule="exact"/>
              <w:rPr>
                <w:sz w:val="20"/>
                <w:szCs w:val="20"/>
                <w:color w:val="auto"/>
              </w:rPr>
            </w:pPr>
            <w:r>
              <w:rPr>
                <w:rFonts w:ascii="Arial" w:cs="Arial" w:eastAsia="Arial" w:hAnsi="Arial"/>
                <w:sz w:val="18"/>
                <w:szCs w:val="18"/>
                <w:color w:val="auto"/>
                <w:w w:val="97"/>
              </w:rPr>
              <w:t>Short-term lease expense</w:t>
            </w:r>
          </w:p>
        </w:tc>
        <w:tc>
          <w:tcPr>
            <w:tcW w:w="31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Cost of revenue; Selling, general &amp;</w:t>
            </w:r>
          </w:p>
        </w:tc>
        <w:tc>
          <w:tcPr>
            <w:tcW w:w="3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40" w:type="dxa"/>
            <w:vAlign w:val="bottom"/>
          </w:tcPr>
          <w:p>
            <w:pPr>
              <w:spacing w:after="0"/>
              <w:rPr>
                <w:sz w:val="19"/>
                <w:szCs w:val="19"/>
                <w:color w:val="auto"/>
              </w:rPr>
            </w:pPr>
          </w:p>
        </w:tc>
        <w:tc>
          <w:tcPr>
            <w:tcW w:w="3140" w:type="dxa"/>
            <w:vAlign w:val="bottom"/>
            <w:gridSpan w:val="2"/>
          </w:tcPr>
          <w:p>
            <w:pPr>
              <w:ind w:left="20"/>
              <w:spacing w:after="0"/>
              <w:rPr>
                <w:sz w:val="20"/>
                <w:szCs w:val="20"/>
                <w:color w:val="auto"/>
              </w:rPr>
            </w:pPr>
            <w:r>
              <w:rPr>
                <w:rFonts w:ascii="Arial" w:cs="Arial" w:eastAsia="Arial" w:hAnsi="Arial"/>
                <w:sz w:val="18"/>
                <w:szCs w:val="18"/>
                <w:color w:val="auto"/>
              </w:rPr>
              <w:t>administrative expenses</w:t>
            </w:r>
          </w:p>
        </w:tc>
        <w:tc>
          <w:tcPr>
            <w:tcW w:w="3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Variable lease expense</w:t>
            </w:r>
          </w:p>
        </w:tc>
        <w:tc>
          <w:tcPr>
            <w:tcW w:w="31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Cost of revenue; Selling, general &amp;</w:t>
            </w:r>
          </w:p>
        </w:tc>
        <w:tc>
          <w:tcPr>
            <w:tcW w:w="3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5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8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w w:val="88"/>
              </w:rPr>
              <w:t>1,418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spacing w:after="0"/>
              <w:rPr>
                <w:sz w:val="19"/>
                <w:szCs w:val="19"/>
                <w:color w:val="auto"/>
              </w:rPr>
            </w:pPr>
          </w:p>
        </w:tc>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administrative expenses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vMerge w:val="continue"/>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40" w:type="dxa"/>
            <w:vAlign w:val="bottom"/>
          </w:tcPr>
          <w:p>
            <w:pPr>
              <w:ind w:left="20"/>
              <w:spacing w:after="0"/>
              <w:rPr>
                <w:sz w:val="20"/>
                <w:szCs w:val="20"/>
                <w:color w:val="auto"/>
              </w:rPr>
            </w:pPr>
            <w:r>
              <w:rPr>
                <w:rFonts w:ascii="Arial" w:cs="Arial" w:eastAsia="Arial" w:hAnsi="Arial"/>
                <w:sz w:val="18"/>
                <w:szCs w:val="18"/>
                <w:color w:val="auto"/>
              </w:rPr>
              <w:t>Total</w:t>
            </w:r>
          </w:p>
        </w:tc>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4,781</w:t>
            </w:r>
          </w:p>
        </w:tc>
        <w:tc>
          <w:tcPr>
            <w:tcW w:w="500" w:type="dxa"/>
            <w:vAlign w:val="bottom"/>
            <w:tcBorders>
              <w:bottom w:val="single" w:sz="8" w:color="auto"/>
            </w:tcBorders>
          </w:tcPr>
          <w:p>
            <w:pPr>
              <w:jc w:val="right"/>
              <w:ind w:right="279"/>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10,473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9,915</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180" w:type="dxa"/>
            <w:vAlign w:val="bottom"/>
            <w:gridSpan w:val="3"/>
            <w:vMerge w:val="restart"/>
          </w:tcPr>
          <w:p>
            <w:pPr>
              <w:spacing w:after="0"/>
              <w:rPr>
                <w:sz w:val="20"/>
                <w:szCs w:val="20"/>
                <w:color w:val="auto"/>
              </w:rPr>
            </w:pPr>
            <w:r>
              <w:rPr>
                <w:rFonts w:ascii="Arial" w:cs="Arial" w:eastAsia="Arial" w:hAnsi="Arial"/>
                <w:sz w:val="18"/>
                <w:szCs w:val="18"/>
                <w:color w:val="auto"/>
              </w:rPr>
              <w:t>Additional information related to leases was as follows:</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2"/>
        </w:trPr>
        <w:tc>
          <w:tcPr>
            <w:tcW w:w="518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960" w:type="dxa"/>
            <w:vAlign w:val="bottom"/>
            <w:gridSpan w:val="9"/>
          </w:tcPr>
          <w:p>
            <w:pPr>
              <w:ind w:left="3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6"/>
        </w:trPr>
        <w:tc>
          <w:tcPr>
            <w:tcW w:w="20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780" w:type="dxa"/>
            <w:vAlign w:val="bottom"/>
            <w:gridSpan w:val="8"/>
          </w:tcPr>
          <w:p>
            <w:pPr>
              <w:ind w:left="20"/>
              <w:spacing w:after="0"/>
              <w:rPr>
                <w:sz w:val="20"/>
                <w:szCs w:val="20"/>
                <w:color w:val="auto"/>
              </w:rPr>
            </w:pPr>
            <w:r>
              <w:rPr>
                <w:rFonts w:ascii="Arial" w:cs="Arial" w:eastAsia="Arial" w:hAnsi="Arial"/>
                <w:sz w:val="18"/>
                <w:szCs w:val="18"/>
                <w:color w:val="auto"/>
                <w:w w:val="94"/>
              </w:rPr>
              <w:t>Cash paid for amounts included in the measurement of lease liabilities for finance and operating leases</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Finance - financing cash flows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2,050</w:t>
            </w: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2,132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gridSpan w:val="3"/>
          </w:tcPr>
          <w:p>
            <w:pPr>
              <w:ind w:left="300"/>
              <w:spacing w:after="0"/>
              <w:rPr>
                <w:sz w:val="20"/>
                <w:szCs w:val="20"/>
                <w:color w:val="auto"/>
              </w:rPr>
            </w:pPr>
            <w:r>
              <w:rPr>
                <w:rFonts w:ascii="Arial" w:cs="Arial" w:eastAsia="Arial" w:hAnsi="Arial"/>
                <w:sz w:val="18"/>
                <w:szCs w:val="18"/>
                <w:color w:val="auto"/>
              </w:rPr>
              <w:t>Finance - operating cash flows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373</w:t>
            </w:r>
          </w:p>
        </w:tc>
        <w:tc>
          <w:tcPr>
            <w:tcW w:w="4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437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Operating - operating cash flows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6,620</w:t>
            </w: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6,562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gridSpan w:val="3"/>
          </w:tcPr>
          <w:p>
            <w:pPr>
              <w:ind w:left="20"/>
              <w:spacing w:after="0"/>
              <w:rPr>
                <w:sz w:val="20"/>
                <w:szCs w:val="20"/>
                <w:color w:val="auto"/>
              </w:rPr>
            </w:pPr>
            <w:r>
              <w:rPr>
                <w:rFonts w:ascii="Arial" w:cs="Arial" w:eastAsia="Arial" w:hAnsi="Arial"/>
                <w:sz w:val="18"/>
                <w:szCs w:val="18"/>
                <w:color w:val="auto"/>
              </w:rPr>
              <w:t>ROU assets obtained in the exchange for lease liabilities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Finance leases</w:t>
            </w:r>
          </w:p>
        </w:tc>
        <w:tc>
          <w:tcPr>
            <w:tcW w:w="3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1,623</w:t>
            </w: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40" w:type="dxa"/>
            <w:vAlign w:val="bottom"/>
          </w:tcPr>
          <w:p>
            <w:pPr>
              <w:ind w:left="300"/>
              <w:spacing w:after="0"/>
              <w:rPr>
                <w:sz w:val="20"/>
                <w:szCs w:val="20"/>
                <w:color w:val="auto"/>
              </w:rPr>
            </w:pPr>
            <w:r>
              <w:rPr>
                <w:rFonts w:ascii="Arial" w:cs="Arial" w:eastAsia="Arial" w:hAnsi="Arial"/>
                <w:sz w:val="18"/>
                <w:szCs w:val="18"/>
                <w:color w:val="auto"/>
              </w:rPr>
              <w:t>Operating leases</w:t>
            </w:r>
          </w:p>
        </w:tc>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2,828</w:t>
            </w:r>
          </w:p>
        </w:tc>
        <w:tc>
          <w:tcPr>
            <w:tcW w:w="4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2,451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gridSpan w:val="3"/>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Finance leases</w:t>
            </w:r>
          </w:p>
        </w:tc>
        <w:tc>
          <w:tcPr>
            <w:tcW w:w="3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40" w:type="dxa"/>
            <w:vAlign w:val="bottom"/>
          </w:tcPr>
          <w:p>
            <w:pPr>
              <w:ind w:left="300"/>
              <w:spacing w:after="0"/>
              <w:rPr>
                <w:sz w:val="20"/>
                <w:szCs w:val="20"/>
                <w:color w:val="auto"/>
              </w:rPr>
            </w:pPr>
            <w:r>
              <w:rPr>
                <w:rFonts w:ascii="Arial" w:cs="Arial" w:eastAsia="Arial" w:hAnsi="Arial"/>
                <w:sz w:val="18"/>
                <w:szCs w:val="18"/>
                <w:color w:val="auto"/>
              </w:rPr>
              <w:t>Operating leases</w:t>
            </w:r>
          </w:p>
        </w:tc>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gridSpan w:val="3"/>
          </w:tcPr>
          <w:p>
            <w:pPr>
              <w:ind w:left="20"/>
              <w:spacing w:after="0"/>
              <w:rPr>
                <w:sz w:val="20"/>
                <w:szCs w:val="20"/>
                <w:color w:val="auto"/>
              </w:rPr>
            </w:pPr>
            <w:r>
              <w:rPr>
                <w:rFonts w:ascii="Arial" w:cs="Arial" w:eastAsia="Arial" w:hAnsi="Arial"/>
                <w:sz w:val="18"/>
                <w:szCs w:val="18"/>
                <w:color w:val="auto"/>
              </w:rPr>
              <w:t>Weighted-average discount rate</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Finance leases</w:t>
            </w:r>
          </w:p>
        </w:tc>
        <w:tc>
          <w:tcPr>
            <w:tcW w:w="3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300"/>
              <w:spacing w:after="0"/>
              <w:rPr>
                <w:sz w:val="20"/>
                <w:szCs w:val="20"/>
                <w:color w:val="auto"/>
              </w:rPr>
            </w:pPr>
            <w:r>
              <w:rPr>
                <w:rFonts w:ascii="Arial" w:cs="Arial" w:eastAsia="Arial" w:hAnsi="Arial"/>
                <w:sz w:val="18"/>
                <w:szCs w:val="18"/>
                <w:color w:val="auto"/>
              </w:rPr>
              <w:t>Operating leases</w:t>
            </w:r>
          </w:p>
        </w:tc>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5.8 %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as of June 30, 2021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Finance</w:t>
            </w:r>
          </w:p>
        </w:tc>
        <w:tc>
          <w:tcPr>
            <w:tcW w:w="280" w:type="dxa"/>
            <w:vAlign w:val="bottom"/>
          </w:tcPr>
          <w:p>
            <w:pPr>
              <w:spacing w:after="0"/>
              <w:rPr>
                <w:sz w:val="16"/>
                <w:szCs w:val="16"/>
                <w:color w:val="auto"/>
              </w:rPr>
            </w:pPr>
          </w:p>
        </w:tc>
        <w:tc>
          <w:tcPr>
            <w:tcW w:w="1240" w:type="dxa"/>
            <w:vAlign w:val="bottom"/>
          </w:tcPr>
          <w:p>
            <w:pPr>
              <w:jc w:val="right"/>
              <w:ind w:right="352"/>
              <w:spacing w:after="0"/>
              <w:rPr>
                <w:sz w:val="20"/>
                <w:szCs w:val="20"/>
                <w:color w:val="auto"/>
              </w:rPr>
            </w:pPr>
            <w:r>
              <w:rPr>
                <w:rFonts w:ascii="Arial" w:cs="Arial" w:eastAsia="Arial" w:hAnsi="Arial"/>
                <w:sz w:val="14"/>
                <w:szCs w:val="14"/>
                <w:b w:val="1"/>
                <w:bCs w:val="1"/>
                <w:color w:val="auto"/>
              </w:rPr>
              <w:t>Operating</w:t>
            </w:r>
          </w:p>
        </w:tc>
      </w:tr>
      <w:tr>
        <w:trPr>
          <w:trHeight w:val="229"/>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6,411</w:t>
            </w: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11,435</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9,824</w:t>
            </w: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2024</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7,532</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5,358</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12,409</w:t>
            </w:r>
          </w:p>
        </w:tc>
      </w:tr>
      <w:tr>
        <w:trPr>
          <w:trHeight w:val="22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52,969</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Present value discount</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7,601</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liability</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45,368</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Commitments and Contingencies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Government Investigations</w:t>
      </w:r>
    </w:p>
    <w:p>
      <w:pPr>
        <w:spacing w:after="0" w:line="26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is subject to periodic lawsuits, investigations and claims that arise in the ordinary course of business. The Company cannot predict with certainty the ultimate resolution of lawsuits, investigations and claims asserted against it. Except possible losses from the matters described below, the Company does not believe that any currently pending legal proceeding to which the Company is a party will have a material adverse effect on its business, results of operations, cash flows or financial condition. The costs of defense and amounts that may be recovered against the Company may be covered by insurance for certain matters.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 and Commercial Claims</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was contracted to perform inspections of welds on various pipeline projects in Texas for a customer. As of December 31, 2019, approximately $1.4 million of past due receivables were outstanding from this customer. The customer provided the Company with notice in December 2019, alleging that the Company’s inspection of 66 welds (out of approximately 16,000 welds inspected) were not in compliance with the contract, claimed approximately $7.6 million in damages, and requested that the Company pay these damages and any other damages incurred. The Company filed a lawsuit in the District Court of Bexar County, Texas, 37th Judicial District, in an action captioned Mistras Group, Inc. v. Epic Y-Grade Pipeline LP, to recover the $1.4 million and other amounts due to the Company. The customer filed a counterclaim, alleging breach of contract and seeking recovery of its alleged damages. The Company believes that any successful claim by the customer regarding the Company’s workmanship will be covered by insurance, subject to payment of a deductible. At this time, the Company is unable to determine whether it has any liability in connection with this matter and if so, the amount or range of any such liability, and accordingly, has not established any accruals for this matter. Accordingly, the Company recorded a reserve in the amount of $1.4 million during the twelve months ended December 31, 2019 for these past due receivables.</w:t>
      </w:r>
    </w:p>
    <w:p>
      <w:pPr>
        <w:spacing w:after="0" w:line="182"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 xml:space="preserve">Two proceedings have been filed in California Superior Court for the County of Los Angeles regarding alleged violations of the California Labor Code. Both cases are captioned </w:t>
      </w:r>
      <w:r>
        <w:rPr>
          <w:rFonts w:ascii="Arial" w:cs="Arial" w:eastAsia="Arial" w:hAnsi="Arial"/>
          <w:sz w:val="17"/>
          <w:szCs w:val="17"/>
          <w:i w:val="1"/>
          <w:iCs w:val="1"/>
          <w:color w:val="auto"/>
        </w:rPr>
        <w:t>Justin Price v. Mistras Group, Inc.</w:t>
      </w:r>
      <w:r>
        <w:rPr>
          <w:rFonts w:ascii="Arial" w:cs="Arial" w:eastAsia="Arial" w:hAnsi="Arial"/>
          <w:sz w:val="17"/>
          <w:szCs w:val="17"/>
          <w:color w:val="auto"/>
        </w:rPr>
        <w:t>, one being a purported class action lawsuit on behalf of current and former Mistras employees in California and the other was filed on behalf of the State of California under the California Private Attorney General Act on the basis of the same alleged violations. Both cases are requesting payment of all damages, including unpaid wages, and various fines and penalties available under California law. On May 4, 2021, the Company agreed to a settlement whereby the Company will pay $2.3 million to resolve the allegations in these proceedings and will be responsible for the employer portion of payroll taxes on the amount of the settlement allocated to wages. The settlement is subject to court approval and will cover claims for the period from June 2016 through July 31, 2021. The Company recorded expense of approximately $1.6 million during the three months ended March 31, 2021 related to this settlement, which is in addition to expense of $0.8 million the Company recorded during the three months ended December 31, 2020.</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Related Contingencies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Certain of Company’s subsidiaries had significant reductions in their unionized workers in 2018. The collective bargaining agreements for these employees required contributions for these employees to national multi-employer pension funds. The reduction in employees resulted in a subsidiary incurring a complete withdrawal to one of the pension funds under the Employee Retirement Income Security Act of 1974 ("ERISA"), which was fully satisfied in 2019. The Company has determined that the subsidiary is likely to incur partial or complete withdrawal liability to the other pension fund. The balance of the estimated total amount of this potential liability as of June 30, 2021 is approximately $2.5 million, and the charges related to this liability were incurred in 2018 and 2019.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and labor disputes</w:t>
      </w:r>
    </w:p>
    <w:p>
      <w:pPr>
        <w:spacing w:after="0" w:line="25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During December 2019, the Company executed an agreement to sell the rights of certain customer "staff leasing" contracts related to its German subsidiary for total consideration of approximately $0.1 million, effective January 1, 2020. No other assets or liabilities other than those employee benefits related to employees working on the customer contracts were included in the sale. As of June 30, 2021, the Company has approximately $0.1 million of accrued estimated severance payment obligations, which takes into account the Company's estimate with respect to the employees that have been or will be transitioned to the German subsidiaries' other customers. The $0.1 million of estimated obligations is net of $0.5 million in payments made and $1.0 million in reversals due to employees being transitioned to customer contracts.</w:t>
      </w:r>
    </w:p>
    <w:p>
      <w:pPr>
        <w:spacing w:after="0" w:line="2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was entitled to indemnification on certain labor claims from the sellers of a company acquired by its Brazilian subsidiary. The Company and the sellers entered into a settlement agreement for approximately $1.0 million, which provided for payment in two installments, the first for approximately 31% of the settlement and the second for the remaining 69%. The first installment in the amount of approximately $0.3 million was paid by the sellers in December 2020 and the Company recognized that amount as a gain in selling, general and administrative expenses in the same period. The remaining payment for $0.6 million was received in the first quarter of 2021 and the Company recognized that amount as a gain in selling, general and administrative expenses in the same period.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disposition related contingencies</w:t>
      </w:r>
    </w:p>
    <w:p>
      <w:pPr>
        <w:spacing w:after="0" w:line="2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Company is liable for contingent consideration in connection with certain of its acquisitions. As of June 30, 2021, total potential acquisition-related contingent consideration ranged from zero to approximately $2.8 million and would be payable upon the achievement of specific performance metrics by certain of the acquired companies over the next 1.3 years.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During 2018, the Company sold a subsidiary in the Products and Systems segment. As part of the sale, the Company entered into a three-year agreement to purchase products from the buyer, with a cumulative commitment of $2.3 million, of which $1.0 million is remaining as of June 30, 2021. The agreement is based on third-party pricing and the Company's planned purchase requirements over the three-year purchase period to meet the minimum contractual</w:t>
      </w:r>
    </w:p>
    <w:p>
      <w:pPr>
        <w:spacing w:after="0"/>
        <w:rPr>
          <w:sz w:val="20"/>
          <w:szCs w:val="20"/>
          <w:color w:val="auto"/>
        </w:rPr>
      </w:pPr>
      <w:r>
        <w:rPr>
          <w:rFonts w:ascii="Arial" w:cs="Arial" w:eastAsia="Arial" w:hAnsi="Arial"/>
          <w:sz w:val="18"/>
          <w:szCs w:val="18"/>
          <w:color w:val="auto"/>
        </w:rPr>
        <w:t>purchases. On August 3, 2021, the Company entered into an agreement and extended the period by twelve months</w:t>
      </w:r>
      <w:r>
        <w:rPr>
          <w:rFonts w:ascii="Arial" w:cs="Arial" w:eastAsia="Arial" w:hAnsi="Arial"/>
          <w:sz w:val="21"/>
          <w:szCs w:val="21"/>
          <w:color w:val="auto"/>
        </w:rPr>
        <w:t>.</w:t>
      </w:r>
    </w:p>
    <w:p>
      <w:pPr>
        <w:spacing w:after="0" w:line="200" w:lineRule="exact"/>
        <w:rPr>
          <w:sz w:val="20"/>
          <w:szCs w:val="20"/>
          <w:color w:val="auto"/>
        </w:rPr>
      </w:pPr>
    </w:p>
    <w:p>
      <w:pPr>
        <w:spacing w:after="0" w:line="23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Segment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three operating segments are:</w:t>
      </w:r>
    </w:p>
    <w:p>
      <w:pPr>
        <w:spacing w:after="0" w:line="225" w:lineRule="exact"/>
        <w:rPr>
          <w:sz w:val="20"/>
          <w:szCs w:val="20"/>
          <w:color w:val="auto"/>
        </w:rPr>
      </w:pPr>
    </w:p>
    <w:p>
      <w:pPr>
        <w:ind w:left="900" w:hanging="244"/>
        <w:spacing w:after="0" w:line="259" w:lineRule="auto"/>
        <w:tabs>
          <w:tab w:leader="none" w:pos="89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This segment provides asset protection solutions predominantly in North America, with the largest concentration in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followed by Canada, consisting primarily of NDT, inspection, mechanical and engineering services that are used to evaluate the safety, structural integrity and reliability of critical energy, industrial and public infrastructure and commercial aerospace components. PCMS software and pipeline related software and data analysis solutions are included in this segment.</w:t>
      </w:r>
    </w:p>
    <w:p>
      <w:pPr>
        <w:spacing w:after="0" w:line="186" w:lineRule="exact"/>
        <w:rPr>
          <w:rFonts w:ascii="Arial" w:cs="Arial" w:eastAsia="Arial" w:hAnsi="Arial"/>
          <w:sz w:val="18"/>
          <w:szCs w:val="18"/>
          <w:i w:val="1"/>
          <w:iCs w:val="1"/>
          <w:color w:val="auto"/>
        </w:rPr>
      </w:pPr>
    </w:p>
    <w:p>
      <w:pPr>
        <w:ind w:left="900" w:right="160" w:hanging="244"/>
        <w:spacing w:after="0" w:line="263" w:lineRule="auto"/>
        <w:tabs>
          <w:tab w:leader="none" w:pos="89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This segment offers services, products and systems similar to those of the other segments to select markets within Europe, the</w:t>
      </w:r>
      <w:r>
        <w:rPr>
          <w:rFonts w:ascii="Arial" w:cs="Arial" w:eastAsia="Arial" w:hAnsi="Arial"/>
          <w:sz w:val="18"/>
          <w:szCs w:val="18"/>
          <w:i w:val="1"/>
          <w:iCs w:val="1"/>
          <w:color w:val="auto"/>
        </w:rPr>
        <w:t xml:space="preserve"> </w:t>
      </w:r>
      <w:r>
        <w:rPr>
          <w:rFonts w:ascii="Arial" w:cs="Arial" w:eastAsia="Arial" w:hAnsi="Arial"/>
          <w:sz w:val="18"/>
          <w:szCs w:val="18"/>
          <w:color w:val="auto"/>
        </w:rPr>
        <w:t>Middle East, Africa, Asia and South America, but not to customers in China and South Korea, which are served by the Products and Systems segment.</w:t>
      </w:r>
    </w:p>
    <w:p>
      <w:pPr>
        <w:spacing w:after="0" w:line="183" w:lineRule="exact"/>
        <w:rPr>
          <w:rFonts w:ascii="Arial" w:cs="Arial" w:eastAsia="Arial" w:hAnsi="Arial"/>
          <w:sz w:val="18"/>
          <w:szCs w:val="18"/>
          <w:color w:val="auto"/>
        </w:rPr>
      </w:pPr>
    </w:p>
    <w:p>
      <w:pPr>
        <w:ind w:left="900" w:right="180" w:hanging="244"/>
        <w:spacing w:after="0" w:line="277" w:lineRule="auto"/>
        <w:tabs>
          <w:tab w:leader="none" w:pos="89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This segment designs, manufactures, sells, installs and services the Company’s asset protection products and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equipment and instrumentation, predominantly in the United States.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Costs incurred for general corporate services, including finance, legal, and certain other costs that are provided to the segments are reported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Services and International segments by the Products and Systems segment are reflected in the operating performance of each segment.</w:t>
      </w:r>
    </w:p>
    <w:p>
      <w:pPr>
        <w:spacing w:after="0" w:line="184" w:lineRule="exact"/>
        <w:rPr>
          <w:sz w:val="20"/>
          <w:szCs w:val="20"/>
          <w:color w:val="auto"/>
        </w:rPr>
      </w:pPr>
    </w:p>
    <w:p>
      <w:pPr>
        <w:ind w:right="20" w:firstLine="42"/>
        <w:spacing w:after="0" w:line="254" w:lineRule="auto"/>
        <w:rPr>
          <w:sz w:val="20"/>
          <w:szCs w:val="20"/>
          <w:color w:val="auto"/>
        </w:rPr>
      </w:pPr>
      <w:r>
        <w:rPr>
          <w:rFonts w:ascii="Arial" w:cs="Arial" w:eastAsia="Arial" w:hAnsi="Arial"/>
          <w:sz w:val="18"/>
          <w:szCs w:val="18"/>
          <w:color w:val="auto"/>
        </w:rPr>
        <w:t>The accounting policies of the reportable segments are the same as those described in Note 1</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Description of Business and Basis of Presentation</w:t>
      </w:r>
      <w:r>
        <w:rPr>
          <w:rFonts w:ascii="Arial" w:cs="Arial" w:eastAsia="Arial" w:hAnsi="Arial"/>
          <w:sz w:val="18"/>
          <w:szCs w:val="18"/>
          <w:color w:val="auto"/>
        </w:rPr>
        <w:t>. Segment income from operations is one of the primary performance measures used by the chief operating decision maker, to assess the performance of each segment and make resource allocation decisions. Certain general and administrative costs such as human resources, information technology and training are allocated to the segments. Segment income from operations excludes interest and other financial charges and income taxes. Corporate and other assets are comprised principally of cash, deposits, property, plant and equipment, domestic deferred taxes, deferred charges and other assets. Corporate loss from operations consists of administrative charges related to corporate personnel and other charges that cannot be readily identified for allocation to a particular segment.</w:t>
      </w:r>
    </w:p>
    <w:p>
      <w:pPr>
        <w:spacing w:after="0" w:line="200" w:lineRule="exact"/>
        <w:rPr>
          <w:sz w:val="20"/>
          <w:szCs w:val="20"/>
          <w:color w:val="auto"/>
        </w:rPr>
      </w:pPr>
    </w:p>
    <w:p>
      <w:pPr>
        <w:spacing w:after="0" w:line="238"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Selected consolidated financial information by segment for the periods shown was as follows: (with intercompany transactions eliminated in Corporate and eliminations)</w:t>
      </w:r>
    </w:p>
    <w:tbl>
      <w:tblPr>
        <w:tblLayout w:type="fixed"/>
        <w:tblInd w:w="4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6"/>
          </w:tcPr>
          <w:p>
            <w:pPr>
              <w:jc w:val="right"/>
              <w:ind w:right="593"/>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jc w:val="right"/>
              <w:ind w:right="673"/>
              <w:spacing w:after="0"/>
              <w:rPr>
                <w:sz w:val="20"/>
                <w:szCs w:val="20"/>
                <w:color w:val="auto"/>
              </w:rPr>
            </w:pPr>
            <w:r>
              <w:rPr>
                <w:rFonts w:ascii="Arial" w:cs="Arial" w:eastAsia="Arial" w:hAnsi="Arial"/>
                <w:sz w:val="14"/>
                <w:szCs w:val="14"/>
                <w:b w:val="1"/>
                <w:bCs w:val="1"/>
                <w:color w:val="auto"/>
              </w:rPr>
              <w:t>Six months ended June 30,</w:t>
            </w:r>
          </w:p>
        </w:tc>
        <w:tc>
          <w:tcPr>
            <w:tcW w:w="40" w:type="dxa"/>
            <w:vAlign w:val="bottom"/>
          </w:tcPr>
          <w:p>
            <w:pPr>
              <w:spacing w:after="0"/>
              <w:rPr>
                <w:sz w:val="16"/>
                <w:szCs w:val="16"/>
                <w:color w:val="auto"/>
              </w:rPr>
            </w:pPr>
          </w:p>
        </w:tc>
      </w:tr>
      <w:tr>
        <w:trPr>
          <w:trHeight w:val="186"/>
        </w:trPr>
        <w:tc>
          <w:tcPr>
            <w:tcW w:w="48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r>
      <w:tr>
        <w:trPr>
          <w:trHeight w:val="212"/>
        </w:trPr>
        <w:tc>
          <w:tcPr>
            <w:tcW w:w="482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w:t>
            </w:r>
          </w:p>
        </w:tc>
        <w:tc>
          <w:tcPr>
            <w:tcW w:w="4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144,977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100,677</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269,275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229,550</w:t>
            </w:r>
          </w:p>
        </w:tc>
        <w:tc>
          <w:tcPr>
            <w:tcW w:w="40" w:type="dxa"/>
            <w:vAlign w:val="bottom"/>
          </w:tcPr>
          <w:p>
            <w:pPr>
              <w:spacing w:after="0"/>
              <w:rPr>
                <w:sz w:val="19"/>
                <w:szCs w:val="19"/>
                <w:color w:val="auto"/>
              </w:rPr>
            </w:pPr>
          </w:p>
        </w:tc>
      </w:tr>
      <w:tr>
        <w:trPr>
          <w:trHeight w:val="229"/>
        </w:trPr>
        <w:tc>
          <w:tcPr>
            <w:tcW w:w="482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31,951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21,343</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59,599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50,410</w:t>
            </w:r>
          </w:p>
        </w:tc>
        <w:tc>
          <w:tcPr>
            <w:tcW w:w="40" w:type="dxa"/>
            <w:vAlign w:val="bottom"/>
          </w:tcPr>
          <w:p>
            <w:pPr>
              <w:spacing w:after="0"/>
              <w:rPr>
                <w:sz w:val="19"/>
                <w:szCs w:val="19"/>
                <w:color w:val="auto"/>
              </w:rPr>
            </w:pPr>
          </w:p>
        </w:tc>
      </w:tr>
      <w:tr>
        <w:trPr>
          <w:trHeight w:val="230"/>
        </w:trPr>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Products and Systems</w:t>
            </w: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4,002</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6,814</w:t>
            </w:r>
          </w:p>
        </w:tc>
        <w:tc>
          <w:tcPr>
            <w:tcW w:w="40" w:type="dxa"/>
            <w:vAlign w:val="bottom"/>
          </w:tcPr>
          <w:p>
            <w:pPr>
              <w:spacing w:after="0"/>
              <w:rPr>
                <w:sz w:val="19"/>
                <w:szCs w:val="19"/>
                <w:color w:val="auto"/>
              </w:rPr>
            </w:pPr>
          </w:p>
        </w:tc>
      </w:tr>
      <w:tr>
        <w:trPr>
          <w:trHeight w:val="229"/>
        </w:trPr>
        <w:tc>
          <w:tcPr>
            <w:tcW w:w="48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Corporate and eliminations</w:t>
            </w: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(2,454)</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(3,653)</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(2,874)</w:t>
            </w:r>
          </w:p>
        </w:tc>
        <w:tc>
          <w:tcPr>
            <w:tcW w:w="40" w:type="dxa"/>
            <w:vAlign w:val="bottom"/>
          </w:tcPr>
          <w:p>
            <w:pPr>
              <w:spacing w:after="0"/>
              <w:rPr>
                <w:sz w:val="19"/>
                <w:szCs w:val="19"/>
                <w:color w:val="auto"/>
              </w:rPr>
            </w:pPr>
          </w:p>
        </w:tc>
      </w:tr>
      <w:tr>
        <w:trPr>
          <w:trHeight w:val="248"/>
        </w:trPr>
        <w:tc>
          <w:tcPr>
            <w:tcW w:w="48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177,677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124,435</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331,412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283,900</w:t>
            </w:r>
          </w:p>
        </w:tc>
        <w:tc>
          <w:tcPr>
            <w:tcW w:w="40" w:type="dxa"/>
            <w:vAlign w:val="bottom"/>
          </w:tcPr>
          <w:p>
            <w:pPr>
              <w:spacing w:after="0"/>
              <w:rPr>
                <w:sz w:val="21"/>
                <w:szCs w:val="2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2"/>
        </w:trPr>
        <w:tc>
          <w:tcPr>
            <w:tcW w:w="4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ind w:right="553"/>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633"/>
              <w:spacing w:after="0"/>
              <w:rPr>
                <w:sz w:val="20"/>
                <w:szCs w:val="20"/>
                <w:color w:val="auto"/>
              </w:rPr>
            </w:pPr>
            <w:r>
              <w:rPr>
                <w:rFonts w:ascii="Arial" w:cs="Arial" w:eastAsia="Arial" w:hAnsi="Arial"/>
                <w:sz w:val="14"/>
                <w:szCs w:val="14"/>
                <w:b w:val="1"/>
                <w:bCs w:val="1"/>
                <w:color w:val="auto"/>
              </w:rPr>
              <w:t>Six months ended June 30,</w:t>
            </w:r>
          </w:p>
        </w:tc>
        <w:tc>
          <w:tcPr>
            <w:tcW w:w="40" w:type="dxa"/>
            <w:vAlign w:val="bottom"/>
            <w:tcBorders>
              <w:bottom w:val="single" w:sz="8" w:color="auto"/>
            </w:tcBorders>
          </w:tcPr>
          <w:p>
            <w:pPr>
              <w:spacing w:after="0"/>
              <w:rPr>
                <w:sz w:val="24"/>
                <w:szCs w:val="24"/>
                <w:color w:val="auto"/>
              </w:rPr>
            </w:pPr>
          </w:p>
        </w:tc>
      </w:tr>
      <w:tr>
        <w:trPr>
          <w:trHeight w:val="186"/>
        </w:trPr>
        <w:tc>
          <w:tcPr>
            <w:tcW w:w="4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6"/>
                <w:szCs w:val="16"/>
                <w:color w:val="auto"/>
              </w:rPr>
            </w:pPr>
          </w:p>
        </w:tc>
      </w:tr>
      <w:tr>
        <w:trPr>
          <w:trHeight w:val="212"/>
        </w:trPr>
        <w:tc>
          <w:tcPr>
            <w:tcW w:w="4820" w:type="dxa"/>
            <w:vAlign w:val="bottom"/>
          </w:tcPr>
          <w:p>
            <w:pPr>
              <w:ind w:left="40"/>
              <w:spacing w:after="0"/>
              <w:rPr>
                <w:sz w:val="20"/>
                <w:szCs w:val="20"/>
                <w:color w:val="auto"/>
              </w:rPr>
            </w:pPr>
            <w:r>
              <w:rPr>
                <w:rFonts w:ascii="Arial" w:cs="Arial" w:eastAsia="Arial" w:hAnsi="Arial"/>
                <w:sz w:val="18"/>
                <w:szCs w:val="18"/>
                <w:b w:val="1"/>
                <w:bCs w:val="1"/>
                <w:color w:val="auto"/>
              </w:rPr>
              <w:t>Gross profit</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w:t>
            </w:r>
          </w:p>
        </w:tc>
        <w:tc>
          <w:tcPr>
            <w:tcW w:w="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43,761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33,940</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74,837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66,177</w:t>
            </w:r>
          </w:p>
        </w:tc>
        <w:tc>
          <w:tcPr>
            <w:tcW w:w="40" w:type="dxa"/>
            <w:vAlign w:val="bottom"/>
            <w:shd w:val="clear" w:color="auto" w:fill="CCEEFF"/>
          </w:tcPr>
          <w:p>
            <w:pPr>
              <w:spacing w:after="0"/>
              <w:rPr>
                <w:sz w:val="19"/>
                <w:szCs w:val="19"/>
                <w:color w:val="auto"/>
              </w:rPr>
            </w:pPr>
          </w:p>
        </w:tc>
      </w:tr>
      <w:tr>
        <w:trPr>
          <w:trHeight w:val="230"/>
        </w:trPr>
        <w:tc>
          <w:tcPr>
            <w:tcW w:w="482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9,615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5,392</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17,240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13,415</w:t>
            </w:r>
          </w:p>
        </w:tc>
        <w:tc>
          <w:tcPr>
            <w:tcW w:w="40" w:type="dxa"/>
            <w:vAlign w:val="bottom"/>
          </w:tcPr>
          <w:p>
            <w:pPr>
              <w:spacing w:after="0"/>
              <w:rPr>
                <w:sz w:val="19"/>
                <w:szCs w:val="19"/>
                <w:color w:val="auto"/>
              </w:rPr>
            </w:pPr>
          </w:p>
        </w:tc>
      </w:tr>
      <w:tr>
        <w:trPr>
          <w:trHeight w:val="230"/>
        </w:trPr>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Products and Systems</w:t>
            </w: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40" w:type="dxa"/>
            <w:vAlign w:val="bottom"/>
            <w:shd w:val="clear" w:color="auto" w:fill="CCEEFF"/>
          </w:tcPr>
          <w:p>
            <w:pPr>
              <w:spacing w:after="0"/>
              <w:rPr>
                <w:sz w:val="19"/>
                <w:szCs w:val="19"/>
                <w:color w:val="auto"/>
              </w:rPr>
            </w:pPr>
          </w:p>
        </w:tc>
      </w:tr>
      <w:tr>
        <w:trPr>
          <w:trHeight w:val="229"/>
        </w:trPr>
        <w:tc>
          <w:tcPr>
            <w:tcW w:w="48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Corporate and eliminations</w:t>
            </w:r>
          </w:p>
        </w:tc>
        <w:tc>
          <w:tcPr>
            <w:tcW w:w="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auto"/>
            </w:tcBorders>
          </w:tcPr>
          <w:p>
            <w:pPr>
              <w:spacing w:after="0"/>
              <w:rPr>
                <w:sz w:val="19"/>
                <w:szCs w:val="19"/>
                <w:color w:val="auto"/>
              </w:rPr>
            </w:pPr>
          </w:p>
        </w:tc>
      </w:tr>
      <w:tr>
        <w:trPr>
          <w:trHeight w:val="248"/>
        </w:trPr>
        <w:tc>
          <w:tcPr>
            <w:tcW w:w="4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55,336</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41,158</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95,337</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81,802</w:t>
            </w:r>
          </w:p>
        </w:tc>
        <w:tc>
          <w:tcPr>
            <w:tcW w:w="40" w:type="dxa"/>
            <w:vAlign w:val="bottom"/>
            <w:tcBorders>
              <w:bottom w:val="single" w:sz="8" w:color="auto"/>
            </w:tcBorders>
            <w:shd w:val="clear" w:color="auto" w:fill="CCEEFF"/>
          </w:tcPr>
          <w:p>
            <w:pPr>
              <w:spacing w:after="0"/>
              <w:rPr>
                <w:sz w:val="21"/>
                <w:szCs w:val="2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Income (loss) from operations by operating segment includes intercompany transactions, which are eliminated in Corporate and eliminations.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25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40" w:type="dxa"/>
            <w:vAlign w:val="bottom"/>
            <w:gridSpan w:val="5"/>
          </w:tcPr>
          <w:p>
            <w:pPr>
              <w:ind w:left="380"/>
              <w:spacing w:after="0"/>
              <w:rPr>
                <w:sz w:val="20"/>
                <w:szCs w:val="20"/>
                <w:color w:val="auto"/>
              </w:rPr>
            </w:pPr>
            <w:r>
              <w:rPr>
                <w:rFonts w:ascii="Arial" w:cs="Arial" w:eastAsia="Arial" w:hAnsi="Arial"/>
                <w:sz w:val="14"/>
                <w:szCs w:val="14"/>
                <w:b w:val="1"/>
                <w:bCs w:val="1"/>
                <w:color w:val="auto"/>
              </w:rPr>
              <w:t>Six months ended June 30,</w:t>
            </w:r>
          </w:p>
        </w:tc>
      </w:tr>
      <w:tr>
        <w:trPr>
          <w:trHeight w:val="186"/>
        </w:trPr>
        <w:tc>
          <w:tcPr>
            <w:tcW w:w="486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212"/>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Income (loss) from operations</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4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Services</w:t>
            </w:r>
          </w:p>
        </w:tc>
        <w:tc>
          <w:tcPr>
            <w:tcW w:w="940" w:type="dxa"/>
            <w:vAlign w:val="bottom"/>
            <w:shd w:val="clear" w:color="auto" w:fill="CCEEFF"/>
          </w:tcPr>
          <w:p>
            <w:pPr>
              <w:jc w:val="right"/>
              <w:ind w:right="737"/>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18,358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10,837</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(70,657)</w:t>
            </w:r>
          </w:p>
        </w:tc>
        <w:tc>
          <w:tcPr>
            <w:tcW w:w="60" w:type="dxa"/>
            <w:vAlign w:val="bottom"/>
          </w:tcPr>
          <w:p>
            <w:pPr>
              <w:spacing w:after="0"/>
              <w:rPr>
                <w:sz w:val="19"/>
                <w:szCs w:val="19"/>
                <w:color w:val="auto"/>
              </w:rPr>
            </w:pPr>
          </w:p>
        </w:tc>
      </w:tr>
      <w:tr>
        <w:trPr>
          <w:trHeight w:val="230"/>
        </w:trPr>
        <w:tc>
          <w:tcPr>
            <w:tcW w:w="486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1,809</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(1,937)</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(22,356)</w:t>
            </w:r>
          </w:p>
        </w:tc>
        <w:tc>
          <w:tcPr>
            <w:tcW w:w="60" w:type="dxa"/>
            <w:vAlign w:val="bottom"/>
          </w:tcPr>
          <w:p>
            <w:pPr>
              <w:spacing w:after="0"/>
              <w:rPr>
                <w:sz w:val="19"/>
                <w:szCs w:val="19"/>
                <w:color w:val="auto"/>
              </w:rPr>
            </w:pPr>
          </w:p>
        </w:tc>
      </w:tr>
      <w:tr>
        <w:trPr>
          <w:trHeight w:val="230"/>
        </w:trPr>
        <w:tc>
          <w:tcPr>
            <w:tcW w:w="4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Products and Systems</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60" w:type="dxa"/>
            <w:vAlign w:val="bottom"/>
          </w:tcPr>
          <w:p>
            <w:pPr>
              <w:spacing w:after="0"/>
              <w:rPr>
                <w:sz w:val="19"/>
                <w:szCs w:val="19"/>
                <w:color w:val="auto"/>
              </w:rPr>
            </w:pPr>
          </w:p>
        </w:tc>
      </w:tr>
      <w:tr>
        <w:trPr>
          <w:trHeight w:val="229"/>
        </w:trPr>
        <w:tc>
          <w:tcPr>
            <w:tcW w:w="4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eliminations</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(9,002)</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(9,187)</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(16,822)</w:t>
            </w:r>
          </w:p>
        </w:tc>
        <w:tc>
          <w:tcPr>
            <w:tcW w:w="60" w:type="dxa"/>
            <w:vAlign w:val="bottom"/>
          </w:tcPr>
          <w:p>
            <w:pPr>
              <w:spacing w:after="0"/>
              <w:rPr>
                <w:sz w:val="19"/>
                <w:szCs w:val="19"/>
                <w:color w:val="auto"/>
              </w:rPr>
            </w:pPr>
          </w:p>
        </w:tc>
      </w:tr>
      <w:tr>
        <w:trPr>
          <w:trHeight w:val="248"/>
        </w:trPr>
        <w:tc>
          <w:tcPr>
            <w:tcW w:w="48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7"/>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11,374</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(111,611)</w:t>
            </w:r>
          </w:p>
        </w:tc>
        <w:tc>
          <w:tcPr>
            <w:tcW w:w="60" w:type="dxa"/>
            <w:vAlign w:val="bottom"/>
          </w:tcPr>
          <w:p>
            <w:pPr>
              <w:spacing w:after="0"/>
              <w:rPr>
                <w:sz w:val="21"/>
                <w:szCs w:val="2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78"/>
        </w:trPr>
        <w:tc>
          <w:tcPr>
            <w:tcW w:w="48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ind w:left="540"/>
              <w:spacing w:after="0"/>
              <w:rPr>
                <w:sz w:val="20"/>
                <w:szCs w:val="20"/>
                <w:color w:val="auto"/>
              </w:rPr>
            </w:pPr>
            <w:r>
              <w:rPr>
                <w:rFonts w:ascii="Arial" w:cs="Arial" w:eastAsia="Arial" w:hAnsi="Arial"/>
                <w:sz w:val="14"/>
                <w:szCs w:val="14"/>
                <w:b w:val="1"/>
                <w:bCs w:val="1"/>
                <w:color w:val="auto"/>
              </w:rPr>
              <w:t>Six months ended June 30,</w:t>
            </w:r>
          </w:p>
        </w:tc>
      </w:tr>
      <w:tr>
        <w:trPr>
          <w:trHeight w:val="186"/>
        </w:trPr>
        <w:tc>
          <w:tcPr>
            <w:tcW w:w="1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6"/>
                <w:szCs w:val="16"/>
                <w:color w:val="auto"/>
              </w:rPr>
            </w:pPr>
          </w:p>
        </w:tc>
      </w:tr>
      <w:tr>
        <w:trPr>
          <w:trHeight w:val="212"/>
        </w:trPr>
        <w:tc>
          <w:tcPr>
            <w:tcW w:w="12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120" w:type="dxa"/>
            <w:vAlign w:val="bottom"/>
          </w:tcPr>
          <w:p>
            <w:pPr>
              <w:spacing w:after="0"/>
              <w:rPr>
                <w:sz w:val="19"/>
                <w:szCs w:val="19"/>
                <w:color w:val="auto"/>
              </w:rPr>
            </w:pPr>
          </w:p>
        </w:tc>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Services</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6,211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13,286</w:t>
            </w:r>
          </w:p>
        </w:tc>
        <w:tc>
          <w:tcPr>
            <w:tcW w:w="20" w:type="dxa"/>
            <w:vAlign w:val="bottom"/>
            <w:shd w:val="clear" w:color="auto" w:fill="CCEEFF"/>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478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2,175</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2,077</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4,217</w:t>
            </w:r>
          </w:p>
        </w:tc>
        <w:tc>
          <w:tcPr>
            <w:tcW w:w="2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Products and Systems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20" w:type="dxa"/>
            <w:vAlign w:val="bottom"/>
            <w:shd w:val="clear" w:color="auto" w:fill="CCEEFF"/>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4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eliminations</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auto"/>
            </w:tcBorders>
          </w:tcPr>
          <w:p>
            <w:pPr>
              <w:spacing w:after="0"/>
              <w:rPr>
                <w:sz w:val="19"/>
                <w:szCs w:val="19"/>
                <w:color w:val="auto"/>
              </w:rPr>
            </w:pPr>
          </w:p>
        </w:tc>
      </w:tr>
      <w:tr>
        <w:trPr>
          <w:trHeight w:val="248"/>
        </w:trPr>
        <w:tc>
          <w:tcPr>
            <w:tcW w:w="1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8,632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8,530</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17,197</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17,997</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120" w:type="dxa"/>
            <w:vAlign w:val="bottom"/>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508"/>
        </w:trPr>
        <w:tc>
          <w:tcPr>
            <w:tcW w:w="1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June 30, 2021</w:t>
            </w:r>
          </w:p>
        </w:tc>
        <w:tc>
          <w:tcPr>
            <w:tcW w:w="140" w:type="dxa"/>
            <w:vAlign w:val="bottom"/>
          </w:tcPr>
          <w:p>
            <w:pPr>
              <w:spacing w:after="0"/>
              <w:rPr>
                <w:sz w:val="24"/>
                <w:szCs w:val="24"/>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December 31, 2020</w:t>
            </w:r>
          </w:p>
        </w:tc>
      </w:tr>
      <w:tr>
        <w:trPr>
          <w:trHeight w:val="216"/>
        </w:trPr>
        <w:tc>
          <w:tcPr>
            <w:tcW w:w="4900" w:type="dxa"/>
            <w:vAlign w:val="bottom"/>
            <w:gridSpan w:val="2"/>
          </w:tcPr>
          <w:p>
            <w:pPr>
              <w:ind w:left="20"/>
              <w:spacing w:after="0"/>
              <w:rPr>
                <w:sz w:val="20"/>
                <w:szCs w:val="20"/>
                <w:color w:val="auto"/>
              </w:rPr>
            </w:pPr>
            <w:r>
              <w:rPr>
                <w:rFonts w:ascii="Arial" w:cs="Arial" w:eastAsia="Arial" w:hAnsi="Arial"/>
                <w:sz w:val="18"/>
                <w:szCs w:val="18"/>
                <w:b w:val="1"/>
                <w:bCs w:val="1"/>
                <w:color w:val="auto"/>
              </w:rPr>
              <w:t>Intangible assets, net</w:t>
            </w: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120" w:type="dxa"/>
            <w:vAlign w:val="bottom"/>
            <w:shd w:val="clear" w:color="auto" w:fill="CCEEFF"/>
          </w:tcPr>
          <w:p>
            <w:pPr>
              <w:spacing w:after="0"/>
              <w:rPr>
                <w:sz w:val="19"/>
                <w:szCs w:val="19"/>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56,063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58,917</w:t>
            </w:r>
          </w:p>
        </w:tc>
        <w:tc>
          <w:tcPr>
            <w:tcW w:w="2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8,664</w:t>
            </w:r>
          </w:p>
        </w:tc>
        <w:tc>
          <w:tcPr>
            <w:tcW w:w="20" w:type="dxa"/>
            <w:vAlign w:val="bottom"/>
          </w:tcPr>
          <w:p>
            <w:pPr>
              <w:spacing w:after="0"/>
              <w:rPr>
                <w:sz w:val="19"/>
                <w:szCs w:val="19"/>
                <w:color w:val="auto"/>
              </w:rPr>
            </w:pPr>
          </w:p>
        </w:tc>
      </w:tr>
      <w:tr>
        <w:trPr>
          <w:trHeight w:val="229"/>
        </w:trPr>
        <w:tc>
          <w:tcPr>
            <w:tcW w:w="120" w:type="dxa"/>
            <w:vAlign w:val="bottom"/>
            <w:shd w:val="clear" w:color="auto" w:fill="CCEEFF"/>
          </w:tcPr>
          <w:p>
            <w:pPr>
              <w:spacing w:after="0"/>
              <w:rPr>
                <w:sz w:val="19"/>
                <w:szCs w:val="19"/>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 and Systems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20" w:type="dxa"/>
            <w:vAlign w:val="bottom"/>
          </w:tcPr>
          <w:p>
            <w:pPr>
              <w:spacing w:after="0"/>
              <w:rPr>
                <w:sz w:val="19"/>
                <w:szCs w:val="19"/>
                <w:color w:val="auto"/>
              </w:rPr>
            </w:pPr>
          </w:p>
        </w:tc>
      </w:tr>
      <w:tr>
        <w:trPr>
          <w:trHeight w:val="230"/>
        </w:trPr>
        <w:tc>
          <w:tcPr>
            <w:tcW w:w="120" w:type="dxa"/>
            <w:vAlign w:val="bottom"/>
            <w:tcBorders>
              <w:bottom w:val="single" w:sz="8" w:color="CCEEFF"/>
            </w:tcBorders>
          </w:tcPr>
          <w:p>
            <w:pPr>
              <w:spacing w:after="0"/>
              <w:rPr>
                <w:sz w:val="19"/>
                <w:szCs w:val="19"/>
                <w:color w:val="auto"/>
              </w:rPr>
            </w:pPr>
          </w:p>
        </w:tc>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eliminations</w:t>
            </w:r>
          </w:p>
        </w:tc>
        <w:tc>
          <w:tcPr>
            <w:tcW w:w="98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9"/>
                <w:szCs w:val="19"/>
                <w:color w:val="auto"/>
              </w:rPr>
            </w:pPr>
          </w:p>
        </w:tc>
      </w:tr>
      <w:tr>
        <w:trPr>
          <w:trHeight w:val="248"/>
        </w:trPr>
        <w:tc>
          <w:tcPr>
            <w:tcW w:w="12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64,608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68,642</w:t>
            </w:r>
          </w:p>
        </w:tc>
        <w:tc>
          <w:tcPr>
            <w:tcW w:w="20" w:type="dxa"/>
            <w:vAlign w:val="bottom"/>
          </w:tcPr>
          <w:p>
            <w:pPr>
              <w:spacing w:after="0"/>
              <w:rPr>
                <w:sz w:val="21"/>
                <w:szCs w:val="21"/>
                <w:color w:val="auto"/>
              </w:rPr>
            </w:pP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1"/>
        </w:trPr>
        <w:tc>
          <w:tcPr>
            <w:tcW w:w="1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June 30, 2021</w:t>
            </w:r>
          </w:p>
        </w:tc>
        <w:tc>
          <w:tcPr>
            <w:tcW w:w="140" w:type="dxa"/>
            <w:vAlign w:val="bottom"/>
          </w:tcPr>
          <w:p>
            <w:pPr>
              <w:spacing w:after="0"/>
              <w:rPr>
                <w:sz w:val="24"/>
                <w:szCs w:val="24"/>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December 31, 2020</w:t>
            </w:r>
          </w:p>
        </w:tc>
      </w:tr>
      <w:tr>
        <w:trPr>
          <w:trHeight w:val="216"/>
        </w:trPr>
        <w:tc>
          <w:tcPr>
            <w:tcW w:w="49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assets</w:t>
            </w: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120" w:type="dxa"/>
            <w:vAlign w:val="bottom"/>
            <w:shd w:val="clear" w:color="auto" w:fill="CCEEFF"/>
          </w:tcPr>
          <w:p>
            <w:pPr>
              <w:spacing w:after="0"/>
              <w:rPr>
                <w:sz w:val="19"/>
                <w:szCs w:val="19"/>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431,829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427,636</w:t>
            </w:r>
          </w:p>
        </w:tc>
        <w:tc>
          <w:tcPr>
            <w:tcW w:w="2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119,412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129,228</w:t>
            </w:r>
          </w:p>
        </w:tc>
        <w:tc>
          <w:tcPr>
            <w:tcW w:w="20" w:type="dxa"/>
            <w:vAlign w:val="bottom"/>
          </w:tcPr>
          <w:p>
            <w:pPr>
              <w:spacing w:after="0"/>
              <w:rPr>
                <w:sz w:val="19"/>
                <w:szCs w:val="19"/>
                <w:color w:val="auto"/>
              </w:rPr>
            </w:pPr>
          </w:p>
        </w:tc>
      </w:tr>
      <w:tr>
        <w:trPr>
          <w:trHeight w:val="229"/>
        </w:trPr>
        <w:tc>
          <w:tcPr>
            <w:tcW w:w="120" w:type="dxa"/>
            <w:vAlign w:val="bottom"/>
            <w:shd w:val="clear" w:color="auto" w:fill="CCEEFF"/>
          </w:tcPr>
          <w:p>
            <w:pPr>
              <w:spacing w:after="0"/>
              <w:rPr>
                <w:sz w:val="19"/>
                <w:szCs w:val="19"/>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 and Systems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10,996</w:t>
            </w:r>
          </w:p>
        </w:tc>
        <w:tc>
          <w:tcPr>
            <w:tcW w:w="20" w:type="dxa"/>
            <w:vAlign w:val="bottom"/>
          </w:tcPr>
          <w:p>
            <w:pPr>
              <w:spacing w:after="0"/>
              <w:rPr>
                <w:sz w:val="19"/>
                <w:szCs w:val="19"/>
                <w:color w:val="auto"/>
              </w:rPr>
            </w:pPr>
          </w:p>
        </w:tc>
      </w:tr>
      <w:tr>
        <w:trPr>
          <w:trHeight w:val="230"/>
        </w:trPr>
        <w:tc>
          <w:tcPr>
            <w:tcW w:w="120" w:type="dxa"/>
            <w:vAlign w:val="bottom"/>
            <w:tcBorders>
              <w:bottom w:val="single" w:sz="8" w:color="CCEEFF"/>
            </w:tcBorders>
          </w:tcPr>
          <w:p>
            <w:pPr>
              <w:spacing w:after="0"/>
              <w:rPr>
                <w:sz w:val="19"/>
                <w:szCs w:val="19"/>
                <w:color w:val="auto"/>
              </w:rPr>
            </w:pPr>
          </w:p>
        </w:tc>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eliminations</w:t>
            </w:r>
          </w:p>
        </w:tc>
        <w:tc>
          <w:tcPr>
            <w:tcW w:w="98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24,504</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15,453</w:t>
            </w:r>
          </w:p>
        </w:tc>
        <w:tc>
          <w:tcPr>
            <w:tcW w:w="20" w:type="dxa"/>
            <w:vAlign w:val="bottom"/>
          </w:tcPr>
          <w:p>
            <w:pPr>
              <w:spacing w:after="0"/>
              <w:rPr>
                <w:sz w:val="19"/>
                <w:szCs w:val="19"/>
                <w:color w:val="auto"/>
              </w:rPr>
            </w:pPr>
          </w:p>
        </w:tc>
      </w:tr>
      <w:tr>
        <w:trPr>
          <w:trHeight w:val="248"/>
        </w:trPr>
        <w:tc>
          <w:tcPr>
            <w:tcW w:w="12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587,381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583,313</w:t>
            </w:r>
          </w:p>
        </w:tc>
        <w:tc>
          <w:tcPr>
            <w:tcW w:w="20" w:type="dxa"/>
            <w:vAlign w:val="bottom"/>
          </w:tcPr>
          <w:p>
            <w:pPr>
              <w:spacing w:after="0"/>
              <w:rPr>
                <w:sz w:val="21"/>
                <w:szCs w:val="21"/>
                <w:color w:val="auto"/>
              </w:rPr>
            </w:pP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Refer to Note 2</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Revenue</w:t>
      </w:r>
      <w:r>
        <w:rPr>
          <w:rFonts w:ascii="Arial" w:cs="Arial" w:eastAsia="Arial" w:hAnsi="Arial"/>
          <w:sz w:val="18"/>
          <w:szCs w:val="18"/>
          <w:i w:val="1"/>
          <w:iCs w:val="1"/>
          <w:color w:val="auto"/>
        </w:rPr>
        <w:t>,</w:t>
      </w:r>
      <w:r>
        <w:rPr>
          <w:rFonts w:ascii="Arial" w:cs="Arial" w:eastAsia="Arial" w:hAnsi="Arial"/>
          <w:sz w:val="18"/>
          <w:szCs w:val="18"/>
          <w:color w:val="auto"/>
        </w:rPr>
        <w:t xml:space="preserve"> for revenue by geographic area for the three and six months ended June 30,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27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following Management’s Discussion and Analysis (“MD&amp;A”) provides a discussion of our results of operations and financial position for the three and six months ended June 30, 2021 and 2020. The MD&amp;A should be read together with our Unaudited Condensed Consolidated Financial Statements and related notes included in Item 1 in this Quarterly Report on Form 10-Q and our audited consolidated financial statements and related notes included in our Annual Report on Form 10-K for the year ended December 31, 2020, filed with the Securities and Exchange Commission on March 16, 2021 (“2020 Annual Report”). Unless otherwise specified or the context otherwise requires, “Mistras,” “the Company,” “we,” “us” and “our” refer to Mistras Group, Inc. and its consolidated subsidiaries. The MD&amp;A includes the following sections:</w:t>
      </w:r>
    </w:p>
    <w:p>
      <w:pPr>
        <w:spacing w:after="0" w:line="17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Overview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Note about Non-GAAP Measures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Consolidated Results of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This report on Form 10-Q contains “forward-looking statements” within the meaning of Section 27A of the Securities Act of 1933, and Section 21E of the Securities Exchange Act of 1934 (“Exchange Act”).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spacing w:after="0" w:line="17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some cases, you can identify forward-looking statements by terminology, such as “goals,” or “expects,” “anticipates,” “intends,” “plans,” “believes,” “seeks,” “estimates,” “may,” “could,” “should,” “would,” “predicts,” “appears,” “projects,” or the negative of such terms or other similar expressions. You are urged not to place undue reliance on any such forward-looking statements, any of which may turn out to be wrong due to inaccurate assumptions, various risks, uncertainties or other factors known and unknown. Factors that could cause or contribute to differences in results and outcomes from those in our forward-looking statements include, without limitation, those discussed in the “Business—Forward-Looking Statements,” and “Risk Factors” sections of our 2020 Annual Report as well as those discussed in this Quarterly Report on Form 10-Q and in our other filings with the SEC.</w:t>
      </w:r>
    </w:p>
    <w:p>
      <w:pPr>
        <w:spacing w:after="0" w:line="178"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At the time of this report, the COVID-19 pandemic is continuing to have a negative impact on us and our key markets and is causing ongoing economic disruption worldwide, although the Company has nevertheless begun approaching pre-pandemic levels of activity in certain end markets, particularly oil and gas. Our discussion below is qualified by the unknown impact that the COVID-19 pandemic will continue to have on our business and the economy in general, including the duration of the health risk the COVID-19 pandemic will cause and the resulting economic disruption.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is a leading “one source” multinational provider of integrated technology-enabled asset protection solutions helping to maximize the safety and operational uptime for civilization's most critical industrial and civil assets.</w:t>
      </w:r>
    </w:p>
    <w:p>
      <w:pPr>
        <w:spacing w:after="0" w:line="19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Backed by an innovative, data-driven asset protection portfolio, proprietary technologies, and decades-long legacy of industry leadership, the Company helps clients with asset-intensive infrastructure in the oil and gas, aerospace and defense, industrials, power generation and transmission (including alternative and renewable energy), other process industries and infrastructure, research and engineering and other industries towards achieving and maintaining operational excellence. By supporting these organizations that help fuel our vehicles and power our society; inspecting components that are trusted for commercial, defense, and space craft; and building real-time monitoring equipment to enable safe travel across bridges, the Company helps the world at large.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267"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The Company enhances value for its clients by integrating asset protection throughout supply chains and centralizing integrity data through a suite of Industrial IoT-connected digital software and monitoring solutions, including OneSuite™, which serves as an ecosystem platform, pulling together all of the Company’s software and data services capabilities, for the benefit of its customers.</w:t>
      </w:r>
    </w:p>
    <w:p>
      <w:pPr>
        <w:spacing w:after="0" w:line="21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Company's core capabilities also include non-destructive testing (“NDT”) field inspections enhanced by advanced robotics, laboratory quality control and assurance testing, sensing technologies and NDT equipment, asset and mechanical integrity engineering services, and light mechanical maintenance and access services.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consist of three reportable segments: Services, International, and Products and Systems.</w:t>
      </w:r>
    </w:p>
    <w:p>
      <w:pPr>
        <w:spacing w:after="0" w:line="63" w:lineRule="exact"/>
        <w:rPr>
          <w:sz w:val="20"/>
          <w:szCs w:val="20"/>
          <w:color w:val="auto"/>
        </w:rPr>
      </w:pPr>
    </w:p>
    <w:p>
      <w:pPr>
        <w:ind w:left="660" w:right="420" w:hanging="328"/>
        <w:spacing w:after="0" w:line="24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provides asset protection solutions predominantly in North America, with the largest concentration in the United States, followed by</w:t>
      </w:r>
      <w:r>
        <w:rPr>
          <w:rFonts w:ascii="Arial" w:cs="Arial" w:eastAsia="Arial" w:hAnsi="Arial"/>
          <w:sz w:val="18"/>
          <w:szCs w:val="18"/>
          <w:i w:val="1"/>
          <w:iCs w:val="1"/>
          <w:color w:val="auto"/>
        </w:rPr>
        <w:t xml:space="preserve"> </w:t>
      </w:r>
      <w:r>
        <w:rPr>
          <w:rFonts w:ascii="Arial" w:cs="Arial" w:eastAsia="Arial" w:hAnsi="Arial"/>
          <w:sz w:val="18"/>
          <w:szCs w:val="18"/>
          <w:color w:val="auto"/>
        </w:rPr>
        <w:t>Canada, consisting primarily of NDT, inspection, mechanical and engineering services that are used to evaluate the structural integrity and reliability of critical energy, industrial and public infrastructure and commercial aerospace components. PCMS software and pipeline related software and data analysis solutions are included in this segment.</w:t>
      </w:r>
    </w:p>
    <w:p>
      <w:pPr>
        <w:spacing w:after="0" w:line="25" w:lineRule="exact"/>
        <w:rPr>
          <w:rFonts w:ascii="Arial" w:cs="Arial" w:eastAsia="Arial" w:hAnsi="Arial"/>
          <w:sz w:val="18"/>
          <w:szCs w:val="18"/>
          <w:color w:val="auto"/>
        </w:rPr>
      </w:pPr>
    </w:p>
    <w:p>
      <w:pPr>
        <w:ind w:left="660" w:right="40" w:hanging="328"/>
        <w:spacing w:after="0" w:line="298" w:lineRule="auto"/>
        <w:tabs>
          <w:tab w:leader="none" w:pos="65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International </w:t>
      </w:r>
      <w:r>
        <w:rPr>
          <w:rFonts w:ascii="Arial" w:cs="Arial" w:eastAsia="Arial" w:hAnsi="Arial"/>
          <w:sz w:val="17"/>
          <w:szCs w:val="17"/>
          <w:color w:val="auto"/>
        </w:rPr>
        <w:t>offers services, products and systems similar to those of the other segments to select markets within Europe, the Middle East, Africa,</w:t>
      </w:r>
      <w:r>
        <w:rPr>
          <w:rFonts w:ascii="Arial" w:cs="Arial" w:eastAsia="Arial" w:hAnsi="Arial"/>
          <w:sz w:val="17"/>
          <w:szCs w:val="17"/>
          <w:i w:val="1"/>
          <w:iCs w:val="1"/>
          <w:color w:val="auto"/>
        </w:rPr>
        <w:t xml:space="preserve"> </w:t>
      </w:r>
      <w:r>
        <w:rPr>
          <w:rFonts w:ascii="Arial" w:cs="Arial" w:eastAsia="Arial" w:hAnsi="Arial"/>
          <w:sz w:val="17"/>
          <w:szCs w:val="17"/>
          <w:color w:val="auto"/>
        </w:rPr>
        <w:t>Asia and South America, but not to customers in China and South Korea, which are served by the Products and Systems segment.</w:t>
      </w:r>
    </w:p>
    <w:p>
      <w:pPr>
        <w:ind w:left="660" w:right="78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designs, manufactures, sells, installs and services the Company’s asset protection products and systems,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and instrumentation, predominantly in the United States.</w:t>
      </w:r>
    </w:p>
    <w:p>
      <w:pPr>
        <w:spacing w:after="0" w:line="19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Given the role our solutions play in enhancing the safe and efficient operation of infrastructure, we have historically provided a majority of our solutions to our customers on a regular, recurring basis. We perform these services largely at our customers’ facilities, while primarily servicing our aerospace customers at our network of state-of-the-art, in-house laboratories. These solutions typically include NDT and inspection services, and can also include a wide range of mechanical services, including heat tracing, pre-inspection insulation stripping, coating applications, re-insulation, engineering assessments and long-term condition-monitoring. Under this business model, many customers outsource their inspection to us on a “run and maintain” basis. We have established long-term relationships as a critical solutions provider to many of the leading companies with asset-intensive infrastructure in our target markets. These markets include companies in the oil and gas, aerospace and defense, industrials, power generation and transmission (including alternative and renewable energy), other process industries and infrastructure, research and engineering and other industries.</w:t>
      </w:r>
    </w:p>
    <w:p>
      <w:pPr>
        <w:spacing w:after="0" w:line="192"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We have focused on providing our advanced asset protection solutions to our customers using proprietary, technology-enabled software and testing instruments, including those developed by our Products and Systems segment. We have made numerous acquisitions in an effort to grow our base of experienced, certified personnel, expand our service lines and technical capabilities, increase our geographical reach, complement our existing offerings, and leverage our fixed costs. We have increased our capabilities and the size of our customer base through the development of applied technologies and managed support services, organic growth and the integration of acquired companies. These acquisitions have provided us with additional service lines, technologies, resources and customers which we believe will enhance our advantages over our competition.</w:t>
      </w:r>
    </w:p>
    <w:p>
      <w:pPr>
        <w:spacing w:after="0" w:line="19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believe long-term growth can be realized in all of our target markets. Our level of business and financial results are impacted by world-wide macro- and micro-economic conditions generally, as well as those within our target markets. Among other things, we expect the timing of our oil and gas customers inspection spend to be impacted by oil price fluctuations.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COVID-19 pandemic has caused significant volatility in domestic and international markets and is expected to continue to result in ongoing economic disruption.</w:t>
      </w:r>
    </w:p>
    <w:p>
      <w:pPr>
        <w:spacing w:after="0" w:line="19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businesses have been classified as non-healthcare critical infrastructure as defined by the U.S. Centers for Disease Control and Prevention (CDC). As a result, a majority of our customers have been and currently remain open for business. Our North American facilities have remained, and currently remain operating, with modified staffing in certain locations where appropriate. Similarly, our European facilities have remained, and currently remain operating, with modified staffing in certain locations where appropriate, but at a slower pace than North America.</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2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Overall, we have taken actions to help ensure the health and safety of our employees and those of our customers and suppliers; maintain business continuity and financial strength and stability; and serve our customers as they provide essential products and services to the world.</w:t>
      </w:r>
    </w:p>
    <w:p>
      <w:pPr>
        <w:spacing w:after="0" w:line="184"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The COVID-19 pandemic uncertainty, significant volatility in oil prices and decreased traffic in the aerospace industry have adversely affected our workforce and operations, as well as the operations of our customers, suppliers and contractors beginning in 2020. These negative factors continue to cause volatility and uncertainty in the markets in which we operate, although we have nevertheless begun approaching pre-pandemic levels of activity in certain end markets, particularly oil and gas.</w:t>
      </w:r>
    </w:p>
    <w:p>
      <w:pPr>
        <w:spacing w:after="0" w:line="216"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While we cannot fully assess the impact that the COVID-19 pandemic or the significant volatility in oil prices will continue to have on our operations at this time, there are certain impacts that we have identified resulting in impairment charges in 2020. See Note 8-</w:t>
      </w:r>
      <w:r>
        <w:rPr>
          <w:rFonts w:ascii="Arial" w:cs="Arial" w:eastAsia="Arial" w:hAnsi="Arial"/>
          <w:sz w:val="16"/>
          <w:szCs w:val="16"/>
          <w:b w:val="1"/>
          <w:bCs w:val="1"/>
          <w:i w:val="1"/>
          <w:iCs w:val="1"/>
          <w:color w:val="auto"/>
        </w:rPr>
        <w:t>Goodwill,</w:t>
      </w:r>
      <w:r>
        <w:rPr>
          <w:rFonts w:ascii="Arial" w:cs="Arial" w:eastAsia="Arial" w:hAnsi="Arial"/>
          <w:sz w:val="16"/>
          <w:szCs w:val="16"/>
          <w:color w:val="auto"/>
        </w:rPr>
        <w:t xml:space="preserve"> Note 9-</w:t>
      </w:r>
      <w:r>
        <w:rPr>
          <w:rFonts w:ascii="Arial" w:cs="Arial" w:eastAsia="Arial" w:hAnsi="Arial"/>
          <w:sz w:val="16"/>
          <w:szCs w:val="16"/>
          <w:b w:val="1"/>
          <w:bCs w:val="1"/>
          <w:i w:val="1"/>
          <w:iCs w:val="1"/>
          <w:color w:val="auto"/>
        </w:rPr>
        <w:t>Intangible Assets</w:t>
      </w:r>
      <w:r>
        <w:rPr>
          <w:rFonts w:ascii="Arial" w:cs="Arial" w:eastAsia="Arial" w:hAnsi="Arial"/>
          <w:sz w:val="16"/>
          <w:szCs w:val="16"/>
          <w:color w:val="auto"/>
        </w:rPr>
        <w:t xml:space="preserve"> and Note 13-</w:t>
      </w:r>
      <w:r>
        <w:rPr>
          <w:rFonts w:ascii="Arial" w:cs="Arial" w:eastAsia="Arial" w:hAnsi="Arial"/>
          <w:sz w:val="16"/>
          <w:szCs w:val="16"/>
          <w:b w:val="1"/>
          <w:bCs w:val="1"/>
          <w:i w:val="1"/>
          <w:iCs w:val="1"/>
          <w:color w:val="auto"/>
        </w:rPr>
        <w:t>Leases</w:t>
      </w:r>
      <w:r>
        <w:rPr>
          <w:rFonts w:ascii="Arial" w:cs="Arial" w:eastAsia="Arial" w:hAnsi="Arial"/>
          <w:sz w:val="16"/>
          <w:szCs w:val="16"/>
          <w:color w:val="auto"/>
        </w:rPr>
        <w:t xml:space="preserve"> to the Notes to the Unaudited Condensed Consolidated Financial Statements included in this Quarterly Report for additional information.</w:t>
      </w:r>
    </w:p>
    <w:p>
      <w:pPr>
        <w:spacing w:after="0" w:line="216" w:lineRule="exact"/>
        <w:rPr>
          <w:sz w:val="20"/>
          <w:szCs w:val="20"/>
          <w:color w:val="auto"/>
        </w:rPr>
      </w:pPr>
    </w:p>
    <w:p>
      <w:pPr>
        <w:ind w:right="200"/>
        <w:spacing w:after="0" w:line="231" w:lineRule="auto"/>
        <w:rPr>
          <w:sz w:val="20"/>
          <w:szCs w:val="20"/>
          <w:color w:val="auto"/>
        </w:rPr>
      </w:pPr>
      <w:r>
        <w:rPr>
          <w:rFonts w:ascii="Arial" w:cs="Arial" w:eastAsia="Arial" w:hAnsi="Arial"/>
          <w:sz w:val="18"/>
          <w:szCs w:val="18"/>
          <w:color w:val="auto"/>
        </w:rPr>
        <w:t>To respond to the economic downturn resulting from the factors discussed above, we initiated a temporary cost reduction and efficiency program in April 2020. The Company has reinstated substantially all of the temporary cost reduction initiatives undertaken in 2020, although, the Company continues to manage and evaluate these actions in response to the ongoing impact of the COVID-19 pandemic. Our cash position and liquidity remains strong. As of June 30, 2021, the cash balance was approximately $19.9 million.</w:t>
      </w:r>
    </w:p>
    <w:p>
      <w:pPr>
        <w:spacing w:after="0" w:line="202"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In April 2021, the Biden Administration announced aggressive initiatives to battle climate change, which includes a significant reduction in the use of fossil fuels and a transition to electric vehicles and increased use of alternative energy. Any legislation or regulations that may be adopted to implement these measures may negatively impact on our customers in the oil and gas market over the long-term, which presently is our largest market, although this initiative will likely benefit the alternative energy market, such as wind energy, for which we provide products and services. At this time, it is difficult to determine the magnitude and timing of the impact that climate change initiatives and legislation, if any, will have on these markets and the resulting impact on our business and operational results.</w:t>
      </w:r>
    </w:p>
    <w:p>
      <w:pPr>
        <w:spacing w:after="0" w:line="202"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We are currently unable to predict the overall impact that the COVID-19 pandemic uncertainty, volatility in oil prices and climate change initiatives to reduce the use of fossil fuels may have on our business, results of operations, liquidity or in other ways which we cannot yet determine. We will continue to monitor market conditions and respond accordingly. Refer to Item 1A. Risk Factors in Part I of our 2020 Annual Report.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About Non-GAAP Measures</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Company prepares its consolidated financial statements in accordance with U.S. GAAP. In this MD&amp;A under the heading "Income (loss) from Operations", the non-GAAP financial performance measure "Income (loss) before special items” is used for each of our three operating segments, the Corporate segment and the "Total Company", with tables reconciling the measure to a financial measure under GAAP. This presentation excludes from "Income (loss) from Operations" (a) transaction expenses related to acquisitions, such as professional fees and due diligence costs, (b) the net changes in the fair value of acquisition-related contingent consideration liabilities, (c) impairment charges, (d) reorganization and other costs, which includes items such as severance, labor relations matters and asset and lease termination costs and (e) other special items. These adjustments have been excluded from the GAAP measure because these expenses and credits are not related to our or any individual segment's core business operations. The acquisition related costs and special items can be a net expense or credit in any given period. Our management uses this non-GAAP measure as a measure of operating performance and liquidity to assist in comparing performance from period to period on a consistent basis, as a measure for planning and forecasting overall expectations and for evaluating actual results against such expectations. We believe investors and other users of our financial statements benefit from the presentation of this non-GAAP measure in evaluating our performance. Income (loss) before special items excludes the identified adjustments, which provides additional tools to compare our core business operating performance on a consistent basis and measure underlying trends and results in our business. Income (loss) before special items is not used to determine incentive compensation for executives or employees, nor is it a replacement for the reported GAAP financial performance and/or necessarily comparable to the non-GAAP financial measures of other companies.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results of operations for the three and six months ended June 30, 2021 and 2020 were as follows:</w:t>
      </w:r>
    </w:p>
    <w:p>
      <w:pPr>
        <w:spacing w:after="0" w:line="41"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44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r>
      <w:tr>
        <w:trPr>
          <w:trHeight w:val="224"/>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177,677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124,435</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331,412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283,900</w:t>
            </w: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38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55,336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41,158</w:t>
            </w:r>
          </w:p>
        </w:tc>
        <w:tc>
          <w:tcPr>
            <w:tcW w:w="38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95,337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81,802</w:t>
            </w:r>
          </w:p>
        </w:tc>
      </w:tr>
      <w:tr>
        <w:trPr>
          <w:trHeight w:val="229"/>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Gross profit as a % of Revenue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31.1 %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33.1 %</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28.8 %</w:t>
            </w: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Income (loss) from operations</w:t>
            </w:r>
          </w:p>
        </w:tc>
        <w:tc>
          <w:tcPr>
            <w:tcW w:w="38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11,374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(383)</w:t>
            </w:r>
          </w:p>
        </w:tc>
        <w:tc>
          <w:tcPr>
            <w:tcW w:w="38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6,628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(111,611)</w:t>
            </w:r>
          </w:p>
        </w:tc>
      </w:tr>
      <w:tr>
        <w:trPr>
          <w:trHeight w:val="229"/>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Income (Loss) from Operations as a % of Revenue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6.4 %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(0.3)%</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w w:val="91"/>
              </w:rPr>
              <w:t>Income (loss) before provision (benefit) for income taxes</w:t>
            </w:r>
          </w:p>
        </w:tc>
        <w:tc>
          <w:tcPr>
            <w:tcW w:w="38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8,219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(3,359)</w:t>
            </w:r>
          </w:p>
        </w:tc>
        <w:tc>
          <w:tcPr>
            <w:tcW w:w="38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(117,376)</w:t>
            </w:r>
          </w:p>
        </w:tc>
      </w:tr>
      <w:tr>
        <w:trPr>
          <w:trHeight w:val="23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5,945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(2,665)</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(101,187)</w:t>
            </w:r>
          </w:p>
        </w:tc>
      </w:tr>
      <w:tr>
        <w:trPr>
          <w:trHeight w:val="234"/>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Net income (loss) attributable to Mistras Group, Inc.</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5,937</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(2,656)</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(101,165)</w:t>
            </w:r>
          </w:p>
        </w:tc>
      </w:tr>
    </w:tbl>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Revenue was $177.7 million for the three months ended June 30, 2021, an increase of $53.2 million, or 42.8%, compared with the three months ended June 30, 2020. Revenue for the six months ended June 30, 2021 was $331.4 million, an increase of $47.5 million, or 16.7%, compared with the six months ended June 30,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Revenue by segment for the three and six months ended June 30, 2021 and 2020 was as follows:</w:t>
      </w:r>
    </w:p>
    <w:p>
      <w:pPr>
        <w:spacing w:after="0" w:line="41"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Six months ended June 30,</w:t>
            </w:r>
          </w:p>
        </w:tc>
      </w:tr>
      <w:tr>
        <w:trPr>
          <w:trHeight w:val="186"/>
        </w:trPr>
        <w:tc>
          <w:tcPr>
            <w:tcW w:w="48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12"/>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100,677</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229,550</w:t>
            </w:r>
          </w:p>
        </w:tc>
      </w:tr>
      <w:tr>
        <w:trPr>
          <w:trHeight w:val="229"/>
        </w:trPr>
        <w:tc>
          <w:tcPr>
            <w:tcW w:w="480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31,951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21,343</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59,599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50,410</w:t>
            </w:r>
          </w:p>
        </w:tc>
      </w:tr>
      <w:tr>
        <w:trPr>
          <w:trHeight w:val="230"/>
        </w:trPr>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Products and Systems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4,002</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6,814</w:t>
            </w:r>
          </w:p>
        </w:tc>
      </w:tr>
      <w:tr>
        <w:trPr>
          <w:trHeight w:val="230"/>
        </w:trPr>
        <w:tc>
          <w:tcPr>
            <w:tcW w:w="4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eliminations</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(2,874)</w:t>
            </w:r>
          </w:p>
        </w:tc>
      </w:tr>
      <w:tr>
        <w:trPr>
          <w:trHeight w:val="248"/>
        </w:trPr>
        <w:tc>
          <w:tcPr>
            <w:tcW w:w="4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124,435</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331,412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283,900</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39"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In the three months ended June 30, 2021, total revenue increased 42.8% versus the comparable prior period. The increase was due predominantly to organic growth. Specifically, the Company has been recovering from the effect of COVID-19 which was more impactful to our financial results in 2020. In addition, the Company realized low single-digit favorable revenue impact from foreign exchange rates. Services segment revenue increased 44.0% and International segment revenue increased 49.7%, both due predominantly to similar organic growth in addition to single-digit favorable revenue impact from foreign exchange rates.</w:t>
      </w:r>
    </w:p>
    <w:p>
      <w:pPr>
        <w:spacing w:after="0" w:line="218"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Oil and gas customer revenue comprised approximately 57% and 54% of total revenue for the three months ended June 30, 2021 and 2020, respectively. Aerospace and defense customer revenue comprised approximately 10% and 14% of total revenue for the three months ended June 30, 2021 and 2020, respectively. The Company’s top ten customers comprised approximately 35% of total revenue for the three months ended June 30, 2021, as compared to 29% for the three months ended June 30, 2020, with no customer accounting for 10% or more of total revenue in either three-month period. For the three months ended June 30, 2021, revenue in all our primary end market industries increased versus the comparable prior period, except for aerospace and defense which was flat, although aerospace and defense was up year-over year in the International segment.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267"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color w:val="auto"/>
        </w:rPr>
        <w:t>In the six months ended June 30, 2021, total revenue increased 16.7% versus the comparable prior period. The increase was due predominantly to organic growth. Specifically, the Company has been recovering from the effect of COVID-19 which was more impactful to our financial results in 2020. In addition, the Company realized low single-digit favorable revenue impact from foreign exchange rates. Services segment revenue increased 17.3% due predominantly to similar organic growth. International segment revenue increased 18.3% due to high-single digit organic growth and high-single digit favorable impact of foreign exchange rates.</w:t>
      </w:r>
    </w:p>
    <w:p>
      <w:pPr>
        <w:spacing w:after="0" w:line="21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Oil and gas customer revenue comprised approximately 59% and 56% of total revenue for the six months ended June 30, 2021 and 2020, respectively. Aerospace and defense customer revenue comprised approximately 10% and 14% of total revenue for the six months ended June 30, 2021 and 2020, respectively. The Company’s top ten customers comprised approximately 35% of total revenue for the six months ended June 30, 2021, as compared to 31% for the six months ended June 30, 2020, with no customer accounting for 10% or more of total revenue in either six-month period. For the six months ended June 30, 2021 revenue in all our primary end market industries increased versus the comparable prior period, except for aerospace and defense and industrial.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5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Gross profit increased by $14.2 million, or 34.4%, in the three months ended June 30, 2021 versus the prior year comparable period, on an increase in revenue of 42.7%.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Gross profit increased by $13.5 million, or 16.5%, in the six months ended June 30, 2021 on a increase in revenue of 16.7%.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Gross profit by segment for the three and six months ended June 30, 2021 and 2020 was as follows:</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Six months ended June 30,</w:t>
            </w:r>
          </w:p>
        </w:tc>
      </w:tr>
      <w:tr>
        <w:trPr>
          <w:trHeight w:val="186"/>
        </w:trPr>
        <w:tc>
          <w:tcPr>
            <w:tcW w:w="44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r>
      <w:tr>
        <w:trPr>
          <w:trHeight w:val="212"/>
        </w:trPr>
        <w:tc>
          <w:tcPr>
            <w:tcW w:w="4440" w:type="dxa"/>
            <w:vAlign w:val="bottom"/>
          </w:tcPr>
          <w:p>
            <w:pPr>
              <w:ind w:left="40"/>
              <w:spacing w:after="0"/>
              <w:rPr>
                <w:sz w:val="20"/>
                <w:szCs w:val="20"/>
                <w:color w:val="auto"/>
              </w:rPr>
            </w:pPr>
            <w:r>
              <w:rPr>
                <w:rFonts w:ascii="Arial" w:cs="Arial" w:eastAsia="Arial" w:hAnsi="Arial"/>
                <w:sz w:val="18"/>
                <w:szCs w:val="18"/>
                <w:b w:val="1"/>
                <w:bCs w:val="1"/>
                <w:color w:val="auto"/>
              </w:rPr>
              <w:t>Gross profit</w:t>
            </w: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43,761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33,940</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74,837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66,177</w:t>
            </w:r>
          </w:p>
        </w:tc>
      </w:tr>
      <w:tr>
        <w:trPr>
          <w:trHeight w:val="230"/>
        </w:trPr>
        <w:tc>
          <w:tcPr>
            <w:tcW w:w="4440" w:type="dxa"/>
            <w:vAlign w:val="bottom"/>
          </w:tcPr>
          <w:p>
            <w:pPr>
              <w:ind w:left="280"/>
              <w:spacing w:after="0"/>
              <w:rPr>
                <w:sz w:val="20"/>
                <w:szCs w:val="20"/>
                <w:color w:val="auto"/>
              </w:rPr>
            </w:pPr>
            <w:r>
              <w:rPr>
                <w:rFonts w:ascii="Arial" w:cs="Arial" w:eastAsia="Arial" w:hAnsi="Arial"/>
                <w:sz w:val="18"/>
                <w:szCs w:val="18"/>
                <w:i w:val="1"/>
                <w:iCs w:val="1"/>
                <w:color w:val="auto"/>
              </w:rPr>
              <w:t>% of segment revenue</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30.2 %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33.7 %</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27.8 %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28.8 %</w:t>
            </w:r>
          </w:p>
        </w:tc>
      </w:tr>
      <w:tr>
        <w:trPr>
          <w:trHeight w:val="229"/>
        </w:trPr>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9,615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5,392</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17,240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13,415</w:t>
            </w:r>
          </w:p>
        </w:tc>
      </w:tr>
      <w:tr>
        <w:trPr>
          <w:trHeight w:val="230"/>
        </w:trPr>
        <w:tc>
          <w:tcPr>
            <w:tcW w:w="4440" w:type="dxa"/>
            <w:vAlign w:val="bottom"/>
          </w:tcPr>
          <w:p>
            <w:pPr>
              <w:ind w:left="280"/>
              <w:spacing w:after="0"/>
              <w:rPr>
                <w:sz w:val="20"/>
                <w:szCs w:val="20"/>
                <w:color w:val="auto"/>
              </w:rPr>
            </w:pPr>
            <w:r>
              <w:rPr>
                <w:rFonts w:ascii="Arial" w:cs="Arial" w:eastAsia="Arial" w:hAnsi="Arial"/>
                <w:sz w:val="18"/>
                <w:szCs w:val="18"/>
                <w:i w:val="1"/>
                <w:iCs w:val="1"/>
                <w:color w:val="auto"/>
              </w:rPr>
              <w:t>% of segment revenue</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30.1 %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25.3 %</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28.9 %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26.6 %</w:t>
            </w:r>
          </w:p>
        </w:tc>
      </w:tr>
      <w:tr>
        <w:trPr>
          <w:trHeight w:val="230"/>
        </w:trPr>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Products and Systems</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1,952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1,838</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3,233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2,206</w:t>
            </w:r>
          </w:p>
        </w:tc>
      </w:tr>
      <w:tr>
        <w:trPr>
          <w:trHeight w:val="230"/>
        </w:trPr>
        <w:tc>
          <w:tcPr>
            <w:tcW w:w="4440" w:type="dxa"/>
            <w:vAlign w:val="bottom"/>
          </w:tcPr>
          <w:p>
            <w:pPr>
              <w:ind w:left="280"/>
              <w:spacing w:after="0"/>
              <w:rPr>
                <w:sz w:val="20"/>
                <w:szCs w:val="20"/>
                <w:color w:val="auto"/>
              </w:rPr>
            </w:pPr>
            <w:r>
              <w:rPr>
                <w:rFonts w:ascii="Arial" w:cs="Arial" w:eastAsia="Arial" w:hAnsi="Arial"/>
                <w:sz w:val="18"/>
                <w:szCs w:val="18"/>
                <w:i w:val="1"/>
                <w:iCs w:val="1"/>
                <w:color w:val="auto"/>
              </w:rPr>
              <w:t>% of segment revenue</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60.9 %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45.9 %</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52.2 %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32.4 %</w:t>
            </w:r>
          </w:p>
        </w:tc>
      </w:tr>
      <w:tr>
        <w:trPr>
          <w:trHeight w:val="229"/>
        </w:trPr>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and eliminations</w:t>
            </w: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(12)</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w:t>
            </w:r>
          </w:p>
        </w:tc>
      </w:tr>
      <w:tr>
        <w:trPr>
          <w:trHeight w:val="223"/>
        </w:trPr>
        <w:tc>
          <w:tcPr>
            <w:tcW w:w="444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55,336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41,158</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95,337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81,802</w:t>
            </w: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4440" w:type="dxa"/>
            <w:vAlign w:val="bottom"/>
            <w:shd w:val="clear" w:color="auto" w:fill="CCEEFF"/>
          </w:tcPr>
          <w:p>
            <w:pPr>
              <w:ind w:left="280"/>
              <w:spacing w:after="0"/>
              <w:rPr>
                <w:sz w:val="20"/>
                <w:szCs w:val="20"/>
                <w:color w:val="auto"/>
              </w:rPr>
            </w:pPr>
            <w:r>
              <w:rPr>
                <w:rFonts w:ascii="Arial" w:cs="Arial" w:eastAsia="Arial" w:hAnsi="Arial"/>
                <w:sz w:val="18"/>
                <w:szCs w:val="18"/>
                <w:i w:val="1"/>
                <w:iCs w:val="1"/>
                <w:color w:val="auto"/>
              </w:rPr>
              <w:t>% of total revenue</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31.1 %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33.1 %</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28.8 %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28.8 %</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39"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Gross profit margin was 31.1% and 33.1% for the three-month periods ended June 30, 2021 and 2020, respectively. Gross profit margin decreased primarily due to unfavorable sales mix and higher level of reimbursable travel costs in the Services segment partially offset by favorable sales mix and better utilization in the International and Products and Systems segments.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w:t>
      </w:r>
    </w:p>
    <w:p>
      <w:pPr>
        <w:spacing w:after="0" w:line="239"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color w:val="auto"/>
        </w:rPr>
        <w:t>Gross profit margin was 28.8% and 28.8% for the six-month periods ended June 30, 2021 and 2020, respectively. Gross profit margin remained flat primarily due to unfavorable sales mix and higher level of reimbursable travel costs in the Services segment offset by favorable sales mix and better utilization in the International and Products and Systems segments.</w:t>
      </w:r>
    </w:p>
    <w:p>
      <w:pPr>
        <w:spacing w:after="0" w:line="200" w:lineRule="exact"/>
        <w:rPr>
          <w:sz w:val="20"/>
          <w:szCs w:val="20"/>
          <w:color w:val="auto"/>
        </w:rPr>
      </w:pPr>
    </w:p>
    <w:p>
      <w:pPr>
        <w:spacing w:after="0" w:line="3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for the three and six months ended June 30, 2021 and 2020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2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right"/>
              <w:ind w:right="673"/>
              <w:spacing w:after="0"/>
              <w:rPr>
                <w:sz w:val="20"/>
                <w:szCs w:val="20"/>
                <w:color w:val="auto"/>
              </w:rPr>
            </w:pPr>
            <w:r>
              <w:rPr>
                <w:rFonts w:ascii="Arial" w:cs="Arial" w:eastAsia="Arial" w:hAnsi="Arial"/>
                <w:sz w:val="14"/>
                <w:szCs w:val="14"/>
                <w:b w:val="1"/>
                <w:bCs w:val="1"/>
                <w:color w:val="auto"/>
              </w:rPr>
              <w:t>Six months ended June 30,</w:t>
            </w:r>
          </w:p>
        </w:tc>
      </w:tr>
      <w:tr>
        <w:trPr>
          <w:trHeight w:val="186"/>
        </w:trPr>
        <w:tc>
          <w:tcPr>
            <w:tcW w:w="482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428"/>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39,719</w:t>
            </w:r>
          </w:p>
        </w:tc>
        <w:tc>
          <w:tcPr>
            <w:tcW w:w="100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37,607</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79,358</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79,165</w:t>
            </w:r>
          </w:p>
        </w:tc>
      </w:tr>
      <w:tr>
        <w:trPr>
          <w:trHeight w:val="230"/>
        </w:trPr>
        <w:tc>
          <w:tcPr>
            <w:tcW w:w="4820" w:type="dxa"/>
            <w:vAlign w:val="bottom"/>
          </w:tcPr>
          <w:p>
            <w:pPr>
              <w:ind w:left="140"/>
              <w:spacing w:after="0"/>
              <w:rPr>
                <w:sz w:val="20"/>
                <w:szCs w:val="20"/>
                <w:color w:val="auto"/>
              </w:rPr>
            </w:pPr>
            <w:r>
              <w:rPr>
                <w:rFonts w:ascii="Arial" w:cs="Arial" w:eastAsia="Arial" w:hAnsi="Arial"/>
                <w:sz w:val="18"/>
                <w:szCs w:val="18"/>
                <w:color w:val="auto"/>
              </w:rPr>
              <w:t>Impairment charges</w:t>
            </w:r>
          </w:p>
        </w:tc>
        <w:tc>
          <w:tcPr>
            <w:tcW w:w="920" w:type="dxa"/>
            <w:vAlign w:val="bottom"/>
          </w:tcPr>
          <w:p>
            <w:pPr>
              <w:spacing w:after="0"/>
              <w:rPr>
                <w:sz w:val="19"/>
                <w:szCs w:val="19"/>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106,062</w:t>
            </w:r>
          </w:p>
        </w:tc>
      </w:tr>
      <w:tr>
        <w:trPr>
          <w:trHeight w:val="229"/>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engineering</w:t>
            </w: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620</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r>
      <w:tr>
        <w:trPr>
          <w:trHeight w:val="230"/>
        </w:trPr>
        <w:tc>
          <w:tcPr>
            <w:tcW w:w="482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9"/>
                <w:szCs w:val="19"/>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3,078</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3,207</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6,152</w:t>
            </w: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7,177</w:t>
            </w:r>
          </w:p>
        </w:tc>
      </w:tr>
      <w:tr>
        <w:trPr>
          <w:trHeight w:val="229"/>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Legal settlement and litigation charges, net</w:t>
            </w: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820" w:type="dxa"/>
            <w:vAlign w:val="bottom"/>
          </w:tcPr>
          <w:p>
            <w:pPr>
              <w:ind w:left="140"/>
              <w:spacing w:after="0"/>
              <w:rPr>
                <w:sz w:val="20"/>
                <w:szCs w:val="20"/>
                <w:color w:val="auto"/>
              </w:rPr>
            </w:pPr>
            <w:r>
              <w:rPr>
                <w:rFonts w:ascii="Arial" w:cs="Arial" w:eastAsia="Arial" w:hAnsi="Arial"/>
                <w:sz w:val="18"/>
                <w:szCs w:val="18"/>
                <w:color w:val="auto"/>
              </w:rPr>
              <w:t>Acquisitions-related expense</w:t>
            </w:r>
          </w:p>
        </w:tc>
        <w:tc>
          <w:tcPr>
            <w:tcW w:w="920" w:type="dxa"/>
            <w:vAlign w:val="bottom"/>
          </w:tcPr>
          <w:p>
            <w:pPr>
              <w:spacing w:after="0"/>
              <w:rPr>
                <w:sz w:val="20"/>
                <w:szCs w:val="20"/>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545</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822</w:t>
            </w:r>
          </w:p>
        </w:tc>
        <w:tc>
          <w:tcPr>
            <w:tcW w:w="4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(523)</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39"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 xml:space="preserve">Operating expenses increased $2.4 million, or 6%, for the three months ended June 30, 2021 compared to the three months ended June 30, 2020. Selling, general and administrative expenses increased $2.1 million during the three months ended June 30, 2021 compared to the three months ended June 30, 2020, due to the Company reinstating several of the temporary cost reduction initiatives undertaken during 2020 in response to the COVID-19 pandemic, as further detailed in the </w:t>
      </w:r>
      <w:r>
        <w:rPr>
          <w:rFonts w:ascii="Arial" w:cs="Arial" w:eastAsia="Arial" w:hAnsi="Arial"/>
          <w:sz w:val="16"/>
          <w:szCs w:val="16"/>
          <w:b w:val="1"/>
          <w:bCs w:val="1"/>
          <w:i w:val="1"/>
          <w:iCs w:val="1"/>
          <w:color w:val="auto"/>
        </w:rPr>
        <w:t>Recent Developments</w:t>
      </w:r>
      <w:r>
        <w:rPr>
          <w:rFonts w:ascii="Arial" w:cs="Arial" w:eastAsia="Arial" w:hAnsi="Arial"/>
          <w:sz w:val="16"/>
          <w:szCs w:val="16"/>
          <w:color w:val="auto"/>
        </w:rPr>
        <w:t xml:space="preserve"> section above. Acquisition-related expense increased $0.5 million for the three months ended June 30, 2021 compared to the three months ended June 30, 2020 due to remeasurement of acquisition related contingent consideration.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w:t>
      </w:r>
    </w:p>
    <w:p>
      <w:pPr>
        <w:spacing w:after="0" w:line="23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Operating expenses decreased $104.7 million, or 54%, for the six months ended June 30, 2021 compared to the six months ended June 30, 2020, due predominantly to impairment charges of $106.1 million in 2020 as more fully described in Note 8–</w:t>
      </w:r>
      <w:r>
        <w:rPr>
          <w:rFonts w:ascii="Arial" w:cs="Arial" w:eastAsia="Arial" w:hAnsi="Arial"/>
          <w:sz w:val="16"/>
          <w:szCs w:val="16"/>
          <w:i w:val="1"/>
          <w:iCs w:val="1"/>
          <w:color w:val="auto"/>
        </w:rPr>
        <w:t>Goodwill</w:t>
      </w:r>
      <w:r>
        <w:rPr>
          <w:rFonts w:ascii="Arial" w:cs="Arial" w:eastAsia="Arial" w:hAnsi="Arial"/>
          <w:sz w:val="16"/>
          <w:szCs w:val="16"/>
          <w:color w:val="auto"/>
        </w:rPr>
        <w:t xml:space="preserve"> and Note 9–</w:t>
      </w:r>
      <w:r>
        <w:rPr>
          <w:rFonts w:ascii="Arial" w:cs="Arial" w:eastAsia="Arial" w:hAnsi="Arial"/>
          <w:sz w:val="16"/>
          <w:szCs w:val="16"/>
          <w:i w:val="1"/>
          <w:iCs w:val="1"/>
          <w:color w:val="auto"/>
        </w:rPr>
        <w:t>Intangible Assets</w:t>
      </w:r>
      <w:r>
        <w:rPr>
          <w:rFonts w:ascii="Arial" w:cs="Arial" w:eastAsia="Arial" w:hAnsi="Arial"/>
          <w:sz w:val="16"/>
          <w:szCs w:val="16"/>
          <w:color w:val="auto"/>
        </w:rPr>
        <w:t xml:space="preserve"> included in the Notes to the Unaudited Condensed Consolidated Financial Statements included in this Quarterly Report. Excluding the 2020 impairment charges, operating expenses increased due to the Company reinstating several of the temporary cost reduction initiatives undertaken during 2020 in response to the COVID-19 pandemic, as further detailed in the </w:t>
      </w:r>
      <w:r>
        <w:rPr>
          <w:rFonts w:ascii="Arial" w:cs="Arial" w:eastAsia="Arial" w:hAnsi="Arial"/>
          <w:sz w:val="16"/>
          <w:szCs w:val="16"/>
          <w:b w:val="1"/>
          <w:bCs w:val="1"/>
          <w:i w:val="1"/>
          <w:iCs w:val="1"/>
          <w:color w:val="auto"/>
        </w:rPr>
        <w:t>Recent Developments</w:t>
      </w:r>
      <w:r>
        <w:rPr>
          <w:rFonts w:ascii="Arial" w:cs="Arial" w:eastAsia="Arial" w:hAnsi="Arial"/>
          <w:sz w:val="16"/>
          <w:szCs w:val="16"/>
          <w:color w:val="auto"/>
        </w:rPr>
        <w:t xml:space="preserve"> section above, as well as a $1.2 million increase in net legal settlement and litigation charges primarily related to the </w:t>
      </w:r>
      <w:r>
        <w:rPr>
          <w:rFonts w:ascii="Arial" w:cs="Arial" w:eastAsia="Arial" w:hAnsi="Arial"/>
          <w:sz w:val="16"/>
          <w:szCs w:val="16"/>
          <w:i w:val="1"/>
          <w:iCs w:val="1"/>
          <w:color w:val="auto"/>
        </w:rPr>
        <w:t>Justin Price v. Mistras Group, Inc.</w:t>
      </w:r>
      <w:r>
        <w:rPr>
          <w:rFonts w:ascii="Arial" w:cs="Arial" w:eastAsia="Arial" w:hAnsi="Arial"/>
          <w:sz w:val="16"/>
          <w:szCs w:val="16"/>
          <w:color w:val="auto"/>
        </w:rPr>
        <w:t xml:space="preserve"> matter more fully described in Note-</w:t>
      </w:r>
      <w:r>
        <w:rPr>
          <w:rFonts w:ascii="Arial" w:cs="Arial" w:eastAsia="Arial" w:hAnsi="Arial"/>
          <w:sz w:val="16"/>
          <w:szCs w:val="16"/>
          <w:i w:val="1"/>
          <w:iCs w:val="1"/>
          <w:color w:val="auto"/>
        </w:rPr>
        <w:t>14</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Commitments and Contingencies</w:t>
      </w:r>
      <w:r>
        <w:rPr>
          <w:rFonts w:ascii="Arial" w:cs="Arial" w:eastAsia="Arial" w:hAnsi="Arial"/>
          <w:sz w:val="16"/>
          <w:szCs w:val="16"/>
          <w:color w:val="auto"/>
        </w:rPr>
        <w:t xml:space="preserve"> under the "Litigation and Commercial Claims" section to the Notes to Unaudited Condensed Consolidated Financial Statements included in this Quarterly Report. Depreciation and amortization decreased $1.0 million during the six months ended June 30, 2021 compared to the six months ended June 30, 2020, due to the 2020 impairment charges reducing the net book value on certain of our intangible assets. Acquisition-related expense increased $1.3 million for the six months ended June 30, 2021 compared to the six months ended June 30, 2020 due to remeasurement of acquisition related contingent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(loss) from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a reconciliation of the income (loss) from operations to income (loss) before special items for each of our three segments,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Corporate and Eliminations and the Company in total:</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7"/>
        </w:trPr>
        <w:tc>
          <w:tcPr>
            <w:tcW w:w="42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Services:</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140"/>
              <w:spacing w:after="0"/>
              <w:rPr>
                <w:sz w:val="20"/>
                <w:szCs w:val="20"/>
                <w:color w:val="auto"/>
              </w:rPr>
            </w:pPr>
            <w:r>
              <w:rPr>
                <w:rFonts w:ascii="Arial" w:cs="Arial" w:eastAsia="Arial" w:hAnsi="Arial"/>
                <w:sz w:val="18"/>
                <w:szCs w:val="18"/>
                <w:color w:val="auto"/>
              </w:rPr>
              <w:t>Income (loss) from operations (GAAP)</w:t>
            </w:r>
          </w:p>
        </w:tc>
        <w:tc>
          <w:tcPr>
            <w:tcW w:w="920" w:type="dxa"/>
            <w:vAlign w:val="bottom"/>
          </w:tcPr>
          <w:p>
            <w:pPr>
              <w:jc w:val="right"/>
              <w:ind w:right="733"/>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18,358</w:t>
            </w:r>
          </w:p>
        </w:tc>
        <w:tc>
          <w:tcPr>
            <w:tcW w:w="100" w:type="dxa"/>
            <w:vAlign w:val="bottom"/>
          </w:tcPr>
          <w:p>
            <w:pPr>
              <w:spacing w:after="0"/>
              <w:rPr>
                <w:sz w:val="19"/>
                <w:szCs w:val="19"/>
                <w:color w:val="auto"/>
              </w:rPr>
            </w:pPr>
          </w:p>
        </w:tc>
        <w:tc>
          <w:tcPr>
            <w:tcW w:w="940" w:type="dxa"/>
            <w:vAlign w:val="bottom"/>
          </w:tcPr>
          <w:p>
            <w:pPr>
              <w:jc w:val="right"/>
              <w:ind w:right="732"/>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10,837</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22,906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(70,657)</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 charges</w:t>
            </w:r>
          </w:p>
        </w:tc>
        <w:tc>
          <w:tcPr>
            <w:tcW w:w="9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86,200</w:t>
            </w:r>
          </w:p>
        </w:tc>
        <w:tc>
          <w:tcPr>
            <w:tcW w:w="0" w:type="dxa"/>
            <w:vAlign w:val="bottom"/>
          </w:tcPr>
          <w:p>
            <w:pPr>
              <w:spacing w:after="0"/>
              <w:rPr>
                <w:sz w:val="1"/>
                <w:szCs w:val="1"/>
                <w:color w:val="auto"/>
              </w:rPr>
            </w:pPr>
          </w:p>
        </w:tc>
      </w:tr>
      <w:tr>
        <w:trPr>
          <w:trHeight w:val="229"/>
        </w:trPr>
        <w:tc>
          <w:tcPr>
            <w:tcW w:w="4200" w:type="dxa"/>
            <w:vAlign w:val="bottom"/>
          </w:tcPr>
          <w:p>
            <w:pPr>
              <w:ind w:left="140"/>
              <w:spacing w:after="0"/>
              <w:rPr>
                <w:sz w:val="20"/>
                <w:szCs w:val="20"/>
                <w:color w:val="auto"/>
              </w:rPr>
            </w:pPr>
            <w:r>
              <w:rPr>
                <w:rFonts w:ascii="Arial" w:cs="Arial" w:eastAsia="Arial" w:hAnsi="Arial"/>
                <w:sz w:val="18"/>
                <w:szCs w:val="18"/>
                <w:color w:val="auto"/>
              </w:rPr>
              <w:t>Reorganization and other costs</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Legal settlement and litigation charges, net</w:t>
            </w:r>
          </w:p>
        </w:tc>
        <w:tc>
          <w:tcPr>
            <w:tcW w:w="9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Acquisition-related expense (benefit), net</w:t>
            </w: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before special items (non-GAAP)</w:t>
            </w:r>
          </w:p>
        </w:tc>
        <w:tc>
          <w:tcPr>
            <w:tcW w:w="92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18,929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2"/>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10,901</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15,087</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International:</w:t>
            </w: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(loss) from operations (GAAP)</w:t>
            </w:r>
          </w:p>
        </w:tc>
        <w:tc>
          <w:tcPr>
            <w:tcW w:w="92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2"/>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(1,937)</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(22,356)</w:t>
            </w: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Impairment charges</w:t>
            </w:r>
          </w:p>
        </w:tc>
        <w:tc>
          <w:tcPr>
            <w:tcW w:w="9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19,862</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Reorganization and other costs</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3"/>
        </w:trPr>
        <w:tc>
          <w:tcPr>
            <w:tcW w:w="4200" w:type="dxa"/>
            <w:vAlign w:val="bottom"/>
          </w:tcPr>
          <w:p>
            <w:pPr>
              <w:ind w:left="140"/>
              <w:spacing w:after="0"/>
              <w:rPr>
                <w:sz w:val="20"/>
                <w:szCs w:val="20"/>
                <w:color w:val="auto"/>
              </w:rPr>
            </w:pPr>
            <w:r>
              <w:rPr>
                <w:rFonts w:ascii="Arial" w:cs="Arial" w:eastAsia="Arial" w:hAnsi="Arial"/>
                <w:sz w:val="18"/>
                <w:szCs w:val="18"/>
                <w:color w:val="auto"/>
              </w:rPr>
              <w:t>Income (loss) before special items (non-GAAP)</w:t>
            </w:r>
          </w:p>
        </w:tc>
        <w:tc>
          <w:tcPr>
            <w:tcW w:w="920" w:type="dxa"/>
            <w:vAlign w:val="bottom"/>
          </w:tcPr>
          <w:p>
            <w:pPr>
              <w:jc w:val="right"/>
              <w:ind w:right="733"/>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1,839</w:t>
            </w:r>
          </w:p>
        </w:tc>
        <w:tc>
          <w:tcPr>
            <w:tcW w:w="100" w:type="dxa"/>
            <w:vAlign w:val="bottom"/>
          </w:tcPr>
          <w:p>
            <w:pPr>
              <w:spacing w:after="0"/>
              <w:rPr>
                <w:sz w:val="19"/>
                <w:szCs w:val="19"/>
                <w:color w:val="auto"/>
              </w:rPr>
            </w:pPr>
          </w:p>
        </w:tc>
        <w:tc>
          <w:tcPr>
            <w:tcW w:w="940" w:type="dxa"/>
            <w:vAlign w:val="bottom"/>
          </w:tcPr>
          <w:p>
            <w:pPr>
              <w:jc w:val="right"/>
              <w:ind w:right="732"/>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(1,571)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(2,202)</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Products and Systems: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140"/>
              <w:spacing w:after="0"/>
              <w:rPr>
                <w:sz w:val="20"/>
                <w:szCs w:val="20"/>
                <w:color w:val="auto"/>
              </w:rPr>
            </w:pPr>
            <w:r>
              <w:rPr>
                <w:rFonts w:ascii="Arial" w:cs="Arial" w:eastAsia="Arial" w:hAnsi="Arial"/>
                <w:sz w:val="18"/>
                <w:szCs w:val="18"/>
                <w:color w:val="auto"/>
              </w:rPr>
              <w:t>Income (loss) from operations (GAAP)</w:t>
            </w:r>
          </w:p>
        </w:tc>
        <w:tc>
          <w:tcPr>
            <w:tcW w:w="920" w:type="dxa"/>
            <w:vAlign w:val="bottom"/>
          </w:tcPr>
          <w:p>
            <w:pPr>
              <w:jc w:val="right"/>
              <w:ind w:right="733"/>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940" w:type="dxa"/>
            <w:vAlign w:val="bottom"/>
          </w:tcPr>
          <w:p>
            <w:pPr>
              <w:jc w:val="right"/>
              <w:ind w:right="732"/>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Reorganization and other costs</w:t>
            </w:r>
          </w:p>
        </w:tc>
        <w:tc>
          <w:tcPr>
            <w:tcW w:w="9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00" w:type="dxa"/>
            <w:vAlign w:val="bottom"/>
          </w:tcPr>
          <w:p>
            <w:pPr>
              <w:ind w:left="140"/>
              <w:spacing w:after="0"/>
              <w:rPr>
                <w:sz w:val="20"/>
                <w:szCs w:val="20"/>
                <w:color w:val="auto"/>
              </w:rPr>
            </w:pPr>
            <w:r>
              <w:rPr>
                <w:rFonts w:ascii="Arial" w:cs="Arial" w:eastAsia="Arial" w:hAnsi="Arial"/>
                <w:sz w:val="18"/>
                <w:szCs w:val="18"/>
                <w:color w:val="auto"/>
              </w:rPr>
              <w:t>Income (loss) before special items (non-GAAP)</w:t>
            </w:r>
          </w:p>
        </w:tc>
        <w:tc>
          <w:tcPr>
            <w:tcW w:w="920" w:type="dxa"/>
            <w:vAlign w:val="bottom"/>
            <w:tcBorders>
              <w:top w:val="single" w:sz="8" w:color="auto"/>
            </w:tcBorders>
          </w:tcPr>
          <w:p>
            <w:pPr>
              <w:jc w:val="right"/>
              <w:ind w:right="733"/>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940" w:type="dxa"/>
            <w:vAlign w:val="bottom"/>
            <w:tcBorders>
              <w:top w:val="single" w:sz="8" w:color="auto"/>
            </w:tcBorders>
          </w:tcPr>
          <w:p>
            <w:pPr>
              <w:jc w:val="right"/>
              <w:ind w:right="732"/>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Corporate and Eliminations: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Loss from operations (GAAP)</w:t>
            </w:r>
          </w:p>
        </w:tc>
        <w:tc>
          <w:tcPr>
            <w:tcW w:w="920" w:type="dxa"/>
            <w:vAlign w:val="bottom"/>
          </w:tcPr>
          <w:p>
            <w:pPr>
              <w:jc w:val="right"/>
              <w:ind w:right="733"/>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8"/>
              </w:rPr>
              <w:t>(9,002)</w:t>
            </w:r>
          </w:p>
        </w:tc>
        <w:tc>
          <w:tcPr>
            <w:tcW w:w="100" w:type="dxa"/>
            <w:vAlign w:val="bottom"/>
          </w:tcPr>
          <w:p>
            <w:pPr>
              <w:spacing w:after="0"/>
              <w:rPr>
                <w:sz w:val="19"/>
                <w:szCs w:val="19"/>
                <w:color w:val="auto"/>
              </w:rPr>
            </w:pPr>
          </w:p>
        </w:tc>
        <w:tc>
          <w:tcPr>
            <w:tcW w:w="940" w:type="dxa"/>
            <w:vAlign w:val="bottom"/>
          </w:tcPr>
          <w:p>
            <w:pPr>
              <w:jc w:val="right"/>
              <w:ind w:right="732"/>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(9,187)</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(16,895)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(16,822)</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debt modification</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29"/>
        </w:trPr>
        <w:tc>
          <w:tcPr>
            <w:tcW w:w="4200" w:type="dxa"/>
            <w:vAlign w:val="bottom"/>
          </w:tcPr>
          <w:p>
            <w:pPr>
              <w:ind w:left="140"/>
              <w:spacing w:after="0"/>
              <w:rPr>
                <w:sz w:val="20"/>
                <w:szCs w:val="20"/>
                <w:color w:val="auto"/>
              </w:rPr>
            </w:pPr>
            <w:r>
              <w:rPr>
                <w:rFonts w:ascii="Arial" w:cs="Arial" w:eastAsia="Arial" w:hAnsi="Arial"/>
                <w:sz w:val="18"/>
                <w:szCs w:val="18"/>
                <w:color w:val="auto"/>
              </w:rPr>
              <w:t>Legal settlement and litigation charges, net</w:t>
            </w:r>
          </w:p>
        </w:tc>
        <w:tc>
          <w:tcPr>
            <w:tcW w:w="9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Reorganization and other costs</w:t>
            </w:r>
          </w:p>
        </w:tc>
        <w:tc>
          <w:tcPr>
            <w:tcW w:w="9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Acquisition-related expense, net</w:t>
            </w:r>
          </w:p>
        </w:tc>
        <w:tc>
          <w:tcPr>
            <w:tcW w:w="9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Loss before special items (non-GAAP)</w:t>
            </w:r>
          </w:p>
        </w:tc>
        <w:tc>
          <w:tcPr>
            <w:tcW w:w="920" w:type="dxa"/>
            <w:vAlign w:val="bottom"/>
            <w:tcBorders>
              <w:top w:val="single" w:sz="8" w:color="auto"/>
            </w:tcBorders>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(8,725)</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32"/>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(8,456)</w:t>
            </w: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(17,204)</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(16,054)</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Total Company:</w:t>
            </w: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200" w:type="dxa"/>
            <w:vAlign w:val="bottom"/>
            <w:tcBorders>
              <w:bottom w:val="single" w:sz="8" w:color="CCEEFF"/>
            </w:tcBorders>
            <w:shd w:val="clear" w:color="auto" w:fill="CCEEFF"/>
          </w:tcPr>
          <w:p>
            <w:pPr>
              <w:ind w:left="140"/>
              <w:spacing w:after="0" w:line="202" w:lineRule="exact"/>
              <w:rPr>
                <w:sz w:val="20"/>
                <w:szCs w:val="20"/>
                <w:color w:val="auto"/>
              </w:rPr>
            </w:pPr>
            <w:r>
              <w:rPr>
                <w:rFonts w:ascii="Arial" w:cs="Arial" w:eastAsia="Arial" w:hAnsi="Arial"/>
                <w:sz w:val="18"/>
                <w:szCs w:val="18"/>
                <w:color w:val="auto"/>
              </w:rPr>
              <w:t>Income (loss) from operations (GAAP)</w:t>
            </w:r>
          </w:p>
        </w:tc>
        <w:tc>
          <w:tcPr>
            <w:tcW w:w="920" w:type="dxa"/>
            <w:vAlign w:val="bottom"/>
            <w:tcBorders>
              <w:bottom w:val="single" w:sz="8" w:color="auto"/>
            </w:tcBorders>
            <w:shd w:val="clear" w:color="auto" w:fill="CCEEFF"/>
          </w:tcPr>
          <w:p>
            <w:pPr>
              <w:jc w:val="right"/>
              <w:ind w:right="733"/>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11,374</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32"/>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(383)</w:t>
            </w:r>
          </w:p>
        </w:tc>
        <w:tc>
          <w:tcPr>
            <w:tcW w:w="38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6,628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(111,611)</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vMerge w:val="restart"/>
          </w:tcPr>
          <w:p>
            <w:pPr>
              <w:ind w:left="140"/>
              <w:spacing w:after="0"/>
              <w:rPr>
                <w:sz w:val="20"/>
                <w:szCs w:val="20"/>
                <w:color w:val="auto"/>
              </w:rPr>
            </w:pPr>
            <w:r>
              <w:rPr>
                <w:rFonts w:ascii="Arial" w:cs="Arial" w:eastAsia="Arial" w:hAnsi="Arial"/>
                <w:sz w:val="18"/>
                <w:szCs w:val="18"/>
                <w:color w:val="auto"/>
              </w:rPr>
              <w:t>Impairment charges</w:t>
            </w:r>
          </w:p>
        </w:tc>
        <w:tc>
          <w:tcPr>
            <w:tcW w:w="9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00" w:type="dxa"/>
            <w:vAlign w:val="bottom"/>
            <w:tcBorders>
              <w:top w:val="single" w:sz="8" w:color="CCEEFF"/>
            </w:tcBorders>
            <w:vMerge w:val="continue"/>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106,062</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Reorganization and other costs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Loss on debt modification</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645</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Legal settlement and litigation charges, net</w:t>
            </w:r>
          </w:p>
        </w:tc>
        <w:tc>
          <w:tcPr>
            <w:tcW w:w="9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Acquisition-related expense (benefit), net</w:t>
            </w: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Income (loss) before special items (non-GAAP)</w:t>
            </w:r>
          </w:p>
        </w:tc>
        <w:tc>
          <w:tcPr>
            <w:tcW w:w="92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12,252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2"/>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(4,945)</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section </w:t>
      </w:r>
      <w:r>
        <w:rPr>
          <w:rFonts w:ascii="Arial" w:cs="Arial" w:eastAsia="Arial" w:hAnsi="Arial"/>
          <w:sz w:val="18"/>
          <w:szCs w:val="18"/>
          <w:b w:val="1"/>
          <w:bCs w:val="1"/>
          <w:i w:val="1"/>
          <w:iCs w:val="1"/>
          <w:color w:val="auto"/>
        </w:rPr>
        <w:t>Note About Non-GAAP Measures</w:t>
      </w:r>
      <w:r>
        <w:rPr>
          <w:rFonts w:ascii="Arial" w:cs="Arial" w:eastAsia="Arial" w:hAnsi="Arial"/>
          <w:sz w:val="18"/>
          <w:szCs w:val="18"/>
          <w:color w:val="auto"/>
        </w:rPr>
        <w:t xml:space="preserve"> in this report for an explanation of the use of non-GAAP measurements.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1" w:right="85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5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For the three months ended June 30, 2021, the income (loss) from operations (GAAP) increased $11.8 million, compared with the three months ended June 30, 2020, while income before special items (non-GAAP) increased $11.5 million. As a percentage of revenue, income before special items increased by 630 basis points to 6.9% in the three months ended June 30, 2021 from 0.6% in the three months ended June 30,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w:t>
      </w:r>
    </w:p>
    <w:p>
      <w:pPr>
        <w:spacing w:after="0" w:line="239"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For the six months ended June 30, 2021, income (loss) from operations (GAAP) increased $118.2 million, compared with the six months ended June 30, 2020, while income (loss) before special items (non-GAAP) increased $14.0 million. As a percentage of revenue, income (loss) before special items increased by 440 basis points to 2.7% in the six months ended June 30, 2021 from (1.7)% in the six months ended June 30, 2020. During the six months ended June 30, 2021, the Company experienced overall organic growth. Specifically, the Company has been recovering from the effect of COVID-19 which was more impactful to our financial results in 2020. During the six months ended June 30, 2020, the COVID-19 initial outbreak and significant drop in oil prices had adversely affected our workforce and operations, as well as the operations of our customers, suppliers and contractors. These negative factors have continued to result in volatility and uncertainty in the markets in which we operate in 2021, although we have nevertheless begun approaching pre-pandemic levels of activity in certain end markets, particularly oil and gas. We are currently unable to predict or determine the ongoing impact that the COVID-19 pandemic and volatility in oil prices may have on our business, results of operations, or liquidity. Refer to Item 1A. Risk Factors in Part I of our 2020 Form 10-K, and the additional risk factors included in Part II, Item 1.A. of this Form 10-Q for further discussion.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16" w:lineRule="exact"/>
        <w:rPr>
          <w:sz w:val="20"/>
          <w:szCs w:val="20"/>
          <w:color w:val="auto"/>
        </w:rPr>
      </w:pPr>
    </w:p>
    <w:p>
      <w:pPr>
        <w:jc w:val="both"/>
        <w:ind w:right="160"/>
        <w:spacing w:after="0" w:line="235" w:lineRule="auto"/>
        <w:rPr>
          <w:sz w:val="20"/>
          <w:szCs w:val="20"/>
          <w:color w:val="auto"/>
        </w:rPr>
      </w:pPr>
      <w:r>
        <w:rPr>
          <w:rFonts w:ascii="Arial" w:cs="Arial" w:eastAsia="Arial" w:hAnsi="Arial"/>
          <w:sz w:val="18"/>
          <w:szCs w:val="18"/>
          <w:color w:val="auto"/>
        </w:rPr>
        <w:t>Interest expense was approximately $3.2 million and $3.0 million for the three months ended June 30, 2021 and 2020, respectively. Interest expense was approximately $6.4 million and $5.8 million for the six months ended June 30, 2021 and 2020, respectively. The increase was due to a higher interest rate on our long-term debt as a result of an amendment in May 2020 to our Credit Agreement.</w:t>
      </w:r>
    </w:p>
    <w:p>
      <w:pPr>
        <w:spacing w:after="0" w:line="21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An amendment in May 2021 to our Credit Agreement removed the LIBOR floor of 1.0%, which provided that if LIBOR is below 1.0%, the interest rate will be calculated as if LIBOR is 1.0%. Now the actual LIBOR rate is used to calculate interest, even if LIBOR is below 1.0%. This will reduce our interest rate, when LIBOR is below 1.0%.</w:t>
      </w:r>
    </w:p>
    <w:p>
      <w:pPr>
        <w:spacing w:after="0" w:line="207"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color w:val="auto"/>
        </w:rPr>
        <w:t xml:space="preserve">The terms of our Credit Agreement are described in Note 11- </w:t>
      </w:r>
      <w:r>
        <w:rPr>
          <w:rFonts w:ascii="Arial" w:cs="Arial" w:eastAsia="Arial" w:hAnsi="Arial"/>
          <w:sz w:val="18"/>
          <w:szCs w:val="18"/>
          <w:b w:val="1"/>
          <w:bCs w:val="1"/>
          <w:color w:val="auto"/>
        </w:rPr>
        <w:t>Long-Term Debt</w:t>
      </w:r>
      <w:r>
        <w:rPr>
          <w:rFonts w:ascii="Arial" w:cs="Arial" w:eastAsia="Arial" w:hAnsi="Arial"/>
          <w:sz w:val="18"/>
          <w:szCs w:val="18"/>
          <w:color w:val="auto"/>
        </w:rPr>
        <w:t xml:space="preserve"> of the Notes to the Unaudited Condensed Consolidated Financial Statements, under the heading "</w:t>
      </w:r>
      <w:r>
        <w:rPr>
          <w:rFonts w:ascii="Arial" w:cs="Arial" w:eastAsia="Arial" w:hAnsi="Arial"/>
          <w:sz w:val="18"/>
          <w:szCs w:val="18"/>
          <w:i w:val="1"/>
          <w:iCs w:val="1"/>
          <w:color w:val="auto"/>
        </w:rPr>
        <w:t>Senior Credit Facility</w:t>
      </w:r>
      <w:r>
        <w:rPr>
          <w:rFonts w:ascii="Arial" w:cs="Arial" w:eastAsia="Arial" w:hAnsi="Arial"/>
          <w:sz w:val="18"/>
          <w:szCs w:val="18"/>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43"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Our effective income tax rate was approximately 27.7% and 20.7% for the three months ended June 30, 2021 and 2020, respectively. Our effective income tax rate was approximately (125.4)% and 13.8% for the six months ended June 30, 2021 and 2020.</w:t>
      </w:r>
    </w:p>
    <w:p>
      <w:pPr>
        <w:spacing w:after="0" w:line="197" w:lineRule="exact"/>
        <w:rPr>
          <w:sz w:val="20"/>
          <w:szCs w:val="20"/>
          <w:color w:val="auto"/>
        </w:rPr>
      </w:pPr>
    </w:p>
    <w:p>
      <w:pPr>
        <w:ind w:right="400"/>
        <w:spacing w:after="0" w:line="276" w:lineRule="auto"/>
        <w:rPr>
          <w:sz w:val="20"/>
          <w:szCs w:val="20"/>
          <w:color w:val="auto"/>
        </w:rPr>
      </w:pPr>
      <w:r>
        <w:rPr>
          <w:rFonts w:ascii="Arial" w:cs="Arial" w:eastAsia="Arial" w:hAnsi="Arial"/>
          <w:sz w:val="16"/>
          <w:szCs w:val="16"/>
          <w:color w:val="auto"/>
        </w:rPr>
        <w:t>The effective income tax rate for the three months ended June 30, 2021 was higher than the statutory rate due to earnings in jurisdictions with higher income tax rates than the United States. The effective income tax rate for the three months ended June 30, 2020 approximated the statutory rate, as the favorable impact of the CARES Act was offset by the unfavorable impact of taxes in other jurisdictions and other permanent book to tax differences.</w:t>
      </w:r>
    </w:p>
    <w:p>
      <w:pPr>
        <w:spacing w:after="0" w:line="175" w:lineRule="exact"/>
        <w:rPr>
          <w:sz w:val="20"/>
          <w:szCs w:val="20"/>
          <w:color w:val="auto"/>
        </w:rPr>
      </w:pPr>
    </w:p>
    <w:p>
      <w:pPr>
        <w:ind w:right="360"/>
        <w:spacing w:after="0" w:line="231" w:lineRule="auto"/>
        <w:rPr>
          <w:sz w:val="20"/>
          <w:szCs w:val="20"/>
          <w:color w:val="auto"/>
        </w:rPr>
      </w:pPr>
      <w:r>
        <w:rPr>
          <w:rFonts w:ascii="Arial" w:cs="Arial" w:eastAsia="Arial" w:hAnsi="Arial"/>
          <w:sz w:val="18"/>
          <w:szCs w:val="18"/>
          <w:color w:val="auto"/>
        </w:rPr>
        <w:t>The effective income tax rate for the six months ended June 30, 2021 was lower than the statutory rate due to capitalization of certain non-US intercompany balances which resulted in a deductible foreign exchange loss in the US. The effective income tax rate for the six months ended June 30, 2020 was lower than the statutory rate primarily due to impairments for which we did not realize income tax benefits, partially offset by income tax benefits of the CARES Act.</w:t>
      </w:r>
    </w:p>
    <w:p>
      <w:pPr>
        <w:spacing w:after="0" w:line="216"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On December 27, 2020, the United States enacted the Consolidated Appropriations Act, 2021, (the "Appropriations Act") an additional stimulus package providing financial relief for individuals and small business. The Appropriations Act contains a variety of tax provisions, including full expensing of business meals in 2021 and 2022, and expansion of the employee retention tax credit. We are currently evaluating the impact of this guidance on our consolidated financial position, results of operations, and cash flows, but does not expect it to have a material impact.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28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Income tax expense varies as a function of pre-tax income and the level of non-deductible expenses, such as certain amounts of meals and entertainment expense, valuation allowances, and other permanent differences. It is also affected by discrete items that may occur in any given year but are not consistent from year to year. Our effective income tax rate may fluctuate over the next few years due to many variables including the amount and future geographic distribution of our pre-tax income, changes resulting from our acquisition strategy, and increases or decreases in our permanent differences.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flows are summarized in the table below:</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Six months ended June 30,</w:t>
            </w:r>
          </w:p>
        </w:tc>
      </w:tr>
      <w:tr>
        <w:trPr>
          <w:trHeight w:val="186"/>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12"/>
        </w:trPr>
        <w:tc>
          <w:tcPr>
            <w:tcW w:w="8040" w:type="dxa"/>
            <w:vAlign w:val="bottom"/>
          </w:tcPr>
          <w:p>
            <w:pPr>
              <w:ind w:left="20"/>
              <w:spacing w:after="0"/>
              <w:rPr>
                <w:sz w:val="20"/>
                <w:szCs w:val="20"/>
                <w:color w:val="auto"/>
              </w:rPr>
            </w:pPr>
            <w:r>
              <w:rPr>
                <w:rFonts w:ascii="Arial" w:cs="Arial" w:eastAsia="Arial" w:hAnsi="Arial"/>
                <w:sz w:val="18"/>
                <w:szCs w:val="18"/>
                <w:color w:val="auto"/>
              </w:rPr>
              <w:t>Net cash provided by (used in):</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activities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34,862</w:t>
            </w:r>
          </w:p>
        </w:tc>
      </w:tr>
      <w:tr>
        <w:trPr>
          <w:trHeight w:val="229"/>
        </w:trPr>
        <w:tc>
          <w:tcPr>
            <w:tcW w:w="8040" w:type="dxa"/>
            <w:vAlign w:val="bottom"/>
          </w:tcPr>
          <w:p>
            <w:pPr>
              <w:ind w:left="140"/>
              <w:spacing w:after="0"/>
              <w:rPr>
                <w:sz w:val="20"/>
                <w:szCs w:val="20"/>
                <w:color w:val="auto"/>
              </w:rPr>
            </w:pPr>
            <w:r>
              <w:rPr>
                <w:rFonts w:ascii="Arial" w:cs="Arial" w:eastAsia="Arial" w:hAnsi="Arial"/>
                <w:sz w:val="18"/>
                <w:szCs w:val="18"/>
                <w:color w:val="auto"/>
              </w:rPr>
              <w:t>Investing activities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(7,248)</w:t>
            </w: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activities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(20,337)</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7,572</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six months ended June 30, 2021, cash provided by operating activities was $18.1 million, representing a year-on-year decrease of $16.7 million, or 48%. The decrease was primarily attributable to increase in working capital investments. Specifically, revenue increased 16.7% versus the prior year comparable period due predominantly to organic growth. Specifically, the Company has been recovering from the effect of COVID-19 which was more impactful to our financial results in 2020. As we are increasing our work compared to the comparable prior period, our cash flows are lower in the current quarter as collections of receivables lag behind revenues.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During the six months ended June 30, 2021 and 2020, cash used in investing activities was $10.3 million primarily attributable to capital expenditures of $10.8 million compared to $7.6 million of capital expenditures in the prior period driven by increased operating activities.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5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Net cash used in financing activities was $13.0 million for the six months ended June 30, 2021, compared to net cash used in financing activities of $20.3 million for the six months ended June 30, 2020. During the six months ended June 30, 2021, net borrowings of debt were approximately $6.8 million lower as compared to 2020 resulting in less debt paydown during the period as cash flows were used to fund operating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effect of exchange rate changes on our cash and cash equivalents was a decrease of $0.7 million in the six months ended June 30, 2021, compared to an increase of $0.3 million for the six months ended June 30,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Balance and Credit Facility Borrowings</w:t>
      </w:r>
    </w:p>
    <w:p>
      <w:pPr>
        <w:spacing w:after="0" w:line="229"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As of June 30, 2021, we had cash and cash equivalents totaling $19.9 million and $41.2 million of unused commitments under our Credit Agreement with borrowings of $203.9 million and $4.3 million of letters of credit outstanding. We finance operations primarily through our existing cash balances, cash collected from operations, bank borrowings and capital lease financing. We believe these sources are sufficient to fund our operations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2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June 30, 2021, we were in compliance with the terms of the Credit Agreement and will continuously monitor our compliance with the covenants contained in the Credit Agreement.</w:t>
      </w:r>
    </w:p>
    <w:p>
      <w:pPr>
        <w:spacing w:after="0" w:line="197"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May 2021 Amendment to our Credit Agreement also reduced the borrowing capacity on our revolving loan line of credit to $165 million, and will be further reduced to $155 million on September 30, 2021, and to $150 million on December 31, 2021. Additionally, quarterly payments on the term loan increased to $3.75 million through March 31, 2022, and to $5.0 million for each quarterly payment thereafter, with a final balloon payment at maturity.</w:t>
      </w:r>
    </w:p>
    <w:p>
      <w:pPr>
        <w:spacing w:after="0" w:line="176"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The terms of our Credit Agreement (as modified) are described in Note 11-</w:t>
      </w:r>
      <w:r>
        <w:rPr>
          <w:rFonts w:ascii="Arial" w:cs="Arial" w:eastAsia="Arial" w:hAnsi="Arial"/>
          <w:sz w:val="18"/>
          <w:szCs w:val="18"/>
          <w:b w:val="1"/>
          <w:bCs w:val="1"/>
          <w:i w:val="1"/>
          <w:iCs w:val="1"/>
          <w:color w:val="auto"/>
        </w:rPr>
        <w:t>Long-Term Debt</w:t>
      </w:r>
      <w:r>
        <w:rPr>
          <w:rFonts w:ascii="Arial" w:cs="Arial" w:eastAsia="Arial" w:hAnsi="Arial"/>
          <w:sz w:val="18"/>
          <w:szCs w:val="18"/>
          <w:color w:val="auto"/>
        </w:rPr>
        <w:t xml:space="preserve"> of the Notes to the Unaudited Condensed Consolidated Financial Statements, under the heading "</w:t>
      </w:r>
      <w:r>
        <w:rPr>
          <w:rFonts w:ascii="Arial" w:cs="Arial" w:eastAsia="Arial" w:hAnsi="Arial"/>
          <w:sz w:val="18"/>
          <w:szCs w:val="18"/>
          <w:i w:val="1"/>
          <w:iCs w:val="1"/>
          <w:color w:val="auto"/>
        </w:rPr>
        <w:t>Senior Credit Facility</w:t>
      </w:r>
      <w:r>
        <w:rPr>
          <w:rFonts w:ascii="Arial" w:cs="Arial" w:eastAsia="Arial" w:hAnsi="Arial"/>
          <w:sz w:val="18"/>
          <w:szCs w:val="18"/>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significant changes in our contractual obligations and outstanding indebtedness as disclosed in the 2020 Annual Report.</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During the six months ended June 30, 2021,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2" w:right="47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5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There have been no significant changes to our critical accounting policies and estimates from the information provided in Item 7, “Management’s Discussion and Analysis of Financial Condition and Results of Operations,” included in the 2020 Annual Report.</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significant changes to our quantitative and qualitative disclosures about market risk as discussed in Part II, Item 7A “Quantitative and Qualitative Disclosures About Market Risk,” included in the 2020 Annual Report.</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Pursuant to Rule 13a-15(b) under the Exchange Act, our management carried out an evaluation, under the supervision and with the participation of our President and Chief Executive Officer and our Executive Vice President, Chief Financial Officer and Treasurer, of the effectiveness of the design and operation of our disclosure controls (as defined in Rule 13a-15(e) of the Exchange Act) and procedures. Based upon that evaluation, our President and Chief Executive Officer and our Executive Vice President, Chief Financial Officer and Treasurer concluded that, as of June 30, 2021, our disclosure controls and procedures were effective.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ind w:right="620"/>
        <w:spacing w:after="0" w:line="260"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June 30, 2021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2" w:right="47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See Note 14-</w:t>
      </w:r>
      <w:r>
        <w:rPr>
          <w:rFonts w:ascii="Arial" w:cs="Arial" w:eastAsia="Arial" w:hAnsi="Arial"/>
          <w:sz w:val="17"/>
          <w:szCs w:val="17"/>
          <w:b w:val="1"/>
          <w:bCs w:val="1"/>
          <w:i w:val="1"/>
          <w:iCs w:val="1"/>
          <w:color w:val="auto"/>
        </w:rPr>
        <w:t>Commitments and Contingencies</w:t>
      </w:r>
      <w:r>
        <w:rPr>
          <w:rFonts w:ascii="Arial" w:cs="Arial" w:eastAsia="Arial" w:hAnsi="Arial"/>
          <w:sz w:val="17"/>
          <w:szCs w:val="17"/>
          <w:color w:val="auto"/>
        </w:rPr>
        <w:t xml:space="preserve"> to the Notes to Unaudited Condensed Consolidated Financial Statements included in this Quarterly Report for a description of our legal proceedings. There have been no material developments with regard to any matters disclosed under Part I, Item 3 "Legal Proceedings" in our 2020 Annual Report, except as disclosed in such Note 14-</w:t>
      </w:r>
      <w:r>
        <w:rPr>
          <w:rFonts w:ascii="Arial" w:cs="Arial" w:eastAsia="Arial" w:hAnsi="Arial"/>
          <w:sz w:val="17"/>
          <w:szCs w:val="17"/>
          <w:b w:val="1"/>
          <w:bCs w:val="1"/>
          <w:i w:val="1"/>
          <w:iCs w:val="1"/>
          <w:color w:val="auto"/>
        </w:rPr>
        <w:t>Commitments and Contingencies</w:t>
      </w:r>
      <w:r>
        <w:rPr>
          <w:rFonts w:ascii="Arial" w:cs="Arial" w:eastAsia="Arial" w:hAnsi="Arial"/>
          <w:sz w:val="17"/>
          <w:szCs w:val="17"/>
          <w:color w:val="auto"/>
        </w:rPr>
        <w:t>.</w:t>
      </w:r>
    </w:p>
    <w:p>
      <w:pPr>
        <w:spacing w:after="0" w:line="16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addition to the other information set forth in this Quarterly Report, you should carefully consider the risk factors discussed under the “Risk Factors” section included in our 2020 Annual Report. Except as described below, there have been no material changes to the risk factors previously disclosed in the 2020 Annual Report.</w:t>
      </w:r>
    </w:p>
    <w:p>
      <w:pPr>
        <w:spacing w:after="0" w:line="21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In the first risk factor in our 2020 Annual Report, we discuss that we are susceptible to prolonged negative trends in the oil and gas industry due to our dependency on customers in that industry. Oil and gas customer revenue comprised approximately 57% of total revenue for the three months ended June 30, 2021. In April 2021, the Biden Administration announced plans to aggressively combat climate change, with initiatives that would significantly reduce the use of fossil fuels. Any legislation, regulations, or significant private industry action to implement these initiatives could have a negative impact on the oil and gas industry, and as a consequence, negatively impact our business and results of operations.</w:t>
      </w:r>
    </w:p>
    <w:p>
      <w:pPr>
        <w:spacing w:after="0" w:line="17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 of Equity Securities and Use of Proceeds</w:t>
      </w:r>
    </w:p>
    <w:p>
      <w:pPr>
        <w:spacing w:after="0" w:line="229" w:lineRule="exact"/>
        <w:rPr>
          <w:sz w:val="20"/>
          <w:szCs w:val="20"/>
          <w:color w:val="auto"/>
        </w:rPr>
      </w:pPr>
    </w:p>
    <w:p>
      <w:pPr>
        <w:ind w:left="660" w:right="8620" w:hanging="652"/>
        <w:spacing w:after="0" w:line="500" w:lineRule="auto"/>
        <w:tabs>
          <w:tab w:leader="none" w:pos="267"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Sales of Unregistered Securities </w:t>
      </w:r>
      <w:r>
        <w:rPr>
          <w:rFonts w:ascii="Arial" w:cs="Arial" w:eastAsia="Arial" w:hAnsi="Arial"/>
          <w:sz w:val="18"/>
          <w:szCs w:val="18"/>
          <w:color w:val="auto"/>
        </w:rPr>
        <w:t>None.</w:t>
      </w:r>
    </w:p>
    <w:p>
      <w:pPr>
        <w:spacing w:after="0" w:line="1" w:lineRule="exact"/>
        <w:rPr>
          <w:rFonts w:ascii="Arial" w:cs="Arial" w:eastAsia="Arial" w:hAnsi="Arial"/>
          <w:sz w:val="18"/>
          <w:szCs w:val="18"/>
          <w:b w:val="1"/>
          <w:bCs w:val="1"/>
          <w:i w:val="1"/>
          <w:iCs w:val="1"/>
          <w:color w:val="auto"/>
        </w:rPr>
      </w:pPr>
    </w:p>
    <w:p>
      <w:pPr>
        <w:ind w:left="660" w:right="6800" w:hanging="652"/>
        <w:spacing w:after="0" w:line="498" w:lineRule="auto"/>
        <w:tabs>
          <w:tab w:leader="none" w:pos="267"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Use of Proceeds from Public Offering of Common Stock </w:t>
      </w:r>
      <w:r>
        <w:rPr>
          <w:rFonts w:ascii="Arial" w:cs="Arial" w:eastAsia="Arial" w:hAnsi="Arial"/>
          <w:sz w:val="18"/>
          <w:szCs w:val="18"/>
          <w:color w:val="auto"/>
        </w:rPr>
        <w:t>None.</w:t>
      </w:r>
    </w:p>
    <w:p>
      <w:pPr>
        <w:spacing w:after="0" w:line="5" w:lineRule="exact"/>
        <w:rPr>
          <w:rFonts w:ascii="Arial" w:cs="Arial" w:eastAsia="Arial" w:hAnsi="Arial"/>
          <w:sz w:val="18"/>
          <w:szCs w:val="18"/>
          <w:b w:val="1"/>
          <w:bCs w:val="1"/>
          <w:i w:val="1"/>
          <w:iCs w:val="1"/>
          <w:color w:val="auto"/>
        </w:rPr>
      </w:pPr>
    </w:p>
    <w:p>
      <w:pPr>
        <w:ind w:left="260" w:hanging="252"/>
        <w:spacing w:after="0"/>
        <w:tabs>
          <w:tab w:leader="none" w:pos="2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Repurchases of Our Equity Securities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The following table sets forth the shares of our common stock we acquired during the quarter as a result of the surrender of shares by employees to satisfy tax withholding obligations in connection with the vesting of restricted stock units.</w:t>
      </w:r>
    </w:p>
    <w:tbl>
      <w:tblPr>
        <w:tblLayout w:type="fixed"/>
        <w:tblInd w:w="40" w:type="dxa"/>
        <w:tblCellMar>
          <w:top w:w="0" w:type="dxa"/>
          <w:left w:w="0" w:type="dxa"/>
          <w:bottom w:w="0" w:type="dxa"/>
          <w:right w:w="0" w:type="dxa"/>
        </w:tblCellMar>
      </w:tblPr>
      <w:tr>
        <w:trPr>
          <w:trHeight w:val="144"/>
        </w:trPr>
        <w:tc>
          <w:tcPr>
            <w:tcW w:w="1680" w:type="dxa"/>
            <w:vAlign w:val="bottom"/>
          </w:tcPr>
          <w:p>
            <w:pPr>
              <w:spacing w:after="0"/>
              <w:rPr>
                <w:sz w:val="12"/>
                <w:szCs w:val="12"/>
                <w:color w:val="auto"/>
              </w:rPr>
            </w:pPr>
          </w:p>
        </w:tc>
        <w:tc>
          <w:tcPr>
            <w:tcW w:w="2660" w:type="dxa"/>
            <w:vAlign w:val="bottom"/>
            <w:gridSpan w:val="2"/>
            <w:vMerge w:val="restart"/>
          </w:tcPr>
          <w:p>
            <w:pPr>
              <w:jc w:val="center"/>
              <w:ind w:left="137"/>
              <w:spacing w:after="0"/>
              <w:rPr>
                <w:sz w:val="20"/>
                <w:szCs w:val="20"/>
                <w:color w:val="auto"/>
              </w:rPr>
            </w:pPr>
            <w:r>
              <w:rPr>
                <w:rFonts w:ascii="Arial" w:cs="Arial" w:eastAsia="Arial" w:hAnsi="Arial"/>
                <w:sz w:val="14"/>
                <w:szCs w:val="14"/>
                <w:b w:val="1"/>
                <w:bCs w:val="1"/>
                <w:color w:val="auto"/>
                <w:w w:val="93"/>
              </w:rPr>
              <w:t>Total Number of Shares (or</w:t>
            </w:r>
          </w:p>
        </w:tc>
        <w:tc>
          <w:tcPr>
            <w:tcW w:w="240" w:type="dxa"/>
            <w:vAlign w:val="bottom"/>
          </w:tcPr>
          <w:p>
            <w:pPr>
              <w:spacing w:after="0"/>
              <w:rPr>
                <w:sz w:val="12"/>
                <w:szCs w:val="12"/>
                <w:color w:val="auto"/>
              </w:rPr>
            </w:pPr>
          </w:p>
        </w:tc>
        <w:tc>
          <w:tcPr>
            <w:tcW w:w="190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w w:val="98"/>
              </w:rPr>
              <w:t>Average Price Paid per</w:t>
            </w:r>
          </w:p>
        </w:tc>
        <w:tc>
          <w:tcPr>
            <w:tcW w:w="23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Total Number of Shares Purchased</w:t>
            </w:r>
          </w:p>
        </w:tc>
        <w:tc>
          <w:tcPr>
            <w:tcW w:w="220" w:type="dxa"/>
            <w:vAlign w:val="bottom"/>
          </w:tcPr>
          <w:p>
            <w:pPr>
              <w:spacing w:after="0"/>
              <w:rPr>
                <w:sz w:val="12"/>
                <w:szCs w:val="12"/>
                <w:color w:val="auto"/>
              </w:rPr>
            </w:pPr>
          </w:p>
        </w:tc>
        <w:tc>
          <w:tcPr>
            <w:tcW w:w="2060" w:type="dxa"/>
            <w:vAlign w:val="bottom"/>
          </w:tcPr>
          <w:p>
            <w:pPr>
              <w:jc w:val="center"/>
              <w:ind w:right="77"/>
              <w:spacing w:after="0" w:line="145" w:lineRule="exact"/>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35"/>
        </w:trPr>
        <w:tc>
          <w:tcPr>
            <w:tcW w:w="1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Month Ending</w:t>
            </w:r>
          </w:p>
        </w:tc>
        <w:tc>
          <w:tcPr>
            <w:tcW w:w="26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900" w:type="dxa"/>
            <w:vAlign w:val="bottom"/>
            <w:vMerge w:val="continue"/>
          </w:tcPr>
          <w:p>
            <w:pPr>
              <w:spacing w:after="0"/>
              <w:rPr>
                <w:sz w:val="11"/>
                <w:szCs w:val="11"/>
                <w:color w:val="auto"/>
              </w:rPr>
            </w:pPr>
          </w:p>
        </w:tc>
        <w:tc>
          <w:tcPr>
            <w:tcW w:w="23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as Part of Publicly Announced</w:t>
            </w:r>
          </w:p>
        </w:tc>
        <w:tc>
          <w:tcPr>
            <w:tcW w:w="22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Shares that May Yet Be Purchased</w:t>
            </w:r>
          </w:p>
        </w:tc>
        <w:tc>
          <w:tcPr>
            <w:tcW w:w="0" w:type="dxa"/>
            <w:vAlign w:val="bottom"/>
          </w:tcPr>
          <w:p>
            <w:pPr>
              <w:spacing w:after="0"/>
              <w:rPr>
                <w:sz w:val="1"/>
                <w:szCs w:val="1"/>
                <w:color w:val="auto"/>
              </w:rPr>
            </w:pPr>
          </w:p>
        </w:tc>
      </w:tr>
      <w:tr>
        <w:trPr>
          <w:trHeight w:val="188"/>
        </w:trPr>
        <w:tc>
          <w:tcPr>
            <w:tcW w:w="1680" w:type="dxa"/>
            <w:vAlign w:val="bottom"/>
            <w:vMerge w:val="continue"/>
          </w:tcPr>
          <w:p>
            <w:pPr>
              <w:spacing w:after="0"/>
              <w:rPr>
                <w:sz w:val="16"/>
                <w:szCs w:val="16"/>
                <w:color w:val="auto"/>
              </w:rPr>
            </w:pPr>
          </w:p>
        </w:tc>
        <w:tc>
          <w:tcPr>
            <w:tcW w:w="2660" w:type="dxa"/>
            <w:vAlign w:val="bottom"/>
            <w:gridSpan w:val="2"/>
          </w:tcPr>
          <w:p>
            <w:pPr>
              <w:jc w:val="center"/>
              <w:ind w:left="117"/>
              <w:spacing w:after="0"/>
              <w:rPr>
                <w:sz w:val="20"/>
                <w:szCs w:val="20"/>
                <w:color w:val="auto"/>
              </w:rPr>
            </w:pPr>
            <w:r>
              <w:rPr>
                <w:rFonts w:ascii="Arial" w:cs="Arial" w:eastAsia="Arial" w:hAnsi="Arial"/>
                <w:sz w:val="14"/>
                <w:szCs w:val="14"/>
                <w:b w:val="1"/>
                <w:bCs w:val="1"/>
                <w:color w:val="auto"/>
                <w:w w:val="92"/>
              </w:rPr>
              <w:t>Units) Purchased</w:t>
            </w:r>
          </w:p>
        </w:tc>
        <w:tc>
          <w:tcPr>
            <w:tcW w:w="240" w:type="dxa"/>
            <w:vAlign w:val="bottom"/>
          </w:tcPr>
          <w:p>
            <w:pPr>
              <w:spacing w:after="0"/>
              <w:rPr>
                <w:sz w:val="16"/>
                <w:szCs w:val="16"/>
                <w:color w:val="auto"/>
              </w:rPr>
            </w:pPr>
          </w:p>
        </w:tc>
        <w:tc>
          <w:tcPr>
            <w:tcW w:w="1900" w:type="dxa"/>
            <w:vAlign w:val="bottom"/>
          </w:tcPr>
          <w:p>
            <w:pPr>
              <w:jc w:val="right"/>
              <w:ind w:right="537"/>
              <w:spacing w:after="0"/>
              <w:rPr>
                <w:sz w:val="20"/>
                <w:szCs w:val="20"/>
                <w:color w:val="auto"/>
              </w:rPr>
            </w:pPr>
            <w:r>
              <w:rPr>
                <w:rFonts w:ascii="Arial" w:cs="Arial" w:eastAsia="Arial" w:hAnsi="Arial"/>
                <w:sz w:val="14"/>
                <w:szCs w:val="14"/>
                <w:b w:val="1"/>
                <w:bCs w:val="1"/>
                <w:color w:val="auto"/>
              </w:rPr>
              <w:t>Share (or Unit)</w:t>
            </w:r>
          </w:p>
        </w:tc>
        <w:tc>
          <w:tcPr>
            <w:tcW w:w="2340" w:type="dxa"/>
            <w:vAlign w:val="bottom"/>
          </w:tcPr>
          <w:p>
            <w:pPr>
              <w:jc w:val="center"/>
              <w:spacing w:after="0"/>
              <w:rPr>
                <w:sz w:val="20"/>
                <w:szCs w:val="20"/>
                <w:color w:val="auto"/>
              </w:rPr>
            </w:pPr>
            <w:r>
              <w:rPr>
                <w:rFonts w:ascii="Arial" w:cs="Arial" w:eastAsia="Arial" w:hAnsi="Arial"/>
                <w:sz w:val="14"/>
                <w:szCs w:val="14"/>
                <w:b w:val="1"/>
                <w:bCs w:val="1"/>
                <w:color w:val="auto"/>
                <w:w w:val="91"/>
              </w:rPr>
              <w:t>Plans or Programs</w:t>
            </w:r>
          </w:p>
        </w:tc>
        <w:tc>
          <w:tcPr>
            <w:tcW w:w="220" w:type="dxa"/>
            <w:vAlign w:val="bottom"/>
          </w:tcPr>
          <w:p>
            <w:pPr>
              <w:spacing w:after="0"/>
              <w:rPr>
                <w:sz w:val="16"/>
                <w:szCs w:val="16"/>
                <w:color w:val="auto"/>
              </w:rPr>
            </w:pPr>
          </w:p>
        </w:tc>
        <w:tc>
          <w:tcPr>
            <w:tcW w:w="2060" w:type="dxa"/>
            <w:vAlign w:val="bottom"/>
          </w:tcPr>
          <w:p>
            <w:pPr>
              <w:jc w:val="center"/>
              <w:ind w:right="77"/>
              <w:spacing w:after="0"/>
              <w:rPr>
                <w:sz w:val="20"/>
                <w:szCs w:val="20"/>
                <w:color w:val="auto"/>
              </w:rPr>
            </w:pPr>
            <w:r>
              <w:rPr>
                <w:rFonts w:ascii="Arial" w:cs="Arial" w:eastAsia="Arial" w:hAnsi="Arial"/>
                <w:sz w:val="14"/>
                <w:szCs w:val="14"/>
                <w:b w:val="1"/>
                <w:bCs w:val="1"/>
                <w:color w:val="auto"/>
                <w:w w:val="93"/>
              </w:rPr>
              <w:t>Under the Plans or Programs</w:t>
            </w:r>
          </w:p>
        </w:tc>
        <w:tc>
          <w:tcPr>
            <w:tcW w:w="0" w:type="dxa"/>
            <w:vAlign w:val="bottom"/>
          </w:tcPr>
          <w:p>
            <w:pPr>
              <w:spacing w:after="0"/>
              <w:rPr>
                <w:sz w:val="1"/>
                <w:szCs w:val="1"/>
                <w:color w:val="auto"/>
              </w:rPr>
            </w:pPr>
          </w:p>
        </w:tc>
      </w:tr>
      <w:tr>
        <w:trPr>
          <w:trHeight w:val="224"/>
        </w:trPr>
        <w:tc>
          <w:tcPr>
            <w:tcW w:w="16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April 30, 2021</w:t>
            </w:r>
          </w:p>
        </w:tc>
        <w:tc>
          <w:tcPr>
            <w:tcW w:w="2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42,143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11.62</w:t>
            </w:r>
          </w:p>
        </w:tc>
        <w:tc>
          <w:tcPr>
            <w:tcW w:w="2340" w:type="dxa"/>
            <w:vAlign w:val="bottom"/>
            <w:tcBorders>
              <w:top w:val="single" w:sz="8" w:color="auto"/>
            </w:tcBorders>
            <w:shd w:val="clear" w:color="auto" w:fill="CCEEFF"/>
          </w:tcPr>
          <w:p>
            <w:pPr>
              <w:ind w:left="204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tcBorders>
              <w:top w:val="single" w:sz="8" w:color="auto"/>
            </w:tcBorders>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680" w:type="dxa"/>
            <w:vAlign w:val="bottom"/>
          </w:tcPr>
          <w:p>
            <w:pPr>
              <w:ind w:left="40"/>
              <w:spacing w:after="0"/>
              <w:rPr>
                <w:sz w:val="20"/>
                <w:szCs w:val="20"/>
                <w:color w:val="auto"/>
              </w:rPr>
            </w:pPr>
            <w:r>
              <w:rPr>
                <w:rFonts w:ascii="Arial" w:cs="Arial" w:eastAsia="Arial" w:hAnsi="Arial"/>
                <w:sz w:val="18"/>
                <w:szCs w:val="18"/>
                <w:color w:val="auto"/>
              </w:rPr>
              <w:t>May 31, 2021</w:t>
            </w:r>
          </w:p>
        </w:tc>
        <w:tc>
          <w:tcPr>
            <w:tcW w:w="2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340" w:type="dxa"/>
            <w:vAlign w:val="bottom"/>
          </w:tcPr>
          <w:p>
            <w:pPr>
              <w:ind w:left="204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60" w:type="dxa"/>
            <w:vAlign w:val="bottom"/>
          </w:tcPr>
          <w:p>
            <w:pPr>
              <w:ind w:left="1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June 30, 2021</w:t>
            </w:r>
          </w:p>
        </w:tc>
        <w:tc>
          <w:tcPr>
            <w:tcW w:w="2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340" w:type="dxa"/>
            <w:vAlign w:val="bottom"/>
            <w:shd w:val="clear" w:color="auto" w:fill="CCEEFF"/>
          </w:tcPr>
          <w:p>
            <w:pPr>
              <w:ind w:left="20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420" w:type="dxa"/>
            <w:vAlign w:val="bottom"/>
            <w:gridSpan w:val="11"/>
          </w:tcPr>
          <w:p>
            <w:pPr>
              <w:ind w:left="60"/>
              <w:spacing w:after="0"/>
              <w:rPr>
                <w:sz w:val="20"/>
                <w:szCs w:val="20"/>
                <w:color w:val="auto"/>
              </w:rPr>
            </w:pPr>
            <w:r>
              <w:rPr>
                <w:rFonts w:ascii="Arial" w:cs="Arial" w:eastAsia="Arial" w:hAnsi="Arial"/>
                <w:sz w:val="18"/>
                <w:szCs w:val="18"/>
                <w:b w:val="1"/>
                <w:bCs w:val="1"/>
                <w:color w:val="auto"/>
              </w:rPr>
              <w:t>Exhibits</w:t>
            </w:r>
          </w:p>
        </w:tc>
      </w:tr>
      <w:tr>
        <w:trPr>
          <w:trHeight w:val="426"/>
        </w:trPr>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Exhibit No.</w:t>
            </w:r>
          </w:p>
        </w:tc>
        <w:tc>
          <w:tcPr>
            <w:tcW w:w="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gridSpan w:val="7"/>
          </w:tcPr>
          <w:p>
            <w:pPr>
              <w:ind w:left="3800"/>
              <w:spacing w:after="0"/>
              <w:rPr>
                <w:sz w:val="20"/>
                <w:szCs w:val="20"/>
                <w:color w:val="auto"/>
              </w:rPr>
            </w:pPr>
            <w:r>
              <w:rPr>
                <w:rFonts w:ascii="Arial" w:cs="Arial" w:eastAsia="Arial" w:hAnsi="Arial"/>
                <w:sz w:val="14"/>
                <w:szCs w:val="14"/>
                <w:b w:val="1"/>
                <w:bCs w:val="1"/>
                <w:color w:val="auto"/>
              </w:rPr>
              <w:t>Description</w:t>
            </w:r>
          </w:p>
        </w:tc>
      </w:tr>
      <w:tr>
        <w:trPr>
          <w:trHeight w:val="188"/>
        </w:trPr>
        <w:tc>
          <w:tcPr>
            <w:tcW w:w="340" w:type="dxa"/>
            <w:vAlign w:val="bottom"/>
            <w:gridSpan w:val="2"/>
          </w:tcPr>
          <w:p>
            <w:pPr>
              <w:ind w:left="20"/>
              <w:spacing w:after="0" w:line="189" w:lineRule="exact"/>
              <w:rPr>
                <w:rFonts w:ascii="Arial" w:cs="Arial" w:eastAsia="Arial" w:hAnsi="Arial"/>
                <w:sz w:val="18"/>
                <w:szCs w:val="18"/>
                <w:color w:val="0000FF"/>
                <w:w w:val="85"/>
              </w:rPr>
            </w:pPr>
            <w:hyperlink r:id="rId54">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20" w:type="dxa"/>
            <w:vAlign w:val="bottom"/>
            <w:gridSpan w:val="8"/>
          </w:tcPr>
          <w:p>
            <w:pPr>
              <w:spacing w:after="0" w:line="189" w:lineRule="exact"/>
              <w:rPr>
                <w:rFonts w:ascii="Arial" w:cs="Arial" w:eastAsia="Arial" w:hAnsi="Arial"/>
                <w:sz w:val="18"/>
                <w:szCs w:val="18"/>
                <w:color w:val="0000FF"/>
                <w:w w:val="94"/>
              </w:rPr>
            </w:pPr>
            <w:hyperlink r:id="rId54">
              <w:r>
                <w:rPr>
                  <w:rFonts w:ascii="Arial" w:cs="Arial" w:eastAsia="Arial" w:hAnsi="Arial"/>
                  <w:sz w:val="18"/>
                  <w:szCs w:val="18"/>
                  <w:color w:val="0000FF"/>
                  <w:w w:val="94"/>
                </w:rPr>
                <w:t>Fifth Amendment, date May 19, 2021, to the Fifth Amended and Restate Credit Agreement (filed as Exhibit 10.1 to Current Report on</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r:id="rId54">
              <w:r>
                <w:rPr>
                  <w:rFonts w:ascii="Arial" w:cs="Arial" w:eastAsia="Arial" w:hAnsi="Arial"/>
                  <w:sz w:val="18"/>
                  <w:szCs w:val="18"/>
                  <w:color w:val="0000FF"/>
                </w:rPr>
                <w:t>Form 8-K, filed May 20, 2021 and incorporated herein by reference),</w:t>
              </w:r>
            </w:hyperlink>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3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1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340" w:type="dxa"/>
            <w:vAlign w:val="bottom"/>
            <w:gridSpan w:val="2"/>
          </w:tcPr>
          <w:p>
            <w:pPr>
              <w:ind w:left="20"/>
              <w:spacing w:after="0"/>
              <w:rPr>
                <w:rFonts w:ascii="Arial" w:cs="Arial" w:eastAsia="Arial" w:hAnsi="Arial"/>
                <w:sz w:val="18"/>
                <w:szCs w:val="18"/>
                <w:color w:val="0000FF"/>
                <w:w w:val="85"/>
              </w:rPr>
            </w:pPr>
            <w:hyperlink w:anchor="page44">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2</w:t>
              </w:r>
            </w:hyperlink>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8"/>
          </w:tcPr>
          <w:p>
            <w:pPr>
              <w:spacing w:after="0"/>
              <w:rPr>
                <w:rFonts w:ascii="Arial" w:cs="Arial" w:eastAsia="Arial" w:hAnsi="Arial"/>
                <w:sz w:val="18"/>
                <w:szCs w:val="18"/>
                <w:color w:val="0000FF"/>
                <w:w w:val="94"/>
              </w:rPr>
            </w:pPr>
            <w:hyperlink w:anchor="page44">
              <w:r>
                <w:rPr>
                  <w:rFonts w:ascii="Arial" w:cs="Arial" w:eastAsia="Arial" w:hAnsi="Arial"/>
                  <w:sz w:val="18"/>
                  <w:szCs w:val="18"/>
                  <w:color w:val="0000FF"/>
                  <w:w w:val="94"/>
                </w:rPr>
                <w:t xml:space="preserve">Memorandum of Understanding, dated May 4, 2021, regarding the settlement of the two legal proceedings captioned </w:t>
              </w:r>
              <w:r>
                <w:rPr>
                  <w:rFonts w:ascii="Arial" w:cs="Arial" w:eastAsia="Arial" w:hAnsi="Arial"/>
                  <w:sz w:val="18"/>
                  <w:szCs w:val="18"/>
                  <w:i w:val="1"/>
                  <w:iCs w:val="1"/>
                  <w:color w:val="0000FF"/>
                  <w:w w:val="94"/>
                </w:rPr>
                <w:t>Price v. Mistras</w:t>
              </w:r>
            </w:hyperlink>
          </w:p>
        </w:tc>
      </w:tr>
      <w:tr>
        <w:trPr>
          <w:trHeight w:val="169"/>
        </w:trPr>
        <w:tc>
          <w:tcPr>
            <w:tcW w:w="2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Borders>
              <w:top w:val="single" w:sz="8" w:color="0000FF"/>
              <w:bottom w:val="single" w:sz="8" w:color="0000FF"/>
            </w:tcBorders>
          </w:tcPr>
          <w:p>
            <w:pPr>
              <w:spacing w:after="0" w:line="169" w:lineRule="exact"/>
              <w:rPr>
                <w:rFonts w:ascii="Arial" w:cs="Arial" w:eastAsia="Arial" w:hAnsi="Arial"/>
                <w:sz w:val="18"/>
                <w:szCs w:val="18"/>
                <w:i w:val="1"/>
                <w:iCs w:val="1"/>
                <w:color w:val="0000FF"/>
                <w:w w:val="92"/>
              </w:rPr>
            </w:pPr>
            <w:hyperlink w:anchor="page44">
              <w:r>
                <w:rPr>
                  <w:rFonts w:ascii="Arial" w:cs="Arial" w:eastAsia="Arial" w:hAnsi="Arial"/>
                  <w:sz w:val="18"/>
                  <w:szCs w:val="18"/>
                  <w:i w:val="1"/>
                  <w:iCs w:val="1"/>
                  <w:color w:val="0000FF"/>
                  <w:w w:val="92"/>
                </w:rPr>
                <w:t>Group, Inc.</w:t>
              </w:r>
            </w:hyperlink>
          </w:p>
        </w:tc>
        <w:tc>
          <w:tcPr>
            <w:tcW w:w="9160" w:type="dxa"/>
            <w:vAlign w:val="bottom"/>
            <w:tcBorders>
              <w:top w:val="single" w:sz="8" w:color="0000FF"/>
            </w:tcBorders>
            <w:gridSpan w:val="6"/>
          </w:tcPr>
          <w:p>
            <w:pPr>
              <w:spacing w:after="0"/>
              <w:rPr>
                <w:sz w:val="14"/>
                <w:szCs w:val="14"/>
                <w:color w:val="auto"/>
              </w:rPr>
            </w:pPr>
          </w:p>
        </w:tc>
        <w:tc>
          <w:tcPr>
            <w:tcW w:w="20" w:type="dxa"/>
            <w:vAlign w:val="bottom"/>
          </w:tcPr>
          <w:p>
            <w:pPr>
              <w:spacing w:after="0"/>
              <w:rPr>
                <w:sz w:val="14"/>
                <w:szCs w:val="14"/>
                <w:color w:val="auto"/>
              </w:rPr>
            </w:pPr>
          </w:p>
        </w:tc>
      </w:tr>
      <w:tr>
        <w:trPr>
          <w:trHeight w:val="493"/>
        </w:trPr>
        <w:tc>
          <w:tcPr>
            <w:tcW w:w="340" w:type="dxa"/>
            <w:vAlign w:val="bottom"/>
            <w:gridSpan w:val="2"/>
          </w:tcPr>
          <w:p>
            <w:pPr>
              <w:ind w:left="20"/>
              <w:spacing w:after="0"/>
              <w:rPr>
                <w:rFonts w:ascii="Arial" w:cs="Arial" w:eastAsia="Arial" w:hAnsi="Arial"/>
                <w:sz w:val="18"/>
                <w:szCs w:val="18"/>
                <w:color w:val="0000FF"/>
                <w:w w:val="85"/>
              </w:rPr>
            </w:pPr>
            <w:hyperlink w:anchor="page49">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4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49">
              <w:r>
                <w:rPr>
                  <w:rFonts w:ascii="Arial" w:cs="Arial" w:eastAsia="Arial" w:hAnsi="Arial"/>
                  <w:sz w:val="18"/>
                  <w:szCs w:val="18"/>
                  <w:color w:val="0000FF"/>
                  <w:w w:val="91"/>
                </w:rPr>
                <w:t>Certification of Chief Executive Officer pursuant to Rule 13a-14(a) under the Securities Exchange Act of 1934.</w:t>
              </w:r>
            </w:hyperlink>
          </w:p>
        </w:tc>
        <w:tc>
          <w:tcPr>
            <w:tcW w:w="1980" w:type="dxa"/>
            <w:vAlign w:val="bottom"/>
            <w:gridSpan w:val="3"/>
          </w:tcPr>
          <w:p>
            <w:pPr>
              <w:spacing w:after="0"/>
              <w:rPr>
                <w:sz w:val="24"/>
                <w:szCs w:val="24"/>
                <w:color w:val="auto"/>
              </w:rPr>
            </w:pPr>
          </w:p>
        </w:tc>
      </w:tr>
      <w:tr>
        <w:trPr>
          <w:trHeight w:val="439"/>
        </w:trPr>
        <w:tc>
          <w:tcPr>
            <w:tcW w:w="340" w:type="dxa"/>
            <w:vAlign w:val="bottom"/>
            <w:gridSpan w:val="2"/>
          </w:tcPr>
          <w:p>
            <w:pPr>
              <w:ind w:left="20"/>
              <w:spacing w:after="0"/>
              <w:rPr>
                <w:rFonts w:ascii="Arial" w:cs="Arial" w:eastAsia="Arial" w:hAnsi="Arial"/>
                <w:sz w:val="18"/>
                <w:szCs w:val="18"/>
                <w:color w:val="0000FF"/>
                <w:w w:val="85"/>
              </w:rPr>
            </w:pPr>
            <w:hyperlink w:anchor="page50">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8"/>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Certification of Chief Financial Officer pursuant to Rule 13a-14(a) under the Securities Exchange Act of 1934.</w:t>
              </w:r>
            </w:hyperlink>
          </w:p>
        </w:tc>
      </w:tr>
      <w:tr>
        <w:trPr>
          <w:trHeight w:val="479"/>
        </w:trPr>
        <w:tc>
          <w:tcPr>
            <w:tcW w:w="20" w:type="dxa"/>
            <w:vAlign w:val="bottom"/>
          </w:tcPr>
          <w:p>
            <w:pPr>
              <w:spacing w:after="0"/>
              <w:rPr>
                <w:sz w:val="24"/>
                <w:szCs w:val="24"/>
                <w:color w:val="auto"/>
              </w:rPr>
            </w:pPr>
          </w:p>
        </w:tc>
        <w:tc>
          <w:tcPr>
            <w:tcW w:w="320" w:type="dxa"/>
            <w:vAlign w:val="bottom"/>
          </w:tcPr>
          <w:p>
            <w:pPr>
              <w:spacing w:after="0"/>
              <w:rPr>
                <w:rFonts w:ascii="Arial" w:cs="Arial" w:eastAsia="Arial" w:hAnsi="Arial"/>
                <w:sz w:val="18"/>
                <w:szCs w:val="18"/>
                <w:color w:val="0000FF"/>
                <w:w w:val="85"/>
              </w:rPr>
            </w:pPr>
            <w:hyperlink w:anchor="page51">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top w:val="single" w:sz="8" w:color="0000FF"/>
            </w:tcBorders>
            <w:gridSpan w:val="4"/>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Certification pursuant to Section 906 of the Sarbanes-Oxley Act of 2002.</w:t>
              </w:r>
            </w:hyperlink>
          </w:p>
        </w:tc>
        <w:tc>
          <w:tcPr>
            <w:tcW w:w="2040" w:type="dxa"/>
            <w:vAlign w:val="bottom"/>
            <w:gridSpan w:val="4"/>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gridSpan w:val="3"/>
            <w:shd w:val="clear" w:color="auto" w:fill="0000FF"/>
          </w:tcPr>
          <w:p>
            <w:pPr>
              <w:spacing w:after="0" w:line="20" w:lineRule="exact"/>
              <w:rPr>
                <w:sz w:val="1"/>
                <w:szCs w:val="1"/>
                <w:color w:val="auto"/>
              </w:rPr>
            </w:pPr>
          </w:p>
        </w:tc>
        <w:tc>
          <w:tcPr>
            <w:tcW w:w="4760" w:type="dxa"/>
            <w:vAlign w:val="bottom"/>
            <w:gridSpan w:val="5"/>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8"/>
          </w:tcPr>
          <w:p>
            <w:pPr>
              <w:spacing w:after="0"/>
              <w:rPr>
                <w:sz w:val="20"/>
                <w:szCs w:val="20"/>
                <w:color w:val="auto"/>
              </w:rPr>
            </w:pPr>
            <w:r>
              <w:rPr>
                <w:rFonts w:ascii="Arial" w:cs="Arial" w:eastAsia="Arial" w:hAnsi="Arial"/>
                <w:sz w:val="18"/>
                <w:szCs w:val="18"/>
                <w:color w:val="auto"/>
              </w:rPr>
              <w:t>XBRL Schema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8"/>
          </w:tcPr>
          <w:p>
            <w:pPr>
              <w:spacing w:after="0"/>
              <w:rPr>
                <w:sz w:val="20"/>
                <w:szCs w:val="20"/>
                <w:color w:val="auto"/>
              </w:rPr>
            </w:pPr>
            <w:r>
              <w:rPr>
                <w:rFonts w:ascii="Arial" w:cs="Arial" w:eastAsia="Arial" w:hAnsi="Arial"/>
                <w:sz w:val="18"/>
                <w:szCs w:val="18"/>
                <w:color w:val="auto"/>
              </w:rPr>
              <w:t>XBRL Calculation Linkbase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8"/>
          </w:tcPr>
          <w:p>
            <w:pPr>
              <w:spacing w:after="0"/>
              <w:rPr>
                <w:sz w:val="20"/>
                <w:szCs w:val="20"/>
                <w:color w:val="auto"/>
              </w:rPr>
            </w:pPr>
            <w:r>
              <w:rPr>
                <w:rFonts w:ascii="Arial" w:cs="Arial" w:eastAsia="Arial" w:hAnsi="Arial"/>
                <w:sz w:val="18"/>
                <w:szCs w:val="18"/>
                <w:color w:val="auto"/>
              </w:rPr>
              <w:t>XBRL Labels Linkbase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8"/>
          </w:tcPr>
          <w:p>
            <w:pPr>
              <w:spacing w:after="0"/>
              <w:rPr>
                <w:sz w:val="20"/>
                <w:szCs w:val="20"/>
                <w:color w:val="auto"/>
              </w:rPr>
            </w:pPr>
            <w:r>
              <w:rPr>
                <w:rFonts w:ascii="Arial" w:cs="Arial" w:eastAsia="Arial" w:hAnsi="Arial"/>
                <w:sz w:val="18"/>
                <w:szCs w:val="18"/>
                <w:color w:val="auto"/>
              </w:rPr>
              <w:t>XBRL Presentation Linkbase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8"/>
          </w:tcPr>
          <w:p>
            <w:pPr>
              <w:spacing w:after="0"/>
              <w:rPr>
                <w:sz w:val="20"/>
                <w:szCs w:val="20"/>
                <w:color w:val="auto"/>
              </w:rPr>
            </w:pPr>
            <w:r>
              <w:rPr>
                <w:rFonts w:ascii="Arial" w:cs="Arial" w:eastAsia="Arial" w:hAnsi="Arial"/>
                <w:sz w:val="18"/>
                <w:szCs w:val="18"/>
                <w:color w:val="auto"/>
              </w:rPr>
              <w:t>XBRL Definition Linkbase Document</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MISTRAS GROUP, INC.</w:t>
      </w:r>
    </w:p>
    <w:p>
      <w:pPr>
        <w:spacing w:after="0" w:line="256" w:lineRule="exact"/>
        <w:rPr>
          <w:sz w:val="20"/>
          <w:szCs w:val="20"/>
          <w:color w:val="auto"/>
        </w:rPr>
      </w:pPr>
    </w:p>
    <w:p>
      <w:pPr>
        <w:ind w:left="4860"/>
        <w:spacing w:after="0"/>
        <w:tabs>
          <w:tab w:leader="none" w:pos="5300" w:val="left"/>
        </w:tabs>
        <w:rPr>
          <w:sz w:val="20"/>
          <w:szCs w:val="20"/>
          <w:color w:val="auto"/>
        </w:rPr>
      </w:pPr>
      <w:r>
        <w:rPr>
          <w:rFonts w:ascii="Arial" w:cs="Arial" w:eastAsia="Arial" w:hAnsi="Arial"/>
          <w:sz w:val="18"/>
          <w:szCs w:val="18"/>
          <w:color w:val="auto"/>
        </w:rPr>
        <w:t>By:</w:t>
        <w:tab/>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7630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Edward J. Prajzner</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(Principal Financial and Accounting Officer and duly authorized officer)</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20"/>
          </w:cols>
          <w:pgMar w:left="320" w:top="122" w:right="659" w:bottom="1440" w:gutter="0" w:footer="0" w:header="0"/>
        </w:sectPr>
      </w:pPr>
    </w:p>
    <w:bookmarkStart w:id="43" w:name="page44"/>
    <w:bookmarkEnd w:id="43"/>
    <w:p>
      <w:pPr>
        <w:jc w:val="right"/>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Price v. Mistras Group</w:t>
      </w:r>
      <w:r>
        <w:rPr>
          <w:rFonts w:ascii="Arial" w:cs="Arial" w:eastAsia="Arial" w:hAnsi="Arial"/>
          <w:sz w:val="22"/>
          <w:szCs w:val="22"/>
          <w:color w:val="auto"/>
        </w:rPr>
        <w:t>, Case Nos. 20STCV22485 and 20LBCV00408</w:t>
      </w:r>
    </w:p>
    <w:p>
      <w:pPr>
        <w:spacing w:after="0" w:line="214" w:lineRule="exact"/>
        <w:rPr>
          <w:sz w:val="20"/>
          <w:szCs w:val="20"/>
          <w:color w:val="auto"/>
        </w:rPr>
      </w:pPr>
    </w:p>
    <w:p>
      <w:pPr>
        <w:ind w:left="3620"/>
        <w:spacing w:after="0"/>
        <w:rPr>
          <w:sz w:val="20"/>
          <w:szCs w:val="20"/>
          <w:color w:val="auto"/>
        </w:rPr>
      </w:pPr>
      <w:r>
        <w:rPr>
          <w:rFonts w:ascii="Arial" w:cs="Arial" w:eastAsia="Arial" w:hAnsi="Arial"/>
          <w:sz w:val="22"/>
          <w:szCs w:val="22"/>
          <w:b w:val="1"/>
          <w:bCs w:val="1"/>
          <w:u w:val="single" w:color="auto"/>
          <w:color w:val="auto"/>
        </w:rPr>
        <w:t>MEMORANDUM OF UNDERSTANDING</w:t>
      </w:r>
    </w:p>
    <w:p>
      <w:pPr>
        <w:spacing w:after="0" w:line="226"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 xml:space="preserve">Subject to final approval by the Court, and with the understanding that the settlement agreement (“Agreement”) documented in this Memorandum of Understanding (“MOU”) shall be further memorialized in a more comprehensive written settlement agreement, Plaintiff Justin Price (“Price” or “Plaintiff”), on behalf of himself and all others similarly situated, and Defendant MISTRAS Group, Inc. (“MISTRAS” or “Defendant”), and past and present corporate affiliates, subsidiary divisions, related entities, successors-in-interest, divested business and business units, hereby agree to the settlement of the putative class-and-representative actions styled </w:t>
      </w:r>
      <w:r>
        <w:rPr>
          <w:rFonts w:ascii="Arial" w:cs="Arial" w:eastAsia="Arial" w:hAnsi="Arial"/>
          <w:sz w:val="21"/>
          <w:szCs w:val="21"/>
          <w:i w:val="1"/>
          <w:iCs w:val="1"/>
          <w:color w:val="auto"/>
        </w:rPr>
        <w:t>Justin Price, et al. v. MISTRAS Group, Inc., et al.</w:t>
      </w:r>
      <w:r>
        <w:rPr>
          <w:rFonts w:ascii="Arial" w:cs="Arial" w:eastAsia="Arial" w:hAnsi="Arial"/>
          <w:sz w:val="21"/>
          <w:szCs w:val="21"/>
          <w:color w:val="auto"/>
        </w:rPr>
        <w:t>, Los Angeles Superior Court Case No. 20STCV22485 (“</w:t>
      </w:r>
      <w:r>
        <w:rPr>
          <w:rFonts w:ascii="Arial" w:cs="Arial" w:eastAsia="Arial" w:hAnsi="Arial"/>
          <w:sz w:val="21"/>
          <w:szCs w:val="21"/>
          <w:i w:val="1"/>
          <w:iCs w:val="1"/>
          <w:color w:val="auto"/>
        </w:rPr>
        <w:t>Price</w:t>
      </w:r>
      <w:r>
        <w:rPr>
          <w:rFonts w:ascii="Arial" w:cs="Arial" w:eastAsia="Arial" w:hAnsi="Arial"/>
          <w:sz w:val="21"/>
          <w:szCs w:val="21"/>
          <w:color w:val="auto"/>
        </w:rPr>
        <w:t xml:space="preserve"> Class Action”), and </w:t>
      </w:r>
      <w:r>
        <w:rPr>
          <w:rFonts w:ascii="Arial" w:cs="Arial" w:eastAsia="Arial" w:hAnsi="Arial"/>
          <w:sz w:val="21"/>
          <w:szCs w:val="21"/>
          <w:i w:val="1"/>
          <w:iCs w:val="1"/>
          <w:color w:val="auto"/>
        </w:rPr>
        <w:t>Justin Price, et al. v. MISTRAS Group, Inc., et al.</w:t>
      </w:r>
      <w:r>
        <w:rPr>
          <w:rFonts w:ascii="Arial" w:cs="Arial" w:eastAsia="Arial" w:hAnsi="Arial"/>
          <w:sz w:val="21"/>
          <w:szCs w:val="21"/>
          <w:color w:val="auto"/>
        </w:rPr>
        <w:t>, Los Angeles Superior Court Case No. 20LBCV00408 (“</w:t>
      </w:r>
      <w:r>
        <w:rPr>
          <w:rFonts w:ascii="Arial" w:cs="Arial" w:eastAsia="Arial" w:hAnsi="Arial"/>
          <w:sz w:val="21"/>
          <w:szCs w:val="21"/>
          <w:i w:val="1"/>
          <w:iCs w:val="1"/>
          <w:color w:val="auto"/>
        </w:rPr>
        <w:t>Price</w:t>
      </w:r>
      <w:r>
        <w:rPr>
          <w:rFonts w:ascii="Arial" w:cs="Arial" w:eastAsia="Arial" w:hAnsi="Arial"/>
          <w:sz w:val="21"/>
          <w:szCs w:val="21"/>
          <w:color w:val="auto"/>
        </w:rPr>
        <w:t xml:space="preserve"> PAGA Action,” and collectively with the </w:t>
      </w:r>
      <w:r>
        <w:rPr>
          <w:rFonts w:ascii="Arial" w:cs="Arial" w:eastAsia="Arial" w:hAnsi="Arial"/>
          <w:sz w:val="21"/>
          <w:szCs w:val="21"/>
          <w:i w:val="1"/>
          <w:iCs w:val="1"/>
          <w:color w:val="auto"/>
        </w:rPr>
        <w:t>Price</w:t>
      </w:r>
      <w:r>
        <w:rPr>
          <w:rFonts w:ascii="Arial" w:cs="Arial" w:eastAsia="Arial" w:hAnsi="Arial"/>
          <w:sz w:val="21"/>
          <w:szCs w:val="21"/>
          <w:color w:val="auto"/>
        </w:rPr>
        <w:t xml:space="preserve"> Class Action, the “Actions”), and do so upon the following essential terms:</w:t>
      </w:r>
    </w:p>
    <w:p>
      <w:pPr>
        <w:spacing w:after="0" w:line="179" w:lineRule="exact"/>
        <w:rPr>
          <w:sz w:val="20"/>
          <w:szCs w:val="20"/>
          <w:color w:val="auto"/>
        </w:rPr>
      </w:pPr>
    </w:p>
    <w:p>
      <w:pPr>
        <w:jc w:val="both"/>
        <w:ind w:left="660" w:hanging="652"/>
        <w:spacing w:after="0" w:line="253" w:lineRule="auto"/>
        <w:tabs>
          <w:tab w:leader="none" w:pos="889" w:val="left"/>
        </w:tabs>
        <w:numPr>
          <w:ilvl w:val="0"/>
          <w:numId w:val="1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California Class” Definition</w:t>
      </w:r>
      <w:r>
        <w:rPr>
          <w:rFonts w:ascii="Arial" w:cs="Arial" w:eastAsia="Arial" w:hAnsi="Arial"/>
          <w:sz w:val="22"/>
          <w:szCs w:val="22"/>
          <w:color w:val="auto"/>
        </w:rPr>
        <w:t xml:space="preserve"> – all individuals who are or previously were employed by Defendant Mistras Group, Inc. (“Defendant”) in California who were classified as non-exempt employees during the period June 10, 2016 to July 31, 2021 (the “Class Period”).</w:t>
      </w:r>
    </w:p>
    <w:p>
      <w:pPr>
        <w:spacing w:after="0" w:line="185" w:lineRule="exact"/>
        <w:rPr>
          <w:rFonts w:ascii="Arial" w:cs="Arial" w:eastAsia="Arial" w:hAnsi="Arial"/>
          <w:sz w:val="22"/>
          <w:szCs w:val="22"/>
          <w:color w:val="auto"/>
        </w:rPr>
      </w:pPr>
    </w:p>
    <w:p>
      <w:pPr>
        <w:ind w:left="880" w:hanging="872"/>
        <w:spacing w:after="0"/>
        <w:tabs>
          <w:tab w:leader="none" w:pos="880"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Class Counsel</w:t>
      </w:r>
      <w:r>
        <w:rPr>
          <w:rFonts w:ascii="Arial" w:cs="Arial" w:eastAsia="Arial" w:hAnsi="Arial"/>
          <w:sz w:val="22"/>
          <w:szCs w:val="22"/>
          <w:color w:val="auto"/>
        </w:rPr>
        <w:t xml:space="preserve"> – Blumenthal Nordrehaug Bhowmik De Blouw LLP.</w:t>
      </w:r>
    </w:p>
    <w:p>
      <w:pPr>
        <w:spacing w:after="0" w:line="219" w:lineRule="exact"/>
        <w:rPr>
          <w:rFonts w:ascii="Arial" w:cs="Arial" w:eastAsia="Arial" w:hAnsi="Arial"/>
          <w:sz w:val="22"/>
          <w:szCs w:val="22"/>
          <w:color w:val="auto"/>
        </w:rPr>
      </w:pPr>
    </w:p>
    <w:p>
      <w:pPr>
        <w:ind w:left="920" w:hanging="912"/>
        <w:spacing w:after="0"/>
        <w:tabs>
          <w:tab w:leader="none" w:pos="920"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Plaintiffs</w:t>
      </w:r>
      <w:r>
        <w:rPr>
          <w:rFonts w:ascii="Arial" w:cs="Arial" w:eastAsia="Arial" w:hAnsi="Arial"/>
          <w:sz w:val="22"/>
          <w:szCs w:val="22"/>
          <w:color w:val="auto"/>
        </w:rPr>
        <w:t xml:space="preserve"> – The Plaintiffs are Brenda and Justin Price.</w:t>
      </w:r>
    </w:p>
    <w:p>
      <w:pPr>
        <w:spacing w:after="0" w:line="219" w:lineRule="exact"/>
        <w:rPr>
          <w:rFonts w:ascii="Arial" w:cs="Arial" w:eastAsia="Arial" w:hAnsi="Arial"/>
          <w:sz w:val="22"/>
          <w:szCs w:val="22"/>
          <w:color w:val="auto"/>
        </w:rPr>
      </w:pPr>
    </w:p>
    <w:p>
      <w:pPr>
        <w:ind w:left="660" w:hanging="652"/>
        <w:spacing w:after="0" w:line="263" w:lineRule="auto"/>
        <w:tabs>
          <w:tab w:leader="none" w:pos="916"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Enforceability</w:t>
      </w:r>
      <w:r>
        <w:rPr>
          <w:rFonts w:ascii="Arial" w:cs="Arial" w:eastAsia="Arial" w:hAnsi="Arial"/>
          <w:sz w:val="22"/>
          <w:szCs w:val="22"/>
          <w:color w:val="auto"/>
        </w:rPr>
        <w:t xml:space="preserve"> – The Parties intend this MOU to be admissible and binding under California Code of Civil Procedure Section 664.</w:t>
      </w:r>
    </w:p>
    <w:p>
      <w:pPr>
        <w:spacing w:after="0" w:line="174" w:lineRule="exact"/>
        <w:rPr>
          <w:rFonts w:ascii="Arial" w:cs="Arial" w:eastAsia="Arial" w:hAnsi="Arial"/>
          <w:sz w:val="22"/>
          <w:szCs w:val="22"/>
          <w:color w:val="auto"/>
        </w:rPr>
      </w:pPr>
    </w:p>
    <w:p>
      <w:pPr>
        <w:jc w:val="both"/>
        <w:ind w:left="660" w:right="20" w:hanging="652"/>
        <w:spacing w:after="0" w:line="302" w:lineRule="auto"/>
        <w:tabs>
          <w:tab w:leader="none" w:pos="903" w:val="left"/>
        </w:tabs>
        <w:numPr>
          <w:ilvl w:val="0"/>
          <w:numId w:val="12"/>
        </w:numPr>
        <w:rPr>
          <w:rFonts w:ascii="Arial" w:cs="Arial" w:eastAsia="Arial" w:hAnsi="Arial"/>
          <w:sz w:val="19"/>
          <w:szCs w:val="19"/>
          <w:color w:val="auto"/>
        </w:rPr>
      </w:pPr>
      <w:r>
        <w:rPr>
          <w:rFonts w:ascii="Arial" w:cs="Arial" w:eastAsia="Arial" w:hAnsi="Arial"/>
          <w:sz w:val="19"/>
          <w:szCs w:val="19"/>
          <w:u w:val="single" w:color="auto"/>
          <w:color w:val="auto"/>
        </w:rPr>
        <w:t>Gross Settlement Amount</w:t>
      </w:r>
      <w:r>
        <w:rPr>
          <w:rFonts w:ascii="Arial" w:cs="Arial" w:eastAsia="Arial" w:hAnsi="Arial"/>
          <w:sz w:val="19"/>
          <w:szCs w:val="19"/>
          <w:color w:val="auto"/>
        </w:rPr>
        <w:t xml:space="preserve"> – Defendant shall pay out the total sum of $2.3 million for payment of all claims, including payment of Claims Administration Expenses; Attorneys’ Fees; Attorneys’ Expenses; Service Awards, and the PAGA Payment. The Gross Settlement Amount shall be all-in with no reversion to Defendant. The employer's share of payroll taxes shall not be paid from the Gross Settlement Amount and shall remain the sole responsibility of Defendant.</w:t>
      </w:r>
    </w:p>
    <w:p>
      <w:pPr>
        <w:spacing w:after="0" w:line="142" w:lineRule="exact"/>
        <w:rPr>
          <w:rFonts w:ascii="Arial" w:cs="Arial" w:eastAsia="Arial" w:hAnsi="Arial"/>
          <w:sz w:val="19"/>
          <w:szCs w:val="19"/>
          <w:color w:val="auto"/>
        </w:rPr>
      </w:pPr>
    </w:p>
    <w:p>
      <w:pPr>
        <w:ind w:left="660" w:right="20" w:hanging="652"/>
        <w:spacing w:after="0" w:line="263" w:lineRule="auto"/>
        <w:tabs>
          <w:tab w:leader="none" w:pos="997"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Settlement Allocation</w:t>
      </w:r>
      <w:r>
        <w:rPr>
          <w:rFonts w:ascii="Arial" w:cs="Arial" w:eastAsia="Arial" w:hAnsi="Arial"/>
          <w:sz w:val="22"/>
          <w:szCs w:val="22"/>
          <w:color w:val="auto"/>
        </w:rPr>
        <w:t xml:space="preserve"> – The allocation of payment of claims between the Class Members shall be paid based on the number of workweeks worked during the Class Period.</w:t>
      </w:r>
    </w:p>
    <w:p>
      <w:pPr>
        <w:spacing w:after="0" w:line="174" w:lineRule="exact"/>
        <w:rPr>
          <w:rFonts w:ascii="Arial" w:cs="Arial" w:eastAsia="Arial" w:hAnsi="Arial"/>
          <w:sz w:val="22"/>
          <w:szCs w:val="22"/>
          <w:color w:val="auto"/>
        </w:rPr>
      </w:pPr>
    </w:p>
    <w:p>
      <w:pPr>
        <w:ind w:left="660" w:hanging="652"/>
        <w:spacing w:after="0" w:line="343" w:lineRule="auto"/>
        <w:tabs>
          <w:tab w:leader="none" w:pos="876" w:val="left"/>
        </w:tabs>
        <w:numPr>
          <w:ilvl w:val="0"/>
          <w:numId w:val="12"/>
        </w:numPr>
        <w:rPr>
          <w:rFonts w:ascii="Arial" w:cs="Arial" w:eastAsia="Arial" w:hAnsi="Arial"/>
          <w:sz w:val="19"/>
          <w:szCs w:val="19"/>
          <w:color w:val="auto"/>
        </w:rPr>
      </w:pPr>
      <w:r>
        <w:rPr>
          <w:rFonts w:ascii="Arial" w:cs="Arial" w:eastAsia="Arial" w:hAnsi="Arial"/>
          <w:sz w:val="19"/>
          <w:szCs w:val="19"/>
          <w:u w:val="single" w:color="auto"/>
          <w:color w:val="auto"/>
        </w:rPr>
        <w:t>Service Award</w:t>
      </w:r>
      <w:r>
        <w:rPr>
          <w:rFonts w:ascii="Arial" w:cs="Arial" w:eastAsia="Arial" w:hAnsi="Arial"/>
          <w:sz w:val="19"/>
          <w:szCs w:val="19"/>
          <w:color w:val="auto"/>
        </w:rPr>
        <w:t xml:space="preserve"> – Defendant shall not oppose a service award to Plaintiffs in the amount of $10,000 each. If this amount is reduced, the amount by which the Service Award is reduced will be allocated to the Net Settlement Amount.</w:t>
      </w:r>
    </w:p>
    <w:p>
      <w:pPr>
        <w:spacing w:after="0" w:line="104" w:lineRule="exact"/>
        <w:rPr>
          <w:rFonts w:ascii="Arial" w:cs="Arial" w:eastAsia="Arial" w:hAnsi="Arial"/>
          <w:sz w:val="19"/>
          <w:szCs w:val="19"/>
          <w:color w:val="auto"/>
        </w:rPr>
      </w:pPr>
    </w:p>
    <w:p>
      <w:pPr>
        <w:jc w:val="both"/>
        <w:ind w:left="660" w:hanging="652"/>
        <w:spacing w:after="0" w:line="253" w:lineRule="auto"/>
        <w:tabs>
          <w:tab w:leader="none" w:pos="903"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PAGA Payment</w:t>
      </w:r>
      <w:r>
        <w:rPr>
          <w:rFonts w:ascii="Arial" w:cs="Arial" w:eastAsia="Arial" w:hAnsi="Arial"/>
          <w:sz w:val="22"/>
          <w:szCs w:val="22"/>
          <w:color w:val="auto"/>
        </w:rPr>
        <w:t xml:space="preserve"> – The PAGA payment of $50,000 shall be made from the Gross Settlement Amount, with 25% of the payment going to the “Aggrieved Employees,” who are defined as all non-exempt employees who were employed in California during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32" w:right="339" w:bottom="1440" w:gutter="0" w:footer="0" w:header="0"/>
        </w:sectPr>
      </w:pPr>
    </w:p>
    <w:bookmarkStart w:id="44" w:name="page45"/>
    <w:bookmarkEnd w:id="44"/>
    <w:p>
      <w:pPr>
        <w:ind w:left="660"/>
        <w:spacing w:after="0" w:line="263" w:lineRule="auto"/>
        <w:rPr>
          <w:sz w:val="20"/>
          <w:szCs w:val="20"/>
          <w:color w:val="auto"/>
        </w:rPr>
      </w:pPr>
      <w:r>
        <w:rPr>
          <w:rFonts w:ascii="Arial" w:cs="Arial" w:eastAsia="Arial" w:hAnsi="Arial"/>
          <w:sz w:val="22"/>
          <w:szCs w:val="22"/>
          <w:color w:val="auto"/>
        </w:rPr>
        <w:t>time period June 1, 2019 to July 31, 2021 (the “PAGA Period”) and 75% of the payment going to the LWDA. These payments will be made whether or not the Aggrieved Employees opt out of the Settlement.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660" w:hanging="652"/>
        <w:spacing w:after="0" w:line="253" w:lineRule="auto"/>
        <w:tabs>
          <w:tab w:leader="none" w:pos="1200"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Claims Administration Expenses</w:t>
      </w:r>
      <w:r>
        <w:rPr>
          <w:rFonts w:ascii="Arial" w:cs="Arial" w:eastAsia="Arial" w:hAnsi="Arial"/>
          <w:sz w:val="22"/>
          <w:szCs w:val="22"/>
          <w:color w:val="auto"/>
        </w:rPr>
        <w:t xml:space="preserve"> - Claims Administrator shall be mutually agreed to by the Parties. Claims Administration Expenses shall not exceed the estimated of the Claims Administrator to administrate the settlement of the class.</w:t>
      </w:r>
    </w:p>
    <w:p>
      <w:pPr>
        <w:spacing w:after="0" w:line="185" w:lineRule="exact"/>
        <w:rPr>
          <w:rFonts w:ascii="Arial" w:cs="Arial" w:eastAsia="Arial" w:hAnsi="Arial"/>
          <w:sz w:val="22"/>
          <w:szCs w:val="22"/>
          <w:color w:val="auto"/>
        </w:rPr>
      </w:pPr>
    </w:p>
    <w:p>
      <w:pPr>
        <w:jc w:val="both"/>
        <w:ind w:left="660" w:hanging="652"/>
        <w:spacing w:after="0" w:line="288" w:lineRule="auto"/>
        <w:tabs>
          <w:tab w:leader="none" w:pos="984"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Workweek Information</w:t>
      </w:r>
      <w:r>
        <w:rPr>
          <w:rFonts w:ascii="Arial" w:cs="Arial" w:eastAsia="Arial" w:hAnsi="Arial"/>
          <w:sz w:val="19"/>
          <w:szCs w:val="19"/>
          <w:color w:val="auto"/>
        </w:rPr>
        <w:t xml:space="preserve"> – It is currently estimated that there are approximately 1,136 Class Members who worked 125,357 workweeks through April 23, 2021. Defendant will provide a declaration under penalty of perjury confirming the number of Class Members and workweeks they worked during the defined Class Period of June 10, 2016 to July 31, 2021. The Gross Settlement Amount will increase proportionally with added workweeks through July 31, 2021 and if the number is more than 10% of the workweeks estimate stated herein, i.e., exceeds 137,892 workweeks, subject to Defendant’s right, but not the obligation, to revoke this Agreement in lieu of an increase to the Gross Settlement Amount. The estimated Class Members and applicable workweeks exclude workweeks through February 17, 2017 for any Class Members who were also members of California settlement class of </w:t>
      </w:r>
      <w:r>
        <w:rPr>
          <w:rFonts w:ascii="Arial" w:cs="Arial" w:eastAsia="Arial" w:hAnsi="Arial"/>
          <w:sz w:val="19"/>
          <w:szCs w:val="19"/>
          <w:i w:val="1"/>
          <w:iCs w:val="1"/>
          <w:color w:val="auto"/>
        </w:rPr>
        <w:t>Viceral and Krueger, et al. v. Mistras Group, Inc., et</w:t>
      </w:r>
      <w:r>
        <w:rPr>
          <w:rFonts w:ascii="Arial" w:cs="Arial" w:eastAsia="Arial" w:hAnsi="Arial"/>
          <w:sz w:val="19"/>
          <w:szCs w:val="19"/>
          <w:color w:val="auto"/>
        </w:rPr>
        <w:t xml:space="preserve"> </w:t>
      </w:r>
      <w:r>
        <w:rPr>
          <w:rFonts w:ascii="Arial" w:cs="Arial" w:eastAsia="Arial" w:hAnsi="Arial"/>
          <w:sz w:val="19"/>
          <w:szCs w:val="19"/>
          <w:i w:val="1"/>
          <w:iCs w:val="1"/>
          <w:color w:val="auto"/>
        </w:rPr>
        <w:t>al.</w:t>
      </w:r>
      <w:r>
        <w:rPr>
          <w:rFonts w:ascii="Arial" w:cs="Arial" w:eastAsia="Arial" w:hAnsi="Arial"/>
          <w:sz w:val="19"/>
          <w:szCs w:val="19"/>
          <w:color w:val="auto"/>
        </w:rPr>
        <w:t>, N.D. Cal. Case No. 3:15-cv-02198-EMC (“</w:t>
      </w:r>
      <w:r>
        <w:rPr>
          <w:rFonts w:ascii="Arial" w:cs="Arial" w:eastAsia="Arial" w:hAnsi="Arial"/>
          <w:sz w:val="19"/>
          <w:szCs w:val="19"/>
          <w:i w:val="1"/>
          <w:iCs w:val="1"/>
          <w:color w:val="auto"/>
        </w:rPr>
        <w:t>Viceral”</w:t>
      </w:r>
      <w:r>
        <w:rPr>
          <w:rFonts w:ascii="Arial" w:cs="Arial" w:eastAsia="Arial" w:hAnsi="Arial"/>
          <w:sz w:val="19"/>
          <w:szCs w:val="19"/>
          <w:color w:val="auto"/>
        </w:rPr>
        <w:t>). Accordingly, the Class Period for Class Members who were part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of the California settlement class in </w:t>
      </w:r>
      <w:r>
        <w:rPr>
          <w:rFonts w:ascii="Arial" w:cs="Arial" w:eastAsia="Arial" w:hAnsi="Arial"/>
          <w:sz w:val="19"/>
          <w:szCs w:val="19"/>
          <w:i w:val="1"/>
          <w:iCs w:val="1"/>
          <w:color w:val="auto"/>
        </w:rPr>
        <w:t>Viceral</w:t>
      </w:r>
      <w:r>
        <w:rPr>
          <w:rFonts w:ascii="Arial" w:cs="Arial" w:eastAsia="Arial" w:hAnsi="Arial"/>
          <w:sz w:val="19"/>
          <w:szCs w:val="19"/>
          <w:color w:val="auto"/>
        </w:rPr>
        <w:t xml:space="preserve"> shall be modified to begin on February 18, 2017.</w:t>
      </w:r>
    </w:p>
    <w:p>
      <w:pPr>
        <w:spacing w:after="0" w:line="159" w:lineRule="exact"/>
        <w:rPr>
          <w:rFonts w:ascii="Arial" w:cs="Arial" w:eastAsia="Arial" w:hAnsi="Arial"/>
          <w:sz w:val="19"/>
          <w:szCs w:val="19"/>
          <w:color w:val="auto"/>
        </w:rPr>
      </w:pPr>
    </w:p>
    <w:p>
      <w:pPr>
        <w:ind w:left="860" w:hanging="852"/>
        <w:spacing w:after="0"/>
        <w:tabs>
          <w:tab w:leader="none" w:pos="860"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Attorneys’ Fees</w:t>
      </w:r>
      <w:r>
        <w:rPr>
          <w:rFonts w:ascii="Arial" w:cs="Arial" w:eastAsia="Arial" w:hAnsi="Arial"/>
          <w:sz w:val="19"/>
          <w:szCs w:val="19"/>
          <w:color w:val="auto"/>
        </w:rPr>
        <w:t xml:space="preserve"> – Defendant agrees not to oppose an Attorneys’ Fees request up to 1/3 of the Settlement Amount.</w:t>
      </w:r>
    </w:p>
    <w:p>
      <w:pPr>
        <w:spacing w:after="0" w:line="254" w:lineRule="exact"/>
        <w:rPr>
          <w:rFonts w:ascii="Arial" w:cs="Arial" w:eastAsia="Arial" w:hAnsi="Arial"/>
          <w:sz w:val="19"/>
          <w:szCs w:val="19"/>
          <w:color w:val="auto"/>
        </w:rPr>
      </w:pPr>
    </w:p>
    <w:p>
      <w:pPr>
        <w:ind w:left="660" w:hanging="652"/>
        <w:spacing w:after="0" w:line="263" w:lineRule="auto"/>
        <w:tabs>
          <w:tab w:leader="none" w:pos="970"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Attorneys’ Expenses</w:t>
      </w:r>
      <w:r>
        <w:rPr>
          <w:rFonts w:ascii="Arial" w:cs="Arial" w:eastAsia="Arial" w:hAnsi="Arial"/>
          <w:sz w:val="22"/>
          <w:szCs w:val="22"/>
          <w:color w:val="auto"/>
        </w:rPr>
        <w:t xml:space="preserve"> – Defendant agrees not to oppose Attorneys’ Expenses in an amount as documented in Class Counsel’s billing statement.</w:t>
      </w:r>
    </w:p>
    <w:p>
      <w:pPr>
        <w:spacing w:after="0" w:line="174" w:lineRule="exact"/>
        <w:rPr>
          <w:rFonts w:ascii="Arial" w:cs="Arial" w:eastAsia="Arial" w:hAnsi="Arial"/>
          <w:sz w:val="22"/>
          <w:szCs w:val="22"/>
          <w:color w:val="auto"/>
        </w:rPr>
      </w:pPr>
    </w:p>
    <w:p>
      <w:pPr>
        <w:jc w:val="both"/>
        <w:ind w:left="660" w:hanging="652"/>
        <w:spacing w:after="0" w:line="250" w:lineRule="auto"/>
        <w:tabs>
          <w:tab w:leader="none" w:pos="889"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Notice to California Class Members</w:t>
      </w:r>
      <w:r>
        <w:rPr>
          <w:rFonts w:ascii="Arial" w:cs="Arial" w:eastAsia="Arial" w:hAnsi="Arial"/>
          <w:sz w:val="22"/>
          <w:szCs w:val="22"/>
          <w:color w:val="auto"/>
        </w:rPr>
        <w:t xml:space="preserve"> – All members of the California Class shall be provided notice of the Actions and the proposed settlement in a form approved by the Court, and shall have the opportunity to request exclusion from the </w:t>
      </w:r>
      <w:r>
        <w:rPr>
          <w:rFonts w:ascii="Arial" w:cs="Arial" w:eastAsia="Arial" w:hAnsi="Arial"/>
          <w:sz w:val="22"/>
          <w:szCs w:val="22"/>
          <w:i w:val="1"/>
          <w:iCs w:val="1"/>
          <w:color w:val="auto"/>
        </w:rPr>
        <w:t xml:space="preserve">Price </w:t>
      </w:r>
      <w:r>
        <w:rPr>
          <w:rFonts w:ascii="Arial" w:cs="Arial" w:eastAsia="Arial" w:hAnsi="Arial"/>
          <w:sz w:val="22"/>
          <w:szCs w:val="22"/>
          <w:color w:val="auto"/>
        </w:rPr>
        <w:t>Class Action and settlement; provided, however, that Plaintiffs waive their right to request exclusion and may not</w:t>
      </w:r>
      <w:r>
        <w:rPr>
          <w:rFonts w:ascii="Arial" w:cs="Arial" w:eastAsia="Arial" w:hAnsi="Arial"/>
          <w:sz w:val="22"/>
          <w:szCs w:val="22"/>
          <w:i w:val="1"/>
          <w:iCs w:val="1"/>
          <w:color w:val="auto"/>
        </w:rPr>
        <w:t xml:space="preserve"> </w:t>
      </w:r>
      <w:r>
        <w:rPr>
          <w:rFonts w:ascii="Arial" w:cs="Arial" w:eastAsia="Arial" w:hAnsi="Arial"/>
          <w:sz w:val="22"/>
          <w:szCs w:val="22"/>
          <w:color w:val="auto"/>
        </w:rPr>
        <w:t>do so.</w:t>
      </w:r>
    </w:p>
    <w:p>
      <w:pPr>
        <w:spacing w:after="0" w:line="187" w:lineRule="exact"/>
        <w:rPr>
          <w:rFonts w:ascii="Arial" w:cs="Arial" w:eastAsia="Arial" w:hAnsi="Arial"/>
          <w:sz w:val="22"/>
          <w:szCs w:val="22"/>
          <w:color w:val="auto"/>
        </w:rPr>
      </w:pPr>
    </w:p>
    <w:p>
      <w:pPr>
        <w:jc w:val="both"/>
        <w:ind w:left="660" w:hanging="652"/>
        <w:spacing w:after="0" w:line="260" w:lineRule="auto"/>
        <w:tabs>
          <w:tab w:leader="none" w:pos="1092" w:val="left"/>
        </w:tabs>
        <w:numPr>
          <w:ilvl w:val="0"/>
          <w:numId w:val="13"/>
        </w:numPr>
        <w:rPr>
          <w:rFonts w:ascii="Arial" w:cs="Arial" w:eastAsia="Arial" w:hAnsi="Arial"/>
          <w:sz w:val="21"/>
          <w:szCs w:val="21"/>
          <w:color w:val="auto"/>
        </w:rPr>
      </w:pPr>
      <w:r>
        <w:rPr>
          <w:rFonts w:ascii="Arial" w:cs="Arial" w:eastAsia="Arial" w:hAnsi="Arial"/>
          <w:sz w:val="21"/>
          <w:szCs w:val="21"/>
          <w:u w:val="single" w:color="auto"/>
          <w:color w:val="auto"/>
        </w:rPr>
        <w:t>Plaintiffs’ General Release of Claims</w:t>
      </w:r>
      <w:r>
        <w:rPr>
          <w:rFonts w:ascii="Arial" w:cs="Arial" w:eastAsia="Arial" w:hAnsi="Arial"/>
          <w:sz w:val="21"/>
          <w:szCs w:val="21"/>
          <w:color w:val="auto"/>
        </w:rPr>
        <w:t xml:space="preserve"> – In consideration for Defendant’s promises and obligations under this Agreement, Plaintiffs each agree to a general and comprehensive release of all of their respective known and unknown claims against MISTRAS’ past and present corporate affiliates, subsidiaries, divisions, related entities, divested businesses and business units, and the board members, officers, employees, agents, representatives, insurers and attorneys of any of the same (“Released Parties”), including, without limitation, all claims that were or could have been alleged in the written notice sent to the Labor &amp; Workforce Development Agency pursuant to California Labor Code § 2699.3(a)(1) and the Complaints and/or Amended Complaints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45" w:name="page46"/>
    <w:bookmarkEnd w:id="45"/>
    <w:p>
      <w:pPr>
        <w:jc w:val="both"/>
        <w:ind w:left="660"/>
        <w:spacing w:after="0" w:line="289" w:lineRule="auto"/>
        <w:rPr>
          <w:sz w:val="20"/>
          <w:szCs w:val="20"/>
          <w:color w:val="auto"/>
        </w:rPr>
      </w:pPr>
      <w:r>
        <w:rPr>
          <w:rFonts w:ascii="Arial" w:cs="Arial" w:eastAsia="Arial" w:hAnsi="Arial"/>
          <w:sz w:val="19"/>
          <w:szCs w:val="19"/>
          <w:color w:val="auto"/>
        </w:rPr>
        <w:t>the Actions under any state law, federal law, common law, equity or other theory arising in any way out of Plaintiffs’ former employment with MISTRAS or any of the Released Parties. As part of this release, Plaintiffs further release all unknown claims against MISTRAS and any of the Released Parties, covered by California Civil Code Section 1542, which states: “</w:t>
      </w:r>
      <w:r>
        <w:rPr>
          <w:rFonts w:ascii="Arial" w:cs="Arial" w:eastAsia="Arial" w:hAnsi="Arial"/>
          <w:sz w:val="19"/>
          <w:szCs w:val="19"/>
          <w:b w:val="1"/>
          <w:bCs w:val="1"/>
          <w:color w:val="auto"/>
        </w:rPr>
        <w:t>A general release does not extend to claims that the creditor or releasing party does not know or</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suspect to exist in his or her favor at the time of executing the release and that, if known by him or her, would have materially affected his or her settlement with the debtor or released party.” </w:t>
      </w:r>
      <w:r>
        <w:rPr>
          <w:rFonts w:ascii="Arial" w:cs="Arial" w:eastAsia="Arial" w:hAnsi="Arial"/>
          <w:sz w:val="19"/>
          <w:szCs w:val="19"/>
          <w:color w:val="auto"/>
        </w:rPr>
        <w:t>Plaintiffs understand that each is an</w:t>
      </w:r>
      <w:r>
        <w:rPr>
          <w:rFonts w:ascii="Arial" w:cs="Arial" w:eastAsia="Arial" w:hAnsi="Arial"/>
          <w:sz w:val="19"/>
          <w:szCs w:val="19"/>
          <w:b w:val="1"/>
          <w:bCs w:val="1"/>
          <w:color w:val="auto"/>
        </w:rPr>
        <w:t xml:space="preserve"> </w:t>
      </w:r>
      <w:r>
        <w:rPr>
          <w:rFonts w:ascii="Arial" w:cs="Arial" w:eastAsia="Arial" w:hAnsi="Arial"/>
          <w:sz w:val="19"/>
          <w:szCs w:val="19"/>
          <w:color w:val="auto"/>
        </w:rPr>
        <w:t>individual, a “creditor” and “releasing party” within the meaning of Civil Code section 1542, and thereby expressly waives and relinquishes any and all rights and benefits under Section 1542 of the Civil Code of the State of California and under any statute, rule, or principle of common law or equity, of any jurisdiction, that is similar to Section 1542.</w:t>
      </w:r>
    </w:p>
    <w:p>
      <w:pPr>
        <w:spacing w:after="0" w:line="157" w:lineRule="exact"/>
        <w:rPr>
          <w:sz w:val="20"/>
          <w:szCs w:val="20"/>
          <w:color w:val="auto"/>
        </w:rPr>
      </w:pPr>
    </w:p>
    <w:p>
      <w:pPr>
        <w:jc w:val="both"/>
        <w:ind w:left="660" w:hanging="652"/>
        <w:spacing w:after="0" w:line="287" w:lineRule="auto"/>
        <w:tabs>
          <w:tab w:leader="none" w:pos="916"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Released Claims</w:t>
      </w:r>
      <w:r>
        <w:rPr>
          <w:rFonts w:ascii="Arial" w:cs="Arial" w:eastAsia="Arial" w:hAnsi="Arial"/>
          <w:sz w:val="19"/>
          <w:szCs w:val="19"/>
          <w:color w:val="auto"/>
        </w:rPr>
        <w:t>: Upon entry of final judgment and, in consideration for Defendant’s promises and obligations under this Agreement, the Defendant shall be entitled to a release from the State of California of all PAGA claims pled or could have been pled based on the factual allegations contained in in the Complaints and/or Amended Complaints filed in the Action and the written notice(s) sent to the Labor &amp; Workforce Development Agency pursuant to California Labor Code § 2699.3(a)(1)f that occurred during the PAGA Period as to the Aggrieved Employees, and a release from the Class Members who decline to request exclusion from these Actions and settlement shall thereby release the Released Parties from all claims that were or could have been alleged in the Complaints and/or Amended Complaints filed in the Actions under any state law, federal law, common law, equity or other theory arising in any way from the facts alleged in the Complaints and/or Amended Complaints filed in the Action regarding the provision (or alleged non-provision) of wages, compensation, remuneration, expense reimbursements, premium payments, meal and/or rest breaks (or timing or length of any breaks provided), pre- or post-shift work, commute time, and/or wage statements provided to those class members (or the content or lack of content of any wage statements received), from June 10, 2016 through July 31, 2021, and the Released Claims as further defined below.</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jc w:val="both"/>
        <w:ind w:left="660" w:hanging="652"/>
        <w:spacing w:after="0" w:line="289" w:lineRule="auto"/>
        <w:tabs>
          <w:tab w:leader="none" w:pos="908"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The Released Claims include all claims, rights, demands, liabilities, causes of action, and theories of liability of every nature and description, whether known or unknown, that were alleged against Defendant and/or any of the Released Parties, or which could have been alleged based on the facts pled against them in the written notice sent to the Labor &amp; Workforce Development Agency pursuant to California Labor Code § 2699.3(a)(1) or the Complaints and/or Amended Complaints in the Actions. These claims include claims for failure to pay wages for all hours worked, including overtime pay, minimum wages, premium pay, failure to pay for pre- or post-shift work, failure to pay for commute time, failure to pay wage guaranteed or wages at the agreed upon rate and/or failure to calculate wages due at the applicable statutory and/or regular rate of pay or compensation, failure to pay wages semi-monthly at designated times, failure to pay all wages due upon termination, failure to pay waiting time penalties, failure to provide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46" w:name="page47"/>
    <w:bookmarkEnd w:id="46"/>
    <w:p>
      <w:pPr>
        <w:jc w:val="both"/>
        <w:ind w:left="660"/>
        <w:spacing w:after="0" w:line="285" w:lineRule="auto"/>
        <w:rPr>
          <w:sz w:val="20"/>
          <w:szCs w:val="20"/>
          <w:color w:val="auto"/>
        </w:rPr>
      </w:pPr>
      <w:r>
        <w:rPr>
          <w:rFonts w:ascii="Arial" w:cs="Arial" w:eastAsia="Arial" w:hAnsi="Arial"/>
          <w:sz w:val="19"/>
          <w:szCs w:val="19"/>
          <w:color w:val="auto"/>
        </w:rPr>
        <w:t>or maintain copies of accurate itemized wage statements, failure to maintain records of hours worked and/or accurate payroll records, and/or for penalties (regardless of the recipient), failure to provide meal periods, failure to provide rest periods, failure to reimburse necessary business expenses, damages, interest, costs or attorneys’ fees, and violations of any local, state or federal law, whether for economic damages, non-economic damages, liquidated, or punitive damages, restitution, tort, contract, equitable relief, injunctive or declaratory relief, that occurred during the applicable California Class Period and arising from the facts that were alleged or could have been alleged in the written notice sent to the Labor</w:t>
      </w:r>
    </w:p>
    <w:p>
      <w:pPr>
        <w:jc w:val="both"/>
        <w:ind w:left="660"/>
        <w:spacing w:after="0" w:line="286" w:lineRule="auto"/>
        <w:rPr>
          <w:sz w:val="20"/>
          <w:szCs w:val="20"/>
          <w:color w:val="auto"/>
        </w:rPr>
      </w:pPr>
      <w:r>
        <w:rPr>
          <w:rFonts w:ascii="Arial" w:cs="Arial" w:eastAsia="Arial" w:hAnsi="Arial"/>
          <w:sz w:val="19"/>
          <w:szCs w:val="19"/>
          <w:color w:val="auto"/>
        </w:rPr>
        <w:t xml:space="preserve">&amp; Workforce Development Agency pursuant to California Labor Code § 2699.3(a)(1) or the Complaints and/or Amended Complaints in the Actions, including claims under any common laws, contract, Fair Labor Standards Act (“FLSA”), the California Business &amp; Professions Code Sections 17200, </w:t>
      </w:r>
      <w:r>
        <w:rPr>
          <w:rFonts w:ascii="Arial" w:cs="Arial" w:eastAsia="Arial" w:hAnsi="Arial"/>
          <w:sz w:val="19"/>
          <w:szCs w:val="19"/>
          <w:i w:val="1"/>
          <w:iCs w:val="1"/>
          <w:color w:val="auto"/>
        </w:rPr>
        <w:t>et seq.</w:t>
      </w:r>
      <w:r>
        <w:rPr>
          <w:rFonts w:ascii="Arial" w:cs="Arial" w:eastAsia="Arial" w:hAnsi="Arial"/>
          <w:sz w:val="19"/>
          <w:szCs w:val="19"/>
          <w:color w:val="auto"/>
        </w:rPr>
        <w:t xml:space="preserve"> (“UCL”), including claims asserted under the UCL predicated on violations of any state and/or federal law, including the FLSA, Cal. Code of Regulations, Title 8, Sections 11000, </w:t>
      </w:r>
      <w:r>
        <w:rPr>
          <w:rFonts w:ascii="Arial" w:cs="Arial" w:eastAsia="Arial" w:hAnsi="Arial"/>
          <w:sz w:val="19"/>
          <w:szCs w:val="19"/>
          <w:i w:val="1"/>
          <w:iCs w:val="1"/>
          <w:color w:val="auto"/>
        </w:rPr>
        <w:t>et seq.</w:t>
      </w:r>
      <w:r>
        <w:rPr>
          <w:rFonts w:ascii="Arial" w:cs="Arial" w:eastAsia="Arial" w:hAnsi="Arial"/>
          <w:sz w:val="19"/>
          <w:szCs w:val="19"/>
          <w:color w:val="auto"/>
        </w:rPr>
        <w:t xml:space="preserve">, Wage Order 4 or any other applicable Wage Order, the California Labor Code, and the California Private Attorneys General Act of 2004, Labor Code Sections 2698, </w:t>
      </w:r>
      <w:r>
        <w:rPr>
          <w:rFonts w:ascii="Arial" w:cs="Arial" w:eastAsia="Arial" w:hAnsi="Arial"/>
          <w:sz w:val="19"/>
          <w:szCs w:val="19"/>
          <w:i w:val="1"/>
          <w:iCs w:val="1"/>
          <w:color w:val="auto"/>
        </w:rPr>
        <w:t>et seq</w:t>
      </w:r>
      <w:r>
        <w:rPr>
          <w:rFonts w:ascii="Arial" w:cs="Arial" w:eastAsia="Arial" w:hAnsi="Arial"/>
          <w:sz w:val="19"/>
          <w:szCs w:val="19"/>
          <w:color w:val="auto"/>
        </w:rPr>
        <w:t>. Notwithstanding the foregoing, the Released Claims does not include vested benefits, wrongful termination, unemployment insurance, disability, social security, workers’ compensation, class claims outside of the Class Period, PAGA claims outside of the PAGA period, and any individual claim under the Section 16(b) of the FLSA, 29 U.S.C. § 216(b), as to a California Class Member who does not opt-in to the Settlement by cashing, depositing or endorsing his or her Settlement Payment check, to the extent that opting-in is required to release such FLSA claims.</w:t>
      </w:r>
    </w:p>
    <w:p>
      <w:pPr>
        <w:spacing w:after="0" w:line="200" w:lineRule="exact"/>
        <w:rPr>
          <w:sz w:val="20"/>
          <w:szCs w:val="20"/>
          <w:color w:val="auto"/>
        </w:rPr>
      </w:pPr>
    </w:p>
    <w:p>
      <w:pPr>
        <w:spacing w:after="0" w:line="215" w:lineRule="exact"/>
        <w:rPr>
          <w:sz w:val="20"/>
          <w:szCs w:val="20"/>
          <w:color w:val="auto"/>
        </w:rPr>
      </w:pPr>
    </w:p>
    <w:p>
      <w:pPr>
        <w:jc w:val="both"/>
        <w:ind w:left="660" w:hanging="652"/>
        <w:spacing w:after="0" w:line="253" w:lineRule="auto"/>
        <w:tabs>
          <w:tab w:leader="none" w:pos="1024"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Drafting Settlement Documents</w:t>
      </w:r>
      <w:r>
        <w:rPr>
          <w:rFonts w:ascii="Arial" w:cs="Arial" w:eastAsia="Arial" w:hAnsi="Arial"/>
          <w:sz w:val="22"/>
          <w:szCs w:val="22"/>
          <w:color w:val="auto"/>
        </w:rPr>
        <w:t xml:space="preserve"> – Class Counsel shall draft settlement documents for distribution within thirty (30) days of the execution of this Memorandum. Class Counsel shall draft and file a motion for preliminary approval within sixty (60) days.</w:t>
      </w:r>
    </w:p>
    <w:p>
      <w:pPr>
        <w:spacing w:after="0" w:line="185" w:lineRule="exact"/>
        <w:rPr>
          <w:rFonts w:ascii="Arial" w:cs="Arial" w:eastAsia="Arial" w:hAnsi="Arial"/>
          <w:sz w:val="22"/>
          <w:szCs w:val="22"/>
          <w:color w:val="auto"/>
        </w:rPr>
      </w:pPr>
    </w:p>
    <w:p>
      <w:pPr>
        <w:ind w:left="660" w:hanging="652"/>
        <w:spacing w:after="0" w:line="343" w:lineRule="auto"/>
        <w:tabs>
          <w:tab w:leader="none" w:pos="876"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Opt Out / Objection Period</w:t>
      </w:r>
      <w:r>
        <w:rPr>
          <w:rFonts w:ascii="Arial" w:cs="Arial" w:eastAsia="Arial" w:hAnsi="Arial"/>
          <w:sz w:val="19"/>
          <w:szCs w:val="19"/>
          <w:color w:val="auto"/>
        </w:rPr>
        <w:t xml:space="preserve"> – The Class Members shall have 45 days from the date the notice is first mailed in which to object to or exclude themselves from the settlement. Neither side shall encourage any Class Member to opt out.</w:t>
      </w:r>
    </w:p>
    <w:p>
      <w:pPr>
        <w:spacing w:after="0" w:line="104" w:lineRule="exact"/>
        <w:rPr>
          <w:sz w:val="20"/>
          <w:szCs w:val="20"/>
          <w:color w:val="auto"/>
        </w:rPr>
      </w:pPr>
    </w:p>
    <w:p>
      <w:pPr>
        <w:jc w:val="both"/>
        <w:ind w:left="660" w:hanging="647"/>
        <w:spacing w:after="0" w:line="302" w:lineRule="auto"/>
        <w:tabs>
          <w:tab w:leader="none" w:pos="640" w:val="left"/>
        </w:tabs>
        <w:rPr>
          <w:sz w:val="20"/>
          <w:szCs w:val="20"/>
          <w:color w:val="auto"/>
        </w:rPr>
      </w:pPr>
      <w:r>
        <w:rPr>
          <w:rFonts w:ascii="Arial" w:cs="Arial" w:eastAsia="Arial" w:hAnsi="Arial"/>
          <w:sz w:val="22"/>
          <w:szCs w:val="22"/>
          <w:color w:val="auto"/>
        </w:rPr>
        <w:t>19.</w:t>
      </w:r>
      <w:r>
        <w:rPr>
          <w:sz w:val="20"/>
          <w:szCs w:val="20"/>
          <w:color w:val="auto"/>
        </w:rPr>
        <w:tab/>
      </w:r>
      <w:r>
        <w:rPr>
          <w:rFonts w:ascii="Arial" w:cs="Arial" w:eastAsia="Arial" w:hAnsi="Arial"/>
          <w:sz w:val="19"/>
          <w:szCs w:val="19"/>
          <w:u w:val="single" w:color="auto"/>
          <w:color w:val="auto"/>
        </w:rPr>
        <w:t xml:space="preserve">Effective Date </w:t>
      </w:r>
      <w:r>
        <w:rPr>
          <w:rFonts w:ascii="Arial" w:cs="Arial" w:eastAsia="Arial" w:hAnsi="Arial"/>
          <w:sz w:val="19"/>
          <w:szCs w:val="19"/>
          <w:color w:val="auto"/>
        </w:rPr>
        <w:t>- The effective date of the settlement will be the later of the following: (a) if no timely objections are</w:t>
      </w:r>
      <w:r>
        <w:rPr>
          <w:rFonts w:ascii="Arial" w:cs="Arial" w:eastAsia="Arial" w:hAnsi="Arial"/>
          <w:sz w:val="19"/>
          <w:szCs w:val="19"/>
          <w:u w:val="single" w:color="auto"/>
          <w:color w:val="auto"/>
        </w:rPr>
        <w:t xml:space="preserve"> </w:t>
      </w:r>
      <w:r>
        <w:rPr>
          <w:rFonts w:ascii="Arial" w:cs="Arial" w:eastAsia="Arial" w:hAnsi="Arial"/>
          <w:sz w:val="19"/>
          <w:szCs w:val="19"/>
          <w:color w:val="auto"/>
        </w:rPr>
        <w:t>filed or if all objections are withdrawn, the date upon which the Court enters the Final Approval Order; (b) if an objection is filed and not withdrawn, the date for filing an appeal and no such appeal being filed; and (c) if any timely appeals are filed, the date of the resolution (or withdrawal) of any such appeal in a way that does not alter the terms of the settlement.</w:t>
      </w:r>
    </w:p>
    <w:p>
      <w:pPr>
        <w:spacing w:after="0" w:line="142" w:lineRule="exact"/>
        <w:rPr>
          <w:sz w:val="20"/>
          <w:szCs w:val="20"/>
          <w:color w:val="auto"/>
        </w:rPr>
      </w:pPr>
    </w:p>
    <w:p>
      <w:pPr>
        <w:jc w:val="both"/>
        <w:ind w:left="660" w:hanging="652"/>
        <w:spacing w:after="0" w:line="250" w:lineRule="auto"/>
        <w:tabs>
          <w:tab w:leader="none" w:pos="1078"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Payments</w:t>
      </w:r>
      <w:r>
        <w:rPr>
          <w:rFonts w:ascii="Arial" w:cs="Arial" w:eastAsia="Arial" w:hAnsi="Arial"/>
          <w:sz w:val="22"/>
          <w:szCs w:val="22"/>
          <w:color w:val="auto"/>
        </w:rPr>
        <w:t xml:space="preserve"> - If no objection to the settlement is made, Defendant will pay to the Claims Administrator the Gross Settlement Amount within fifteen (15) days of the Effective Date. Payment of Claims Administration Expenses, Attorneys’ Fees, Attorneys’ Expenses, Service Awards, and PAGA Payment shall be made within fifteen (15) days of the Claim Administrator’s receipt of the Gross Settlement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47" w:name="page48"/>
    <w:bookmarkEnd w:id="47"/>
    <w:p>
      <w:pPr>
        <w:ind w:left="660" w:hanging="652"/>
        <w:spacing w:after="0" w:line="263" w:lineRule="auto"/>
        <w:tabs>
          <w:tab w:leader="none" w:pos="889"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Uncashed Checks</w:t>
      </w:r>
      <w:r>
        <w:rPr>
          <w:rFonts w:ascii="Arial" w:cs="Arial" w:eastAsia="Arial" w:hAnsi="Arial"/>
          <w:sz w:val="22"/>
          <w:szCs w:val="22"/>
          <w:color w:val="auto"/>
        </w:rPr>
        <w:t xml:space="preserve"> – All checks not cashed within 180 days of payment shall be paid to the State Controller Fund in the name of the absent Class Member.</w:t>
      </w:r>
    </w:p>
    <w:p>
      <w:pPr>
        <w:spacing w:after="0" w:line="174" w:lineRule="exact"/>
        <w:rPr>
          <w:rFonts w:ascii="Arial" w:cs="Arial" w:eastAsia="Arial" w:hAnsi="Arial"/>
          <w:sz w:val="22"/>
          <w:szCs w:val="22"/>
          <w:color w:val="auto"/>
        </w:rPr>
      </w:pPr>
    </w:p>
    <w:p>
      <w:pPr>
        <w:ind w:left="660" w:hanging="652"/>
        <w:spacing w:after="0" w:line="263" w:lineRule="auto"/>
        <w:tabs>
          <w:tab w:leader="none" w:pos="889"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Disputes</w:t>
      </w:r>
      <w:r>
        <w:rPr>
          <w:rFonts w:ascii="Arial" w:cs="Arial" w:eastAsia="Arial" w:hAnsi="Arial"/>
          <w:sz w:val="22"/>
          <w:szCs w:val="22"/>
          <w:color w:val="auto"/>
        </w:rPr>
        <w:t xml:space="preserve"> – Any dispute between the parties as to the remaining terms of the settlement agreement shall be presented to the mediator for resolution.</w:t>
      </w:r>
    </w:p>
    <w:p>
      <w:pPr>
        <w:spacing w:after="0" w:line="174" w:lineRule="exact"/>
        <w:rPr>
          <w:rFonts w:ascii="Arial" w:cs="Arial" w:eastAsia="Arial" w:hAnsi="Arial"/>
          <w:sz w:val="22"/>
          <w:szCs w:val="22"/>
          <w:color w:val="auto"/>
        </w:rPr>
      </w:pPr>
    </w:p>
    <w:p>
      <w:pPr>
        <w:jc w:val="both"/>
        <w:ind w:left="660" w:hanging="652"/>
        <w:spacing w:after="0" w:line="250" w:lineRule="auto"/>
        <w:tabs>
          <w:tab w:leader="none" w:pos="1024"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Execution in Counterparts</w:t>
      </w:r>
      <w:r>
        <w:rPr>
          <w:rFonts w:ascii="Arial" w:cs="Arial" w:eastAsia="Arial" w:hAnsi="Arial"/>
          <w:sz w:val="22"/>
          <w:szCs w:val="22"/>
          <w:color w:val="auto"/>
        </w:rPr>
        <w:t xml:space="preserve"> - This Agreement may be executed in one or more counterparts by facsimile, electronic signature, or email which for purposes of this Agreement shall be accepted as an original. All executed counterparts and each of them will be deemed to be one and the same instrument. Any executed counterpart will be admissible in evidence to prove the existence and contents of this Agreement.</w:t>
      </w:r>
    </w:p>
    <w:p>
      <w:pPr>
        <w:spacing w:after="0" w:line="188" w:lineRule="exact"/>
        <w:rPr>
          <w:sz w:val="20"/>
          <w:szCs w:val="20"/>
          <w:color w:val="auto"/>
        </w:rPr>
      </w:pPr>
    </w:p>
    <w:p>
      <w:pPr>
        <w:ind w:left="660" w:hanging="652"/>
        <w:spacing w:after="0" w:line="263" w:lineRule="auto"/>
        <w:tabs>
          <w:tab w:leader="none" w:pos="511"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Court Filings</w:t>
      </w:r>
      <w:r>
        <w:rPr>
          <w:rFonts w:ascii="Arial" w:cs="Arial" w:eastAsia="Arial" w:hAnsi="Arial"/>
          <w:sz w:val="22"/>
          <w:szCs w:val="22"/>
          <w:color w:val="auto"/>
        </w:rPr>
        <w:t xml:space="preserve"> - The parties agree not to object to any Court filings consistent with this Agreement. The parties further agree that upon signing the litigation will be stayed for all purposes.</w:t>
      </w:r>
    </w:p>
    <w:p>
      <w:pPr>
        <w:spacing w:after="0" w:line="175" w:lineRule="exact"/>
        <w:rPr>
          <w:sz w:val="20"/>
          <w:szCs w:val="20"/>
          <w:color w:val="auto"/>
        </w:rPr>
      </w:pPr>
    </w:p>
    <w:p>
      <w:pPr>
        <w:jc w:val="both"/>
        <w:ind w:left="660" w:hanging="652"/>
        <w:spacing w:after="0" w:line="248" w:lineRule="auto"/>
        <w:tabs>
          <w:tab w:leader="none" w:pos="592"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Continuing Jurisdiction</w:t>
      </w:r>
      <w:r>
        <w:rPr>
          <w:rFonts w:ascii="Arial" w:cs="Arial" w:eastAsia="Arial" w:hAnsi="Arial"/>
          <w:sz w:val="22"/>
          <w:szCs w:val="22"/>
          <w:color w:val="auto"/>
        </w:rPr>
        <w:t xml:space="preserve"> - The Parties agree that the Court shall retain continuing jurisdiction over this case under CCP Section 664.6 to ensure the continuing implementation of the provisions of this settlement and that the time within which to bring this action to trial under CCP Section 583.310 shall be extended from the date of the signing of this agreement by all parties until the entry of the final approval order and judgment or if not entered the date this agreement shall no longer be of any force or effect.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 to this 4th day of May, 2021,</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3400"/>
        <w:spacing w:after="0" w:line="263" w:lineRule="auto"/>
        <w:rPr>
          <w:sz w:val="20"/>
          <w:szCs w:val="20"/>
          <w:color w:val="auto"/>
        </w:rPr>
      </w:pPr>
      <w:r>
        <w:rPr>
          <w:rFonts w:ascii="Arial" w:cs="Arial" w:eastAsia="Arial" w:hAnsi="Arial"/>
          <w:sz w:val="22"/>
          <w:szCs w:val="22"/>
          <w:color w:val="auto"/>
        </w:rPr>
        <w:t>__________________________________ __________________________________ Plaintiff Justin Price Class Counsel</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Plaintiff Brenda Price</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__________________________________ Defendant MISTRAS Group,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00"/>
        <w:spacing w:after="0"/>
        <w:rPr>
          <w:sz w:val="20"/>
          <w:szCs w:val="20"/>
          <w:color w:val="auto"/>
        </w:rPr>
      </w:pPr>
      <w:r>
        <w:rPr>
          <w:rFonts w:ascii="Arial" w:cs="Arial" w:eastAsia="Arial" w:hAnsi="Arial"/>
          <w:sz w:val="19"/>
          <w:szCs w:val="19"/>
          <w:color w:val="auto"/>
        </w:rPr>
        <w:t>__________________________________</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Counsel for Defendant</w:t>
      </w:r>
    </w:p>
    <w:p>
      <w:pPr>
        <w:spacing w:after="0" w:line="297" w:lineRule="exact"/>
        <w:rPr>
          <w:sz w:val="20"/>
          <w:szCs w:val="20"/>
          <w:color w:val="auto"/>
        </w:rPr>
      </w:pPr>
    </w:p>
    <w:p>
      <w:pPr>
        <w:sectPr>
          <w:pgSz w:w="11900" w:h="16838" w:orient="portrait"/>
          <w:cols w:equalWidth="0" w:num="2">
            <w:col w:w="3680" w:space="120"/>
            <w:col w:w="7440"/>
          </w:cols>
          <w:pgMar w:left="320" w:top="142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1428" w:right="339" w:bottom="1440" w:gutter="0" w:footer="0" w:header="0"/>
          <w:type w:val="continuous"/>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Dennis Bertolotti, certify that:</w:t>
      </w:r>
    </w:p>
    <w:p>
      <w:pPr>
        <w:spacing w:after="0" w:line="90"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103"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120" w:hanging="644"/>
        <w:spacing w:after="0" w:line="263" w:lineRule="auto"/>
        <w:tabs>
          <w:tab w:leader="none" w:pos="129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jc w:val="both"/>
        <w:ind w:left="1300" w:right="220" w:hanging="644"/>
        <w:spacing w:after="0" w:line="342" w:lineRule="auto"/>
        <w:tabs>
          <w:tab w:leader="none" w:pos="129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80" w:hanging="652"/>
        <w:spacing w:after="0" w:line="334"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ind w:left="1300" w:right="460" w:hanging="644"/>
        <w:spacing w:after="0" w:line="342" w:lineRule="auto"/>
        <w:tabs>
          <w:tab w:leader="none" w:pos="129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August 03, 2021</w:t>
      </w:r>
    </w:p>
    <w:p>
      <w:pPr>
        <w:spacing w:after="0" w:line="5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Dennis Bertolotti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575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Dennis Bertolotti</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985"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Edward J. Prajzner, certify that:</w:t>
      </w:r>
    </w:p>
    <w:p>
      <w:pPr>
        <w:spacing w:after="0" w:line="90"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103"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120" w:hanging="644"/>
        <w:spacing w:after="0" w:line="263" w:lineRule="auto"/>
        <w:tabs>
          <w:tab w:leader="none" w:pos="129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jc w:val="both"/>
        <w:ind w:left="1300" w:right="220" w:hanging="644"/>
        <w:spacing w:after="0" w:line="342" w:lineRule="auto"/>
        <w:tabs>
          <w:tab w:leader="none" w:pos="129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80" w:hanging="652"/>
        <w:spacing w:after="0" w:line="334"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ind w:left="1300" w:right="460" w:hanging="644"/>
        <w:spacing w:after="0" w:line="342" w:lineRule="auto"/>
        <w:tabs>
          <w:tab w:leader="none" w:pos="129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August 03, 2021</w:t>
      </w:r>
    </w:p>
    <w:p>
      <w:pPr>
        <w:spacing w:after="0" w:line="5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38404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840480" cy="8890"/>
                    </a:xfrm>
                    <a:prstGeom prst="rect">
                      <a:avLst/>
                    </a:prstGeom>
                    <a:noFill/>
                  </pic:spPr>
                </pic:pic>
              </a:graphicData>
            </a:graphic>
          </wp:anchor>
        </w:drawing>
      </w:r>
    </w:p>
    <w:p>
      <w:pPr>
        <w:spacing w:after="0" w:line="1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Edward J. Prajzner</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985"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Each of the undersigned hereby certifies, for the purposes of section 1350 of chapter 63 of title 18 of the United States Code, as adopted pursuant to Section 906 of the Sarbanes-Oxley Act of 2002, in his capacity as an officer of Mistras Group, Inc. (the “Company”), that, to his knowledge, the Quarterly Report on Form 10-Q of the Company for the quarter ended June 30, 2021 (the “Report”), fully complies with the requirements of Section 13(a) of the Securities Exchange Act of 1934 and that the information contained in the Report fairly presents, in all material respects, the financial condition and results of operations of the Company. This written statement is being furnished to the Securities and Exchange Commission as an exhibit to the Report.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Dated: August 03, 2021</w:t>
      </w:r>
    </w:p>
    <w:p>
      <w:pPr>
        <w:spacing w:after="0" w:line="5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Dennis Bertolotti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14605</wp:posOffset>
            </wp:positionV>
            <wp:extent cx="37973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Dennis Bertolotti</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(Principal Executive Officer)</w:t>
      </w:r>
    </w:p>
    <w:p>
      <w:pPr>
        <w:spacing w:after="0" w:line="29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14605</wp:posOffset>
            </wp:positionV>
            <wp:extent cx="37973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Edward J. Prajzner</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lvl w:ilvl="1">
      <w:lvlJc w:val="left"/>
      <w:lvlText w:val="%2."/>
      <w:numFmt w:val="lowerLetter"/>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
      <w:numFmt w:val="bullet"/>
      <w:start w:val="1"/>
    </w:lvl>
    <w:lvl w:ilvl="1">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lowerLetter"/>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9"/>
    </w:lvl>
  </w:abstractNum>
  <w:abstractNum w:abstractNumId="13">
    <w:nsid w:val="519B500D"/>
    <w:multiLevelType w:val="hybridMultilevel"/>
    <w:lvl w:ilvl="0">
      <w:lvlJc w:val="left"/>
      <w:lvlText w:val="%1."/>
      <w:numFmt w:val="decimal"/>
      <w:start w:val="15"/>
    </w:lvl>
  </w:abstractNum>
  <w:abstractNum w:abstractNumId="14">
    <w:nsid w:val="431BD7B7"/>
    <w:multiLevelType w:val="hybridMultilevel"/>
    <w:lvl w:ilvl="0">
      <w:lvlJc w:val="left"/>
      <w:lvlText w:val="%1."/>
      <w:numFmt w:val="decimal"/>
      <w:start w:val="17"/>
    </w:lvl>
  </w:abstractNum>
  <w:abstractNum w:abstractNumId="15">
    <w:nsid w:val="3F2DBA31"/>
    <w:multiLevelType w:val="hybridMultilevel"/>
    <w:lvl w:ilvl="0">
      <w:lvlJc w:val="left"/>
      <w:lvlText w:val="%1."/>
      <w:numFmt w:val="decimal"/>
      <w:start w:val="20"/>
    </w:lvl>
  </w:abstractNum>
  <w:abstractNum w:abstractNumId="16">
    <w:nsid w:val="7C83E458"/>
    <w:multiLevelType w:val="hybridMultilevel"/>
    <w:lvl w:ilvl="0">
      <w:lvlJc w:val="left"/>
      <w:lvlText w:val="%1."/>
      <w:numFmt w:val="decimal"/>
      <w:start w:val="21"/>
    </w:lvl>
  </w:abstractNum>
  <w:abstractNum w:abstractNumId="17">
    <w:nsid w:val="257130A3"/>
    <w:multiLevelType w:val="hybridMultilevel"/>
    <w:lvl w:ilvl="0">
      <w:lvlJc w:val="left"/>
      <w:lvlText w:val="%1."/>
      <w:numFmt w:val="decimal"/>
      <w:start w:val="21"/>
    </w:lvl>
  </w:abstractNum>
  <w:abstractNum w:abstractNumId="18">
    <w:nsid w:val="62BBD95A"/>
    <w:multiLevelType w:val="hybridMultilevel"/>
    <w:lvl w:ilvl="0">
      <w:lvlJc w:val="left"/>
      <w:lvlText w:val="%1."/>
      <w:numFmt w:val="decimal"/>
      <w:start w:val="23"/>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54" Type="http://schemas.openxmlformats.org/officeDocument/2006/relationships/hyperlink" Target="https://www.sec.gov/Archives/edgar/data/0001436126/000143612621000026/aex101-fifthamendmentmist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2021-08-04T05:28:26Z</dcterms:created>
  <dcterms:modified xsi:type="dcterms:W3CDTF">2021-08-04T05:28:26Z</dcterms:modified>
</cp:coreProperties>
</file>