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1" w:lineRule="exact"/>
        <w:rPr>
          <w:sz w:val="24"/>
          <w:szCs w:val="24"/>
          <w:color w:val="auto"/>
        </w:rPr>
      </w:pPr>
    </w:p>
    <w:p>
      <w:pPr>
        <w:ind w:left="3880" w:right="1880" w:hanging="3777"/>
        <w:spacing w:after="0" w:line="516" w:lineRule="auto"/>
        <w:tabs>
          <w:tab w:leader="none" w:pos="38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August 31, 2015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right="1880" w:hanging="4525"/>
        <w:spacing w:after="0" w:line="516" w:lineRule="auto"/>
        <w:tabs>
          <w:tab w:leader="none" w:pos="360" w:val="left"/>
        </w:tabs>
        <w:rPr>
          <w:sz w:val="20"/>
          <w:szCs w:val="20"/>
          <w:color w:val="auto"/>
        </w:rPr>
      </w:pPr>
      <w:r>
        <w:rPr>
          <w:rFonts w:ascii="Arial" w:cs="Arial" w:eastAsia="Arial" w:hAnsi="Arial"/>
          <w:sz w:val="18"/>
          <w:szCs w:val="18"/>
          <w:b w:val="1"/>
          <w:bCs w:val="1"/>
          <w:color w:val="auto"/>
        </w:rPr>
        <w:t>o</w:t>
        <w:tab/>
        <w:t>TRANSITION REPORT PURSUANT TO SECTION 13 OR 15(d) OF THE SECURITIES EXCHANGE ACT OF 1934 For the transition period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102870</wp:posOffset>
            </wp:positionV>
            <wp:extent cx="32156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167640</wp:posOffset>
            </wp:positionV>
            <wp:extent cx="3215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Delaware</w:t>
            </w:r>
          </w:p>
        </w:tc>
        <w:tc>
          <w:tcPr>
            <w:tcW w:w="454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56"/>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(State or other jurisdiction of</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2"/>
              </w:rPr>
              <w:t>(I.R.S. Employer</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incorporation or organization)</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195 Clarksville Road</w:t>
            </w:r>
          </w:p>
        </w:tc>
        <w:tc>
          <w:tcPr>
            <w:tcW w:w="4540" w:type="dxa"/>
            <w:vAlign w:val="bottom"/>
          </w:tcPr>
          <w:p>
            <w:pPr>
              <w:spacing w:after="0"/>
              <w:rPr>
                <w:sz w:val="24"/>
                <w:szCs w:val="24"/>
                <w:color w:val="auto"/>
              </w:rPr>
            </w:pPr>
          </w:p>
        </w:tc>
      </w:t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Princeton Junction, New Jersey</w:t>
            </w:r>
          </w:p>
        </w:tc>
        <w:tc>
          <w:tcPr>
            <w:tcW w:w="454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7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2"/>
              </w:rPr>
              <w:t>(Address of principal executive offices)</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1"/>
              </w:rPr>
              <w:t>(Zip Code)</w:t>
            </w:r>
          </w:p>
        </w:tc>
      </w:tr>
      <w:tr>
        <w:trPr>
          <w:trHeight w:val="459"/>
        </w:trPr>
        <w:tc>
          <w:tcPr>
            <w:tcW w:w="3320" w:type="dxa"/>
            <w:vAlign w:val="bottom"/>
          </w:tcPr>
          <w:p>
            <w:pPr>
              <w:spacing w:after="0"/>
              <w:rPr>
                <w:sz w:val="24"/>
                <w:szCs w:val="24"/>
                <w:color w:val="auto"/>
              </w:rPr>
            </w:pPr>
          </w:p>
        </w:tc>
        <w:tc>
          <w:tcPr>
            <w:tcW w:w="4540" w:type="dxa"/>
            <w:vAlign w:val="bottom"/>
          </w:tcPr>
          <w:p>
            <w:pPr>
              <w:jc w:val="right"/>
              <w:ind w:right="2870"/>
              <w:spacing w:after="0"/>
              <w:rPr>
                <w:sz w:val="20"/>
                <w:szCs w:val="20"/>
                <w:color w:val="auto"/>
              </w:rPr>
            </w:pPr>
            <w:r>
              <w:rPr>
                <w:rFonts w:ascii="Arial" w:cs="Arial" w:eastAsia="Arial" w:hAnsi="Arial"/>
                <w:sz w:val="18"/>
                <w:szCs w:val="18"/>
                <w:b w:val="1"/>
                <w:bCs w:val="1"/>
                <w:color w:val="auto"/>
              </w:rPr>
              <w:t>(609) 716-4000</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177800</wp:posOffset>
            </wp:positionV>
            <wp:extent cx="32156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jc w:val="both"/>
        <w:ind w:right="240" w:firstLine="648"/>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sectPr>
      </w:pPr>
    </w:p>
    <w:p>
      <w:pPr>
        <w:spacing w:after="0" w:line="168" w:lineRule="exact"/>
        <w:rPr>
          <w:sz w:val="24"/>
          <w:szCs w:val="24"/>
          <w:color w:val="auto"/>
        </w:rPr>
      </w:pPr>
    </w:p>
    <w:p>
      <w:pPr>
        <w:ind w:left="25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86" w:lineRule="exact"/>
        <w:rPr>
          <w:sz w:val="24"/>
          <w:szCs w:val="24"/>
          <w:color w:val="auto"/>
        </w:rPr>
      </w:pPr>
    </w:p>
    <w:p>
      <w:pPr>
        <w:sectPr>
          <w:pgSz w:w="11900" w:h="16838" w:orient="portrait"/>
          <w:cols w:equalWidth="0" w:num="2">
            <w:col w:w="7660" w:space="720"/>
            <w:col w:w="3040"/>
          </w:cols>
          <w:pgMar w:left="240" w:top="229" w:right="239" w:bottom="1440" w:gutter="0" w:footer="0" w:header="0"/>
          <w:type w:val="continuous"/>
        </w:sectPr>
      </w:pPr>
    </w:p>
    <w:p>
      <w:pPr>
        <w:ind w:left="26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7280" w:space="720"/>
            <w:col w:w="3420"/>
          </w:cols>
          <w:pgMar w:left="240" w:top="229"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229" w:right="239" w:bottom="1440" w:gutter="0" w:footer="0" w:header="0"/>
          <w:type w:val="continuous"/>
        </w:sectPr>
      </w:pPr>
    </w:p>
    <w:p>
      <w:pPr>
        <w:spacing w:after="0" w:line="27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October 1, 2015, the registrant had 28,861,316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10700" w:type="dxa"/>
            <w:vAlign w:val="bottom"/>
            <w:gridSpan w:val="23"/>
          </w:tcPr>
          <w:p>
            <w:pPr>
              <w:spacing w:after="0" w:line="189" w:lineRule="exact"/>
              <w:rPr>
                <w:rFonts w:ascii="Arial" w:cs="Arial" w:eastAsia="Arial" w:hAnsi="Arial"/>
                <w:sz w:val="18"/>
                <w:szCs w:val="18"/>
                <w:color w:val="0000EE"/>
              </w:rPr>
            </w:pPr>
            <w:hyperlink w:anchor="page2">
              <w:r>
                <w:rPr>
                  <w:rFonts w:ascii="Arial" w:cs="Arial" w:eastAsia="Arial" w:hAnsi="Arial"/>
                  <w:sz w:val="18"/>
                  <w:szCs w:val="18"/>
                  <w:color w:val="0000EE"/>
                </w:rPr>
                <w:t>PART I—FINANCIAL INFORMATION</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as of August 31, 2015 (unaudited) and May 31, 2015</w:t>
              </w:r>
            </w:hyperlink>
          </w:p>
        </w:tc>
        <w:tc>
          <w:tcPr>
            <w:tcW w:w="230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1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Statements of Income for the three months ended August 31, 2015 and 2014</w:t>
              </w:r>
            </w:hyperlink>
          </w:p>
        </w:tc>
        <w:tc>
          <w:tcPr>
            <w:tcW w:w="96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 Condensed Consolidated Statements of Comprehensive Income for the three months ended August 31, 2015 and</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2014</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Cash Flows for the three months ended August 31, 2015 and 2014</w:t>
              </w:r>
            </w:hyperlink>
          </w:p>
        </w:tc>
        <w:tc>
          <w:tcPr>
            <w:tcW w:w="66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430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2.</w:t>
              </w:r>
            </w:hyperlink>
          </w:p>
        </w:tc>
        <w:tc>
          <w:tcPr>
            <w:tcW w:w="520" w:type="dxa"/>
            <w:vAlign w:val="bottom"/>
            <w:gridSpan w:val="3"/>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3.</w:t>
              </w:r>
            </w:hyperlink>
          </w:p>
        </w:tc>
        <w:tc>
          <w:tcPr>
            <w:tcW w:w="520" w:type="dxa"/>
            <w:vAlign w:val="bottom"/>
            <w:gridSpan w:val="3"/>
          </w:tcPr>
          <w:p>
            <w:pPr>
              <w:spacing w:after="0"/>
              <w:rPr>
                <w:sz w:val="24"/>
                <w:szCs w:val="24"/>
                <w:color w:val="auto"/>
              </w:rPr>
            </w:pPr>
          </w:p>
        </w:tc>
        <w:tc>
          <w:tcPr>
            <w:tcW w:w="4320" w:type="dxa"/>
            <w:vAlign w:val="bottom"/>
            <w:gridSpan w:val="9"/>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264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4.A</w:t>
              </w:r>
            </w:hyperlink>
          </w:p>
        </w:tc>
        <w:tc>
          <w:tcPr>
            <w:tcW w:w="910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20"/>
        </w:trPr>
        <w:tc>
          <w:tcPr>
            <w:tcW w:w="4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66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PART II—OTHER INFORMATION</w:t>
              </w:r>
            </w:hyperlink>
          </w:p>
        </w:tc>
        <w:tc>
          <w:tcPr>
            <w:tcW w:w="804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1.</w:t>
              </w:r>
            </w:hyperlink>
          </w:p>
        </w:tc>
        <w:tc>
          <w:tcPr>
            <w:tcW w:w="520" w:type="dxa"/>
            <w:vAlign w:val="bottom"/>
            <w:gridSpan w:val="3"/>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Legal Proceedings</w:t>
              </w:r>
            </w:hyperlink>
          </w:p>
        </w:tc>
        <w:tc>
          <w:tcPr>
            <w:tcW w:w="778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910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2.</w:t>
              </w:r>
            </w:hyperlink>
          </w:p>
        </w:tc>
        <w:tc>
          <w:tcPr>
            <w:tcW w:w="16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3.</w:t>
              </w:r>
            </w:hyperlink>
          </w:p>
        </w:tc>
        <w:tc>
          <w:tcPr>
            <w:tcW w:w="520" w:type="dxa"/>
            <w:vAlign w:val="bottom"/>
            <w:gridSpan w:val="3"/>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4.</w:t>
              </w:r>
            </w:hyperlink>
          </w:p>
        </w:tc>
        <w:tc>
          <w:tcPr>
            <w:tcW w:w="520" w:type="dxa"/>
            <w:vAlign w:val="bottom"/>
            <w:gridSpan w:val="3"/>
          </w:tcPr>
          <w:p>
            <w:pPr>
              <w:spacing w:after="0"/>
              <w:rPr>
                <w:sz w:val="24"/>
                <w:szCs w:val="24"/>
                <w:color w:val="auto"/>
              </w:rPr>
            </w:pPr>
          </w:p>
        </w:tc>
        <w:tc>
          <w:tcPr>
            <w:tcW w:w="1780" w:type="dxa"/>
            <w:vAlign w:val="bottom"/>
            <w:gridSpan w:val="7"/>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Mine Safety Disclosures</w:t>
              </w:r>
            </w:hyperlink>
          </w:p>
        </w:tc>
        <w:tc>
          <w:tcPr>
            <w:tcW w:w="540" w:type="dxa"/>
            <w:vAlign w:val="bottom"/>
          </w:tcPr>
          <w:p>
            <w:pPr>
              <w:spacing w:after="0"/>
              <w:rPr>
                <w:sz w:val="24"/>
                <w:szCs w:val="24"/>
                <w:color w:val="auto"/>
              </w:rPr>
            </w:pPr>
          </w:p>
        </w:tc>
        <w:tc>
          <w:tcPr>
            <w:tcW w:w="678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32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5.</w:t>
              </w:r>
            </w:hyperlink>
          </w:p>
        </w:tc>
        <w:tc>
          <w:tcPr>
            <w:tcW w:w="520" w:type="dxa"/>
            <w:vAlign w:val="bottom"/>
            <w:gridSpan w:val="3"/>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Other Information</w:t>
              </w:r>
            </w:hyperlink>
          </w:p>
        </w:tc>
        <w:tc>
          <w:tcPr>
            <w:tcW w:w="460" w:type="dxa"/>
            <w:vAlign w:val="bottom"/>
            <w:gridSpan w:val="2"/>
          </w:tcPr>
          <w:p>
            <w:pPr>
              <w:spacing w:after="0"/>
              <w:rPr>
                <w:sz w:val="24"/>
                <w:szCs w:val="24"/>
                <w:color w:val="auto"/>
              </w:rPr>
            </w:pPr>
          </w:p>
        </w:tc>
        <w:tc>
          <w:tcPr>
            <w:tcW w:w="7320" w:type="dxa"/>
            <w:vAlign w:val="bottom"/>
            <w:gridSpan w:val="10"/>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78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6.</w:t>
              </w:r>
            </w:hyperlink>
          </w:p>
        </w:tc>
        <w:tc>
          <w:tcPr>
            <w:tcW w:w="520" w:type="dxa"/>
            <w:vAlign w:val="bottom"/>
            <w:gridSpan w:val="3"/>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778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80" w:type="dxa"/>
            <w:vAlign w:val="bottom"/>
            <w:gridSpan w:val="3"/>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SIGNATURES</w:t>
              </w:r>
            </w:hyperlink>
          </w:p>
        </w:tc>
        <w:tc>
          <w:tcPr>
            <w:tcW w:w="52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rPr>
              <w:t>PART I—FINANCIAL INFORMATION</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87"/>
        </w:trPr>
        <w:tc>
          <w:tcPr>
            <w:tcW w:w="1020" w:type="dxa"/>
            <w:vAlign w:val="bottom"/>
          </w:tcPr>
          <w:p>
            <w:pPr>
              <w:spacing w:after="0"/>
              <w:rPr>
                <w:sz w:val="24"/>
                <w:szCs w:val="24"/>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Mistras Group, Inc. and Subsidiaries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9"/>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50"/>
        </w:trPr>
        <w:tc>
          <w:tcPr>
            <w:tcW w:w="102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August 31, 2015</w:t>
            </w:r>
          </w:p>
        </w:tc>
        <w:tc>
          <w:tcPr>
            <w:tcW w:w="260" w:type="dxa"/>
            <w:vAlign w:val="bottom"/>
          </w:tcPr>
          <w:p>
            <w:pPr>
              <w:spacing w:after="0"/>
              <w:rPr>
                <w:sz w:val="21"/>
                <w:szCs w:val="21"/>
                <w:color w:val="auto"/>
              </w:rPr>
            </w:pP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May 31, 2015</w:t>
            </w:r>
          </w:p>
        </w:tc>
      </w:tr>
      <w:tr>
        <w:trPr>
          <w:trHeight w:val="236"/>
        </w:trPr>
        <w:tc>
          <w:tcPr>
            <w:tcW w:w="1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10,555</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134,065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133,228</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Inventories</w:t>
            </w:r>
          </w:p>
        </w:tc>
        <w:tc>
          <w:tcPr>
            <w:tcW w:w="7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10,841</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5,144</w:t>
            </w:r>
          </w:p>
        </w:tc>
      </w:tr>
      <w:tr>
        <w:trPr>
          <w:trHeight w:val="27"/>
        </w:trPr>
        <w:tc>
          <w:tcPr>
            <w:tcW w:w="8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11,698</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171,254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171,466</w:t>
            </w:r>
          </w:p>
        </w:tc>
      </w:tr>
      <w:tr>
        <w:trPr>
          <w:trHeight w:val="27"/>
        </w:trPr>
        <w:tc>
          <w:tcPr>
            <w:tcW w:w="8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79,256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48,835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51,276</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166,414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1,208</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Other assets</w:t>
            </w:r>
          </w:p>
        </w:tc>
        <w:tc>
          <w:tcPr>
            <w:tcW w:w="7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w:t>
            </w:r>
          </w:p>
        </w:tc>
      </w:tr>
      <w:tr>
        <w:trPr>
          <w:trHeight w:val="297"/>
        </w:trPr>
        <w:tc>
          <w:tcPr>
            <w:tcW w:w="81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465,916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471,727</w:t>
            </w:r>
          </w:p>
        </w:tc>
      </w:tr>
      <w:tr>
        <w:trPr>
          <w:trHeight w:val="210"/>
        </w:trPr>
        <w:tc>
          <w:tcPr>
            <w:tcW w:w="812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10,529</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52,758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55,914</w:t>
            </w:r>
          </w:p>
        </w:tc>
      </w:tr>
      <w:tr>
        <w:trPr>
          <w:trHeight w:val="27"/>
        </w:trPr>
        <w:tc>
          <w:tcPr>
            <w:tcW w:w="8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17,902</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7,170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8,646</w:t>
            </w:r>
          </w:p>
        </w:tc>
      </w:tr>
      <w:tr>
        <w:trPr>
          <w:trHeight w:val="27"/>
        </w:trPr>
        <w:tc>
          <w:tcPr>
            <w:tcW w:w="8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86,934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93,523</w:t>
            </w:r>
          </w:p>
        </w:tc>
      </w:tr>
      <w:tr>
        <w:trPr>
          <w:trHeight w:val="27"/>
        </w:trPr>
        <w:tc>
          <w:tcPr>
            <w:tcW w:w="8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95,557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10,811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10,717</w:t>
            </w:r>
          </w:p>
        </w:tc>
      </w:tr>
      <w:tr>
        <w:trPr>
          <w:trHeight w:val="27"/>
        </w:trPr>
        <w:tc>
          <w:tcPr>
            <w:tcW w:w="8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16,984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8,732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9,934</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226,715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7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Preferred stock, 10,000,000 shares authorized</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$0.01 par value, 200,000,000 shares authorized</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208,727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208,064</w:t>
            </w:r>
          </w:p>
        </w:tc>
      </w:tr>
      <w:tr>
        <w:trPr>
          <w:trHeight w:val="27"/>
        </w:trPr>
        <w:tc>
          <w:tcPr>
            <w:tcW w:w="8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57,581</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(21,765)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(21,113)</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Mistras Group,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251,703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244,819</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193</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245,012</w:t>
            </w:r>
          </w:p>
        </w:tc>
      </w:tr>
      <w:tr>
        <w:trPr>
          <w:trHeight w:val="25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465,916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471,727</w:t>
            </w: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148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August 31,</w:t>
            </w:r>
          </w:p>
        </w:tc>
        <w:tc>
          <w:tcPr>
            <w:tcW w:w="0" w:type="dxa"/>
            <w:vAlign w:val="bottom"/>
          </w:tcPr>
          <w:p>
            <w:pPr>
              <w:spacing w:after="0"/>
              <w:rPr>
                <w:sz w:val="1"/>
                <w:szCs w:val="1"/>
                <w:color w:val="auto"/>
              </w:rPr>
            </w:pPr>
          </w:p>
        </w:tc>
      </w:tr>
      <w:tr>
        <w:trPr>
          <w:trHeight w:val="264"/>
        </w:trPr>
        <w:tc>
          <w:tcPr>
            <w:tcW w:w="53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166,573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123,400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119,722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51,274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41,994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35,220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160"/>
              <w:spacing w:after="0"/>
              <w:rPr>
                <w:sz w:val="20"/>
                <w:szCs w:val="20"/>
                <w:color w:val="auto"/>
              </w:rPr>
            </w:pPr>
            <w:r>
              <w:rPr>
                <w:rFonts w:ascii="Arial" w:cs="Arial" w:eastAsia="Arial" w:hAnsi="Arial"/>
                <w:sz w:val="18"/>
                <w:szCs w:val="18"/>
                <w:color w:val="auto"/>
              </w:rPr>
              <w:t>Research and engineering</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160"/>
              <w:spacing w:after="0"/>
              <w:rPr>
                <w:sz w:val="20"/>
                <w:szCs w:val="20"/>
                <w:color w:val="auto"/>
              </w:rPr>
            </w:pPr>
            <w:r>
              <w:rPr>
                <w:rFonts w:ascii="Arial" w:cs="Arial" w:eastAsia="Arial" w:hAnsi="Arial"/>
                <w:sz w:val="18"/>
                <w:szCs w:val="18"/>
                <w:color w:val="auto"/>
              </w:rPr>
              <w:t>Acquisition-related (benefit),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160"/>
              <w:spacing w:after="0"/>
              <w:rPr>
                <w:sz w:val="20"/>
                <w:szCs w:val="20"/>
                <w:color w:val="auto"/>
              </w:rPr>
            </w:pPr>
            <w:r>
              <w:rPr>
                <w:rFonts w:ascii="Arial" w:cs="Arial" w:eastAsia="Arial" w:hAnsi="Arial"/>
                <w:sz w:val="18"/>
                <w:szCs w:val="18"/>
                <w:color w:val="auto"/>
                <w:w w:val="94"/>
              </w:rPr>
              <w:t>Less: net loss (income) attributable to noncontrolling interests, net of</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60"/>
              <w:spacing w:after="0"/>
              <w:rPr>
                <w:sz w:val="20"/>
                <w:szCs w:val="20"/>
                <w:color w:val="auto"/>
              </w:rPr>
            </w:pPr>
            <w:r>
              <w:rPr>
                <w:rFonts w:ascii="Arial" w:cs="Arial" w:eastAsia="Arial" w:hAnsi="Arial"/>
                <w:sz w:val="18"/>
                <w:szCs w:val="18"/>
                <w:color w:val="auto"/>
              </w:rPr>
              <w:t>taxes</w:t>
            </w:r>
          </w:p>
        </w:tc>
        <w:tc>
          <w:tcPr>
            <w:tcW w:w="34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Mistras Group, Inc.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20"/>
              <w:spacing w:after="0"/>
              <w:rPr>
                <w:sz w:val="20"/>
                <w:szCs w:val="20"/>
                <w:color w:val="auto"/>
              </w:rPr>
            </w:pPr>
            <w:r>
              <w:rPr>
                <w:rFonts w:ascii="Arial" w:cs="Arial" w:eastAsia="Arial" w:hAnsi="Arial"/>
                <w:sz w:val="18"/>
                <w:szCs w:val="18"/>
                <w:color w:val="auto"/>
              </w:rPr>
              <w:t>Earnings per common share</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28,724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28,477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29,595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29,552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8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122" w:right="1440"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020" w:type="dxa"/>
            <w:vAlign w:val="bottom"/>
            <w:tcBorders>
              <w:bottom w:val="single" w:sz="8" w:color="auto"/>
            </w:tcBorders>
            <w:gridSpan w:val="5"/>
          </w:tcPr>
          <w:p>
            <w:pPr>
              <w:jc w:val="right"/>
              <w:ind w:right="433"/>
              <w:spacing w:after="0"/>
              <w:rPr>
                <w:sz w:val="20"/>
                <w:szCs w:val="20"/>
                <w:color w:val="auto"/>
              </w:rPr>
            </w:pPr>
            <w:r>
              <w:rPr>
                <w:rFonts w:ascii="Arial" w:cs="Arial" w:eastAsia="Arial" w:hAnsi="Arial"/>
                <w:sz w:val="14"/>
                <w:szCs w:val="14"/>
                <w:b w:val="1"/>
                <w:bCs w:val="1"/>
                <w:color w:val="auto"/>
              </w:rPr>
              <w:t>Three months ended August 31,</w:t>
            </w:r>
          </w:p>
        </w:tc>
      </w:tr>
      <w:tr>
        <w:trPr>
          <w:trHeight w:val="264"/>
        </w:trPr>
        <w:tc>
          <w:tcPr>
            <w:tcW w:w="5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r>
      <w:tr>
        <w:trPr>
          <w:trHeight w:val="162"/>
        </w:trPr>
        <w:tc>
          <w:tcPr>
            <w:tcW w:w="5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1,671</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Other comprehensive (loss)/income:</w:t>
            </w: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6,195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5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comprehensive loss (income) attributable to noncontrolling</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534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Mistras Group, Inc.</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6,283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0"/>
        </w:trPr>
        <w:tc>
          <w:tcPr>
            <w:tcW w:w="5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8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22" w:right="1440"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August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70"/>
        </w:trPr>
        <w:tc>
          <w:tcPr>
            <w:tcW w:w="83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Note 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Charges associated with the exit of foreign operations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adjustment to contingent consideration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 of businesses: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 of intangible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sale of equipment</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 of long-term debt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borrowings against revolver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Payment of contingent consideration for business acquisitions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 of share-based awards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Excess tax benefit from share-based compensation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exercise of stock options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30,112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change in cash and cash equivalents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10,555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10,020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12,496</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paid</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2,135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and financing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Equipment acquired through capital lease obligations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1,951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notes payable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20,508</w:t>
            </w:r>
          </w:p>
        </w:tc>
      </w:tr>
      <w:tr>
        <w:trPr>
          <w:trHeight w:val="27"/>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1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138"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fossil and nuclear power, alternative and renewable energy, public infrastructure, chemicals, commercial aerospace and defense, transportation, primary metals and metalworking, pharmaceutical/biotechnology and food processing industries and research and engineering institutions.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years ending May 31, 2016 and 2015. Reference to a fiscal year means the fiscal year ended May 31.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the Company’s Annual Report on Form 10-K (“Annual Report”) for fiscal 2015, as filed with the Securities and Exchange Commission on August 12,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consolidated balance sheets. The noncontrolling interests in net income, net of tax, is classified separately in the accompanying consolidated statements of income.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significant intercompany accounts and transactions have been eliminated in consolidation. Mistras Group, Inc.’s and its subsidiaries’ fiscal years end on May 31 except for the subsidiaries in the International segment, which end on April 30. Accordingly, the Company’s International segment subsidiaries are consolidated on a one month lag. Therefore, in the quarter and year of acquisition, results of acquired subsidiaries in the International segment are generally included in consolidated results for one less month than the actual number of months from the acquisition date to the end of the reporting period. Management does not believe that any events occurred during the one-month lag period that would have a material effect on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Immaterial Correction</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Subsequent to the issuance of its interim consolidated financial statements as of and for the three months ended August 31, 2014, the Company identified errors related to the classification of amounts reported in the Consolidated Statement of Cash Flows for that period. In accordance with the SEC Staff Accounting Bulletin (SAB) No. 99, Materiality, and SAB No. 108, Considering the Effects of Prior Year Misstatements when Quantifying Misstatements in Current Year Financial Statements, management evaluated the materiality of the errors from qualitative and quantitative perspectives, and concluded that the errors were immaterial. Accordingly, management has corrected the presentation of the affected line items of the accompanying consolidated statement of cash flows for the quarter ended August 31, 2014, as summarized below. These changes did not impact the Company’s net income, balance sheet, or stockholders’ equity for any period previously reported.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Previously</w:t>
            </w:r>
          </w:p>
        </w:tc>
        <w:tc>
          <w:tcPr>
            <w:tcW w:w="1580" w:type="dxa"/>
            <w:vAlign w:val="bottom"/>
          </w:tcPr>
          <w:p>
            <w:pPr>
              <w:spacing w:after="0"/>
              <w:rPr>
                <w:sz w:val="18"/>
                <w:szCs w:val="18"/>
                <w:color w:val="auto"/>
              </w:rPr>
            </w:pPr>
          </w:p>
        </w:tc>
      </w:tr>
      <w:tr>
        <w:trPr>
          <w:trHeight w:val="234"/>
        </w:trPr>
        <w:tc>
          <w:tcPr>
            <w:tcW w:w="6640" w:type="dxa"/>
            <w:vAlign w:val="bottom"/>
          </w:tcPr>
          <w:p>
            <w:pPr>
              <w:spacing w:after="0"/>
              <w:rPr>
                <w:sz w:val="20"/>
                <w:szCs w:val="20"/>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Reported</w:t>
            </w:r>
          </w:p>
        </w:tc>
        <w:tc>
          <w:tcPr>
            <w:tcW w:w="1580" w:type="dxa"/>
            <w:vAlign w:val="bottom"/>
          </w:tcPr>
          <w:p>
            <w:pPr>
              <w:jc w:val="right"/>
              <w:ind w:right="410"/>
              <w:spacing w:after="0"/>
              <w:rPr>
                <w:sz w:val="20"/>
                <w:szCs w:val="20"/>
                <w:color w:val="auto"/>
              </w:rPr>
            </w:pPr>
            <w:r>
              <w:rPr>
                <w:rFonts w:ascii="Arial" w:cs="Arial" w:eastAsia="Arial" w:hAnsi="Arial"/>
                <w:sz w:val="18"/>
                <w:szCs w:val="18"/>
                <w:b w:val="1"/>
                <w:bCs w:val="1"/>
                <w:color w:val="auto"/>
              </w:rPr>
              <w:t>Revised</w:t>
            </w:r>
          </w:p>
        </w:tc>
      </w:tr>
      <w:tr>
        <w:trPr>
          <w:trHeight w:val="27"/>
        </w:trPr>
        <w:tc>
          <w:tcPr>
            <w:tcW w:w="66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6,456</w:t>
            </w:r>
          </w:p>
        </w:tc>
        <w:tc>
          <w:tcPr>
            <w:tcW w:w="2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1,134</w:t>
            </w:r>
          </w:p>
        </w:tc>
      </w:tr>
      <w:tr>
        <w:trPr>
          <w:trHeight w:val="27"/>
        </w:trPr>
        <w:tc>
          <w:tcPr>
            <w:tcW w:w="6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adjustment to contingent consideration liabilities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43"/>
        </w:trPr>
        <w:tc>
          <w:tcPr>
            <w:tcW w:w="66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20" w:type="dxa"/>
            <w:vAlign w:val="bottom"/>
          </w:tcPr>
          <w:p>
            <w:pPr>
              <w:jc w:val="right"/>
              <w:spacing w:after="0"/>
              <w:rPr>
                <w:sz w:val="20"/>
                <w:szCs w:val="20"/>
                <w:color w:val="auto"/>
              </w:rPr>
            </w:pPr>
            <w:r>
              <w:rPr>
                <w:rFonts w:ascii="Arial" w:cs="Arial" w:eastAsia="Arial" w:hAnsi="Arial"/>
                <w:sz w:val="18"/>
                <w:szCs w:val="18"/>
                <w:color w:val="auto"/>
              </w:rPr>
              <w:t>(1,749)</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(2,059)</w:t>
            </w:r>
          </w:p>
        </w:tc>
      </w:tr>
      <w:tr>
        <w:trPr>
          <w:trHeight w:val="27"/>
        </w:trPr>
        <w:tc>
          <w:tcPr>
            <w:tcW w:w="6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14,515</w:t>
            </w:r>
          </w:p>
        </w:tc>
        <w:tc>
          <w:tcPr>
            <w:tcW w:w="2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8,847</w:t>
            </w:r>
          </w:p>
        </w:tc>
      </w:tr>
      <w:tr>
        <w:trPr>
          <w:trHeight w:val="27"/>
        </w:trPr>
        <w:tc>
          <w:tcPr>
            <w:tcW w:w="6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4"/>
        </w:trPr>
        <w:tc>
          <w:tcPr>
            <w:tcW w:w="66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(36,801)</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(32,657)</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620" w:type="dxa"/>
            <w:vAlign w:val="bottom"/>
          </w:tcPr>
          <w:p>
            <w:pPr>
              <w:jc w:val="right"/>
              <w:spacing w:after="0"/>
              <w:rPr>
                <w:sz w:val="20"/>
                <w:szCs w:val="20"/>
                <w:color w:val="auto"/>
              </w:rPr>
            </w:pPr>
            <w:r>
              <w:rPr>
                <w:rFonts w:ascii="Arial" w:cs="Arial" w:eastAsia="Arial" w:hAnsi="Arial"/>
                <w:sz w:val="18"/>
                <w:szCs w:val="18"/>
                <w:color w:val="auto"/>
              </w:rPr>
              <w:t>(40,645)</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(36,501)</w:t>
            </w:r>
          </w:p>
        </w:tc>
      </w:tr>
      <w:tr>
        <w:trPr>
          <w:trHeight w:val="27"/>
        </w:trPr>
        <w:tc>
          <w:tcPr>
            <w:tcW w:w="6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97"/>
        </w:trPr>
        <w:tc>
          <w:tcPr>
            <w:tcW w:w="66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 of long-term debt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r>
      <w:tr>
        <w:trPr>
          <w:trHeight w:val="243"/>
        </w:trPr>
        <w:tc>
          <w:tcPr>
            <w:tcW w:w="6640" w:type="dxa"/>
            <w:vAlign w:val="bottom"/>
          </w:tcPr>
          <w:p>
            <w:pPr>
              <w:ind w:left="160"/>
              <w:spacing w:after="0"/>
              <w:rPr>
                <w:sz w:val="20"/>
                <w:szCs w:val="20"/>
                <w:color w:val="auto"/>
              </w:rPr>
            </w:pPr>
            <w:r>
              <w:rPr>
                <w:rFonts w:ascii="Arial" w:cs="Arial" w:eastAsia="Arial" w:hAnsi="Arial"/>
                <w:sz w:val="18"/>
                <w:szCs w:val="18"/>
                <w:color w:val="auto"/>
              </w:rPr>
              <w:t>Net borrowings against revolver</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35,558</w:t>
            </w:r>
          </w:p>
        </w:tc>
        <w:tc>
          <w:tcPr>
            <w:tcW w:w="2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35,700</w:t>
            </w:r>
          </w:p>
        </w:tc>
      </w:tr>
      <w:tr>
        <w:trPr>
          <w:trHeight w:val="27"/>
        </w:trPr>
        <w:tc>
          <w:tcPr>
            <w:tcW w:w="6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30,489</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30,112</w:t>
            </w:r>
          </w:p>
        </w:tc>
      </w:tr>
      <w:tr>
        <w:trPr>
          <w:trHeight w:val="284"/>
        </w:trPr>
        <w:tc>
          <w:tcPr>
            <w:tcW w:w="6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43"/>
        </w:trPr>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66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Company’s significant accounting policies are disclosed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Company's Annual Report. On an ongoing basis, we evaluate its estimates and assumptions, including, among other things those related to revenue recognition, valuations of accounts receivable, long-lived assets, goodwill, deferred tax assets and uncertain tax positions. Since the date of the 2015 Annual Report, there have been no material changes to the Company's significant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April 2014, the FASB issued ASU 2014-08, </w:t>
      </w:r>
      <w:r>
        <w:rPr>
          <w:rFonts w:ascii="Arial" w:cs="Arial" w:eastAsia="Arial" w:hAnsi="Arial"/>
          <w:sz w:val="17"/>
          <w:szCs w:val="17"/>
          <w:i w:val="1"/>
          <w:iCs w:val="1"/>
          <w:color w:val="auto"/>
        </w:rPr>
        <w:t>Reporting Discontinued Operations and Disclosures of Disposals of Components of an Entity</w:t>
      </w:r>
      <w:r>
        <w:rPr>
          <w:rFonts w:ascii="Arial" w:cs="Arial" w:eastAsia="Arial" w:hAnsi="Arial"/>
          <w:sz w:val="17"/>
          <w:szCs w:val="17"/>
          <w:color w:val="auto"/>
        </w:rPr>
        <w:t>, which amends the definition of a discontinued operation and requires entities to provide additional disclosures about disposal transactions that do not meet the discontinued operations criteria. This ASU requires discontinued operations treatment for disposals of a component or group of components of an entity that represent a strategic shift that has or will have a major impact on an entity's operations or financial results. ASU 2014-08 also expands the scope of ASC 205-20, "Discontinued Operations," to disposals of equity method investments and acquired businesses held for sale. This ASU is effective prospectively for all disposals or classifications as held for sale that occur in interim and annual reporting periods beginning after December 15, 2014. The Company adopted ASU 2014-08 and there was no material impact on the Company's consolidated financial statements and related disclosures.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May 2014, the Financial Accounting Standards Board issued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fiscal years, and interim periods within those fiscal years beginning after December 15, 2017. Early application is not permitted. The standard permits the use of either the retrospective or cumulative effect transition method. The Company is evaluating the effect that ASU 2014-09 will have on its consolidated financial statements and related disclosures. The Company is evaluating the effect that ASU 2014-09 will have on its consolidated financial statements and related disclosures.</w:t>
      </w:r>
    </w:p>
    <w:p>
      <w:pPr>
        <w:spacing w:after="0" w:line="18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In June 2014, the FASB issued ASU 2014-12, </w:t>
      </w:r>
      <w:r>
        <w:rPr>
          <w:rFonts w:ascii="Arial" w:cs="Arial" w:eastAsia="Arial" w:hAnsi="Arial"/>
          <w:sz w:val="18"/>
          <w:szCs w:val="18"/>
          <w:i w:val="1"/>
          <w:iCs w:val="1"/>
          <w:color w:val="auto"/>
        </w:rPr>
        <w:t>Accounting for Share-Based Payments When the Terms of an Award Provide That a Performance Target Could</w:t>
      </w:r>
      <w:r>
        <w:rPr>
          <w:rFonts w:ascii="Arial" w:cs="Arial" w:eastAsia="Arial" w:hAnsi="Arial"/>
          <w:sz w:val="18"/>
          <w:szCs w:val="18"/>
          <w:color w:val="auto"/>
        </w:rPr>
        <w:t xml:space="preserve"> </w:t>
      </w:r>
      <w:r>
        <w:rPr>
          <w:rFonts w:ascii="Arial" w:cs="Arial" w:eastAsia="Arial" w:hAnsi="Arial"/>
          <w:sz w:val="18"/>
          <w:szCs w:val="18"/>
          <w:i w:val="1"/>
          <w:iCs w:val="1"/>
          <w:color w:val="auto"/>
        </w:rPr>
        <w:t>Be Achieved After the Requisite Service Period</w:t>
      </w:r>
      <w:r>
        <w:rPr>
          <w:rFonts w:ascii="Arial" w:cs="Arial" w:eastAsia="Arial" w:hAnsi="Arial"/>
          <w:sz w:val="18"/>
          <w:szCs w:val="18"/>
          <w:color w:val="auto"/>
        </w:rPr>
        <w:t>. This ASU requires that a performance target that affects vesting, and that could be achieved after the requisite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period, be treated as a performance condition. ASU</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2014-12 is effective for fiscal years, and interim periods within those fiscal years beginning after December 15, 2015. The Company is currently evaluating the effect that ASU 2014-12 will have on its consolidated financial statements and related disclosures.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February 2015, the Financial Accounting Standards Board issued ASU No. 2015-02, </w:t>
      </w:r>
      <w:r>
        <w:rPr>
          <w:rFonts w:ascii="Arial" w:cs="Arial" w:eastAsia="Arial" w:hAnsi="Arial"/>
          <w:sz w:val="18"/>
          <w:szCs w:val="18"/>
          <w:i w:val="1"/>
          <w:iCs w:val="1"/>
          <w:color w:val="auto"/>
        </w:rPr>
        <w:t>Consolidation (Topic 810): Amendments to the Consolidations</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8"/>
          <w:szCs w:val="18"/>
          <w:color w:val="auto"/>
        </w:rPr>
        <w:t>, which changes the guidance for evaluating whether to consolidate certain legal entities. Specifically, the amendments modify the evaluation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limited partnerships and similar legal entities are variable interest entities ("VIEs") or voting interest entities. Further, the amendments eliminate the presumption that a general partner should consolidate a limited partnership, as well as affect the consolidation analysis of reporting entities that are involved with VIEs, particularly those that have fee arrangements and related party relationships. The updated guidance is effective for fiscal years, and interim periods within those fiscal years beginning after December 15, 2015. Early adoption is permitted. Companies have an option of using either a full retrospective or modified retrospective adoption approach. The Company is evaluating the effect that ASU 2015-02 will have on its consolidated financial statements and related disclosures.</w:t>
      </w:r>
    </w:p>
    <w:p>
      <w:pPr>
        <w:spacing w:after="0" w:line="188"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has share-based incentive awards outstanding to its eligible employees and Directors under two employee equity incentive plans: (i) the 2007 Stock Option Plan (the 2007 Plan), and (ii) the 2009 Long-Term Incentive Plan (the 2009 Plan). No further awards may be granted under the 2007 Plan, although awards granted under the 2007 Plan remain outstanding in accordance with their terms. Awards granted under the 2009 Plan may be in the form of stock options, restricted stock units and other forms of share-based incentives, including performance restricted stock units, stock appreciation rights and deferred stock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For the three months ended August 31, 2015 and 2014, the Company recognized share-based compensation expense related to stock option awards of less than $0.1 million for each period respectively. As of August 31, 2015, there was less than $0.1 million of unrecognized compensation costs, net of estimated forfeitures, related to stock option awards, which are expected to be recognized over a remaining weighted average period of 0.5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three months ended August 31,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For the three months ended August 31, 2015 and 2014, the Company recognized share-based compensation expense related to restricted stock unit awards of $1.1 million for each period respectively. As of August 31, 2015, there was $8.9 million of unrecognized compensation costs, net of estimated forfeitures, related to restricted stock unit awards, which are expected to be recognized over a remaining weighted average period of 3.1 years.</w:t>
      </w:r>
    </w:p>
    <w:p>
      <w:pPr>
        <w:spacing w:after="0" w:line="14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During the first three months of fiscal 2016 and 2015, the Company granted approximately 15,000 and 10,000 shares, respectively, of fully-vested common stock to its five non-employee directors, in connection with its non-employee director compensation plan. These shares had grant date fair values of $0.2 million for each period respectively, which was recorded as share-based compensation expense during the three months ended August 31, 2015 and 2014.</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first three months of fiscal 2016 and 2015, approximately 205,000 and 217,000 restricted stock units, respectively, vested. The fair value of these units was $3.2 million and $4.7 million, respectively. Upon vesting, restricted stock units are generally net share-settled to cover the required minimum withholding tax and the remaining amount is converted into an equivalent number of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2016</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the first quarter of fiscal 2016, the Company modified its equity compensation plan for its executive and certain other senior officers. The Company granted 154,000 performance restricted stock units to its executive and certain other senior officers. These units have requisite service periods of five years and have no dividend rights. The actual payout of these units will vary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based on the Company’s performance over a one-year period based on three metrics related to the Company’s fiscal 2016 performance: (1) Operating Income,</w:t>
      </w:r>
    </w:p>
    <w:p>
      <w:pPr>
        <w:spacing w:after="0" w:line="46" w:lineRule="exact"/>
        <w:rPr>
          <w:sz w:val="20"/>
          <w:szCs w:val="20"/>
          <w:color w:val="auto"/>
        </w:rPr>
      </w:pPr>
    </w:p>
    <w:p>
      <w:pPr>
        <w:ind w:right="44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EBITDAS, which is net income before interest, taxes, depreciation, amortization, non-cash stock-based compensation expense, acquisition related items, and other non-routine items as determined by the Committee and (3) Revenue. There is also a discretionary portion based on individual performance.</w:t>
      </w:r>
    </w:p>
    <w:p>
      <w:pPr>
        <w:spacing w:after="0" w:line="1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condition for receiving any awards under the revised fiscal 2016 plan, the executive and senior officers surrendered and released all rights to receive any shares under the 2014 and 2015 awards with a three-year performance or market condition. The Company has accounted for the fiscal 2016 awards as modifications in accordance with ASC 718, Compensation - Stock Compensation.</w:t>
      </w:r>
    </w:p>
    <w:p>
      <w:pPr>
        <w:spacing w:after="0" w:line="18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Compensation costs are initially measured assuming that the target performance conditions will be achieved. However, compensation costs related to the performance conditions are adjusted for subsequent changes in the expected outcomes of the performance conditions. The discretionary portion of these awards will be liability-classified and adjusted to fair value each reporting period. Compensation costs for the discretionary portion of the awards will be recognized over the same five year requisite service period as the awards based on the Company’s fiscal 2016 performance. For the three months ended August 31, 2015, the Company recognized share-based compensation expense related to these units of less than $0.1 million. At August 31, 2015, there was $2.2 million of total unrecognized compensation costs related to the 154,000 non-vested performance restricted stock units.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2015</w:t>
      </w:r>
    </w:p>
    <w:p>
      <w:pPr>
        <w:spacing w:after="0" w:line="11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the second quarter of fiscal 2015, the Company granted performance restricted stock units to its executive and certain other senior officers. These units were surrendered as part of the revised fiscal 2016 plan as discussed above. For the three months ended August 31, 2015, the Company recognized share-based compensation expense related to performance restricted stock units of $0.2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2014</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the third quarter of fiscal 2014, the Company granted one-year, two-year and three-year performance restricted stock units to its executive officers and certain other senior officers. These units have requisite service (vesting) periods of three years and have no dividend rights. The units with three-year performance and market conditions were surrendered as part of the revised fiscal 2016 plan as discussed above. For the three months ended August 31, 2015 and 2014, the Company recognized share-based compensation expense related to performance restricted stock units of $0.4 million and $0.8 million, respectively. At August 31, 2015, there was $1.0 million of total unrecognized compensation costs related to approximately 95,000 non-vested performance restricted stock units. These costs are expected to be recognized over a weighted-average period of approximately 1.0 years. The actual payout of these units will vary based on the Company’s performance over one, and two-year periods (based on pre-established targets) and a market condition modifier based on TSR compared to an industry peer group. Compensation cost is initially measured assuming that the target performance condition will be achieved. However, compensation cost related to the performance condition is adjusted for subsequent changes in the expected outcome of the performance condition. Compensation cost related to the TSR condition is fixed at the measurement date, and not subsequently adjusted. The one-year and two-year performance conditions of the fiscal 2014 awards were not achieved. The one-year market condition of the fiscal 2014 awards was achieved and will payout at 170% of target once the requisite service period is complete.</w:t>
      </w:r>
    </w:p>
    <w:p>
      <w:pPr>
        <w:spacing w:after="0" w:line="176" w:lineRule="exact"/>
        <w:rPr>
          <w:sz w:val="20"/>
          <w:szCs w:val="20"/>
          <w:color w:val="auto"/>
        </w:rPr>
      </w:pPr>
    </w:p>
    <w:p>
      <w:pPr>
        <w:ind w:left="680" w:hanging="672"/>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140" w:firstLine="8"/>
        <w:spacing w:after="0" w:line="277"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dilutive effect of assumed conversion of equity awards using the treasury stock method. With respect to the number of weighted-average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 August 31,</w:t>
            </w:r>
          </w:p>
        </w:tc>
      </w:tr>
      <w:tr>
        <w:trPr>
          <w:trHeight w:val="264"/>
        </w:trPr>
        <w:tc>
          <w:tcPr>
            <w:tcW w:w="5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r>
      <w:tr>
        <w:trPr>
          <w:trHeight w:val="162"/>
        </w:trPr>
        <w:tc>
          <w:tcPr>
            <w:tcW w:w="5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attributable to Mistras Group, Inc.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28,477</w:t>
            </w:r>
          </w:p>
        </w:tc>
      </w:tr>
      <w:tr>
        <w:trPr>
          <w:trHeight w:val="297"/>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r>
      <w:tr>
        <w:trPr>
          <w:trHeight w:val="284"/>
        </w:trPr>
        <w:tc>
          <w:tcPr>
            <w:tcW w:w="5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60"/>
              <w:spacing w:after="0"/>
              <w:rPr>
                <w:sz w:val="20"/>
                <w:szCs w:val="20"/>
                <w:color w:val="auto"/>
              </w:rPr>
            </w:pPr>
            <w:r>
              <w:rPr>
                <w:rFonts w:ascii="Arial" w:cs="Arial" w:eastAsia="Arial" w:hAnsi="Arial"/>
                <w:sz w:val="18"/>
                <w:szCs w:val="18"/>
                <w:color w:val="auto"/>
              </w:rPr>
              <w:t>Net income attributable to Mistras Group,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1,666</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28,477</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43"/>
        </w:trPr>
        <w:tc>
          <w:tcPr>
            <w:tcW w:w="5360" w:type="dxa"/>
            <w:vAlign w:val="bottom"/>
          </w:tcPr>
          <w:p>
            <w:pPr>
              <w:ind w:left="160"/>
              <w:spacing w:after="0"/>
              <w:rPr>
                <w:sz w:val="20"/>
                <w:szCs w:val="20"/>
                <w:color w:val="auto"/>
              </w:rPr>
            </w:pPr>
            <w:r>
              <w:rPr>
                <w:rFonts w:ascii="Arial" w:cs="Arial" w:eastAsia="Arial" w:hAnsi="Arial"/>
                <w:sz w:val="18"/>
                <w:szCs w:val="18"/>
                <w:color w:val="auto"/>
              </w:rPr>
              <w:t>Dilutive effect of restricted stock units outstanding</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29,552</w:t>
            </w:r>
          </w:p>
        </w:tc>
      </w:tr>
      <w:tr>
        <w:trPr>
          <w:trHeight w:val="257"/>
        </w:trPr>
        <w:tc>
          <w:tcPr>
            <w:tcW w:w="53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complete any acquisitions during the three months ended August 31, 2015.</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the first quarter of fiscal 2015, the Company completed three acquisitions. The Company purchased a company, located in Louisiana, a provider of maintenance and inspection services primarily on offshore platforms. This acquisition expands the service offerings within the Services segment, allowing the Company to provide services to the upstream operations of its customers. The Company also purchased a group of asset protection businesses located in Quebec, Canada to complement service offerings within the Company’s Services segment and continue its market expansion strategy. The Company’s International Segment completed an acquisition of an asset inspection business located in the United Kingdom.</w:t>
      </w:r>
    </w:p>
    <w:p>
      <w:pPr>
        <w:spacing w:after="0" w:line="17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these acquisitions, the Company acquired 100% of the common stock or certain assets of each acquiree in exchange for aggregate consideration of approximately $34.0 million in cash and $22.7 million in notes payable issued as part of the acquisition and other liabilities assumed. The Company accounted for these transactions in accordance with the acquisition method of accounting for business combinations. In addition, the acquisition in Quebec provided for contingent consideration of up to $2.7 million to be earned based upon the acquired business achieving specific performance metrics over the next three years of operation from the acquisition date.</w:t>
      </w:r>
    </w:p>
    <w:p>
      <w:pPr>
        <w:spacing w:after="0" w:line="188"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The amortization period of intangible assets acquired in fiscal 2015 ranges from 3 to 10 years. The Company recorded $43.9 million of goodwill in connection with these acquisitions, reflecting the strategic fit and revenue and earnings growth potential of these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fiscal 2016, the Company finalized the sales of its subsidiaries in Russia and Japan and recognized an operating loss of $0.3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Expense</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three month period ended August 31, 2015, the Company adjusted the fair value of certain previously recorded acquisition-related contingent consideration liabilities. These adjustments resulted in a net decrease of acquisition-related</w:t>
      </w:r>
    </w:p>
    <w:p>
      <w:pPr>
        <w:sectPr>
          <w:pgSz w:w="11900" w:h="16838" w:orient="portrait"/>
          <w:cols w:equalWidth="0" w:num="1">
            <w:col w:w="11400"/>
          </w:cols>
          <w:pgMar w:left="240" w:top="122"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22" w:right="25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contingent consideration liabilities and a corresponding increase in income from operations of $0.9 million. The Company’s aggregate acquisition-related contingent consideration liabilities were $5.2 million and $6.4 million as of August 31, 2015 and May 31, 2015, respectively.</w:t>
      </w:r>
    </w:p>
    <w:p>
      <w:pPr>
        <w:spacing w:after="0" w:line="14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During the three month period ended August 31, 2014, the Company incurred acquisition-related costs of less than $0.1 million in connection with due diligence, professional fees, and other expenses for its acquisition activity. Additionally, the Company adjusted the fair value of certain acquisition-related contingent consideration liabilities. For the three month period ended August 31, 2014, these adjustments resulted in a net decrease of acquisition-related contingent consideration liabilities and a corresponding increase in income from operations of $1.0 million.</w:t>
      </w:r>
    </w:p>
    <w:p>
      <w:pPr>
        <w:spacing w:after="0" w:line="17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fair value adjustments to acquisition-related contingent consideration liabilities and the acquisition-related transaction costs have been classified as acquisition-related expense, net in the condensed consolidated statements of income for the three month periods ended August 31, 2015 and 2014.</w:t>
      </w:r>
    </w:p>
    <w:p>
      <w:pPr>
        <w:spacing w:after="0" w:line="336"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31, 2015</w:t>
            </w:r>
          </w:p>
        </w:tc>
        <w:tc>
          <w:tcPr>
            <w:tcW w:w="260" w:type="dxa"/>
            <w:vAlign w:val="bottom"/>
          </w:tcPr>
          <w:p>
            <w:pPr>
              <w:spacing w:after="0"/>
              <w:rPr>
                <w:sz w:val="16"/>
                <w:szCs w:val="16"/>
                <w:color w:val="auto"/>
              </w:rPr>
            </w:pPr>
          </w:p>
        </w:tc>
        <w:tc>
          <w:tcPr>
            <w:tcW w:w="1320" w:type="dxa"/>
            <w:vAlign w:val="bottom"/>
          </w:tcPr>
          <w:p>
            <w:pPr>
              <w:jc w:val="right"/>
              <w:ind w:right="294"/>
              <w:spacing w:after="0"/>
              <w:rPr>
                <w:sz w:val="20"/>
                <w:szCs w:val="20"/>
                <w:color w:val="auto"/>
              </w:rPr>
            </w:pPr>
            <w:r>
              <w:rPr>
                <w:rFonts w:ascii="Arial" w:cs="Arial" w:eastAsia="Arial" w:hAnsi="Arial"/>
                <w:sz w:val="14"/>
                <w:szCs w:val="14"/>
                <w:b w:val="1"/>
                <w:bCs w:val="1"/>
                <w:color w:val="auto"/>
              </w:rPr>
              <w:t>May 31, 2015</w:t>
            </w:r>
          </w:p>
        </w:tc>
      </w:tr>
      <w:tr>
        <w:trPr>
          <w:trHeight w:val="162"/>
        </w:trPr>
        <w:tc>
          <w:tcPr>
            <w:tcW w:w="79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137,335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136,208</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(2,980)</w:t>
            </w:r>
          </w:p>
        </w:tc>
      </w:tr>
      <w:tr>
        <w:trPr>
          <w:trHeight w:val="27"/>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 receivable,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134,065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133,228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840" w:type="dxa"/>
            <w:vAlign w:val="bottom"/>
          </w:tcPr>
          <w:p>
            <w:pPr>
              <w:jc w:val="center"/>
              <w:ind w:left="1037"/>
              <w:spacing w:after="0"/>
              <w:rPr>
                <w:sz w:val="20"/>
                <w:szCs w:val="20"/>
                <w:color w:val="auto"/>
              </w:rPr>
            </w:pPr>
            <w:r>
              <w:rPr>
                <w:rFonts w:ascii="Arial" w:cs="Arial" w:eastAsia="Arial" w:hAnsi="Arial"/>
                <w:sz w:val="14"/>
                <w:szCs w:val="14"/>
                <w:b w:val="1"/>
                <w:bCs w:val="1"/>
                <w:color w:val="auto"/>
                <w:w w:val="94"/>
              </w:rPr>
              <w:t>Useful Life</w:t>
            </w:r>
          </w:p>
        </w:tc>
        <w:tc>
          <w:tcPr>
            <w:tcW w:w="280" w:type="dxa"/>
            <w:vAlign w:val="bottom"/>
          </w:tcPr>
          <w:p>
            <w:pPr>
              <w:spacing w:after="0"/>
              <w:rPr>
                <w:sz w:val="14"/>
                <w:szCs w:val="14"/>
                <w:color w:val="auto"/>
              </w:rPr>
            </w:pPr>
          </w:p>
        </w:tc>
        <w:tc>
          <w:tcPr>
            <w:tcW w:w="1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August 31, 2015</w:t>
            </w:r>
          </w:p>
        </w:tc>
        <w:tc>
          <w:tcPr>
            <w:tcW w:w="300" w:type="dxa"/>
            <w:vAlign w:val="bottom"/>
          </w:tcPr>
          <w:p>
            <w:pPr>
              <w:spacing w:after="0"/>
              <w:rPr>
                <w:sz w:val="14"/>
                <w:szCs w:val="14"/>
                <w:color w:val="auto"/>
              </w:rPr>
            </w:pPr>
          </w:p>
        </w:tc>
        <w:tc>
          <w:tcPr>
            <w:tcW w:w="15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May 31, 2015</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840" w:type="dxa"/>
            <w:vAlign w:val="bottom"/>
          </w:tcPr>
          <w:p>
            <w:pPr>
              <w:jc w:val="center"/>
              <w:ind w:left="1037"/>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840" w:type="dxa"/>
            <w:vAlign w:val="bottom"/>
          </w:tcPr>
          <w:p>
            <w:pPr>
              <w:jc w:val="center"/>
              <w:ind w:left="1057"/>
              <w:spacing w:after="0"/>
              <w:rPr>
                <w:sz w:val="20"/>
                <w:szCs w:val="20"/>
                <w:color w:val="auto"/>
              </w:rPr>
            </w:pPr>
            <w:r>
              <w:rPr>
                <w:rFonts w:ascii="Arial" w:cs="Arial" w:eastAsia="Arial" w:hAnsi="Arial"/>
                <w:sz w:val="18"/>
                <w:szCs w:val="18"/>
                <w:color w:val="auto"/>
                <w:w w:val="91"/>
              </w:rPr>
              <w:t>30-40</w:t>
            </w: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18,883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17,712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2840" w:type="dxa"/>
            <w:vAlign w:val="bottom"/>
            <w:tcBorders>
              <w:bottom w:val="single" w:sz="8" w:color="CCEEFF"/>
            </w:tcBorders>
            <w:shd w:val="clear" w:color="auto" w:fill="CCEEFF"/>
          </w:tcPr>
          <w:p>
            <w:pPr>
              <w:jc w:val="center"/>
              <w:ind w:left="1037"/>
              <w:spacing w:after="0"/>
              <w:rPr>
                <w:sz w:val="20"/>
                <w:szCs w:val="20"/>
                <w:color w:val="auto"/>
              </w:rPr>
            </w:pPr>
            <w:r>
              <w:rPr>
                <w:rFonts w:ascii="Arial" w:cs="Arial" w:eastAsia="Arial" w:hAnsi="Arial"/>
                <w:sz w:val="18"/>
                <w:szCs w:val="18"/>
                <w:color w:val="auto"/>
                <w:w w:val="92"/>
              </w:rPr>
              <w:t>5-8</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840" w:type="dxa"/>
            <w:vAlign w:val="bottom"/>
          </w:tcPr>
          <w:p>
            <w:pPr>
              <w:jc w:val="center"/>
              <w:ind w:left="1037"/>
              <w:spacing w:after="0"/>
              <w:rPr>
                <w:sz w:val="20"/>
                <w:szCs w:val="20"/>
                <w:color w:val="auto"/>
              </w:rPr>
            </w:pPr>
            <w:r>
              <w:rPr>
                <w:rFonts w:ascii="Arial" w:cs="Arial" w:eastAsia="Arial" w:hAnsi="Arial"/>
                <w:sz w:val="18"/>
                <w:szCs w:val="18"/>
                <w:color w:val="auto"/>
                <w:w w:val="92"/>
              </w:rPr>
              <w:t>5-7</w:t>
            </w: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162,432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162,612</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191,534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190,264</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(113,863)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(111,008)</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77,671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79,256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August 31, 2015 and 2014 was $5.6 million and $5.4 million,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58" w:lineRule="exact"/>
        <w:rPr>
          <w:sz w:val="20"/>
          <w:szCs w:val="20"/>
          <w:color w:val="auto"/>
        </w:rPr>
      </w:pPr>
    </w:p>
    <w:p>
      <w:pPr>
        <w:ind w:left="680" w:hanging="672"/>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August 31, 2015</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May 31, 2015</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Useful Life</w:t>
            </w:r>
          </w:p>
        </w:tc>
        <w:tc>
          <w:tcPr>
            <w:tcW w:w="220" w:type="dxa"/>
            <w:vAlign w:val="bottom"/>
          </w:tcPr>
          <w:p>
            <w:pPr>
              <w:spacing w:after="0"/>
              <w:rPr>
                <w:sz w:val="13"/>
                <w:szCs w:val="13"/>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3"/>
                <w:szCs w:val="13"/>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9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94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80,279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37,893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40,092</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Software/Technology</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3-15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16,195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5,616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15,738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Covenants not to compete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6,851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6,910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114,973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48,835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115,427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51,276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months ended August 31, 2015 and 2014 was $2.4 million and $2.9 million, respectively.</w:t>
      </w:r>
    </w:p>
    <w:p>
      <w:pPr>
        <w:spacing w:after="0" w:line="221" w:lineRule="exact"/>
        <w:rPr>
          <w:sz w:val="20"/>
          <w:szCs w:val="20"/>
          <w:color w:val="auto"/>
        </w:rPr>
      </w:pPr>
    </w:p>
    <w:p>
      <w:pPr>
        <w:ind w:left="680" w:hanging="672"/>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August 31, 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53"/>
              <w:spacing w:after="0"/>
              <w:rPr>
                <w:sz w:val="20"/>
                <w:szCs w:val="20"/>
                <w:color w:val="auto"/>
              </w:rPr>
            </w:pPr>
            <w:r>
              <w:rPr>
                <w:rFonts w:ascii="Arial" w:cs="Arial" w:eastAsia="Arial" w:hAnsi="Arial"/>
                <w:sz w:val="14"/>
                <w:szCs w:val="14"/>
                <w:b w:val="1"/>
                <w:bCs w:val="1"/>
                <w:color w:val="auto"/>
              </w:rPr>
              <w:t>May 31, 2015</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wages and related employee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26,053</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current portion</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workers’ compensation and health benefits</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14,742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18,847</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Total accrued expenses and other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52,758</w:t>
            </w:r>
          </w:p>
        </w:tc>
        <w:tc>
          <w:tcPr>
            <w:tcW w:w="10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55,914</w:t>
            </w:r>
          </w:p>
        </w:tc>
        <w:tc>
          <w:tcPr>
            <w:tcW w:w="0" w:type="dxa"/>
            <w:vAlign w:val="bottom"/>
          </w:tcPr>
          <w:p>
            <w:pPr>
              <w:spacing w:after="0"/>
              <w:rPr>
                <w:sz w:val="1"/>
                <w:szCs w:val="1"/>
                <w:color w:val="auto"/>
              </w:rPr>
            </w:pPr>
          </w:p>
        </w:tc>
      </w:tr>
      <w:tr>
        <w:trPr>
          <w:trHeight w:val="27"/>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w w:val="92"/>
              </w:rPr>
              <w:t>9.</w:t>
            </w:r>
          </w:p>
        </w:tc>
        <w:tc>
          <w:tcPr>
            <w:tcW w:w="77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vMerge w:val="continue"/>
          </w:tcPr>
          <w:p>
            <w:pPr>
              <w:spacing w:after="0" w:line="20" w:lineRule="exact"/>
              <w:rPr>
                <w:sz w:val="1"/>
                <w:szCs w:val="1"/>
                <w:color w:val="auto"/>
              </w:rPr>
            </w:pPr>
          </w:p>
        </w:tc>
        <w:tc>
          <w:tcPr>
            <w:tcW w:w="77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vMerge w:val="continue"/>
          </w:tcPr>
          <w:p>
            <w:pPr>
              <w:spacing w:after="0"/>
              <w:rPr>
                <w:sz w:val="24"/>
                <w:szCs w:val="24"/>
                <w:color w:val="auto"/>
              </w:rPr>
            </w:pPr>
          </w:p>
        </w:tc>
        <w:tc>
          <w:tcPr>
            <w:tcW w:w="7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90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August 31, 2015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May 31, 2015</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86,443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83,062</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24,933</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105,795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113,459</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(17,902)</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89,443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95,557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October 31, 2014, the Company entered into a Third Amendment and Modification Agreement, to its revolving line of credit, the Third Amended and Restated Credit Agreement (“Credit Agreement”) with Bank of America, N.A., as agent for the lenders and a lender, and JPMorgan Chase Bank, N.A., Keybank, National Association and TD Bank, N.A., as lenders. The Credit Agreement provides the Company’s with a $175.0 million revolving line of credit, which, under certain circumstances the line of credit can be increased to $225.0 million. The Company may borrow up to $30.0 million in non-U.S. Dollar currencies and use up to $10.0 million of the credit limit for the issuance of letters of credit. The Credit Agreement has a</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maturity date of October 30, 2019. As of August 31, 2015, the Company had borrowings of $86.4 million and a total of $4.4 million of letters of credit outstanding under the Credit Agreement.</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Loans under the Credit Agreement bear interest at LIBOR plus an applicable LIBOR margin ranging from 1% to 1.75%, or a base rate less a margin of 1.25% to 0.375%, at the option of the Company, based upon the Company’s Funded Debt Leverage Ratio. Funded Debt Leverage Ratio is generally the ratio of</w:t>
      </w:r>
    </w:p>
    <w:p>
      <w:pPr>
        <w:ind w:right="100" w:firstLine="8"/>
        <w:spacing w:after="0" w:line="281" w:lineRule="auto"/>
        <w:tabs>
          <w:tab w:leader="none" w:pos="2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1" w:lineRule="exact"/>
        <w:rPr>
          <w:rFonts w:ascii="Arial" w:cs="Arial" w:eastAsia="Arial" w:hAnsi="Arial"/>
          <w:sz w:val="16"/>
          <w:szCs w:val="16"/>
          <w:color w:val="auto"/>
        </w:rPr>
      </w:pPr>
    </w:p>
    <w:p>
      <w:pPr>
        <w:ind w:right="40"/>
        <w:spacing w:after="0" w:line="270" w:lineRule="auto"/>
        <w:rPr>
          <w:rFonts w:ascii="Arial" w:cs="Arial" w:eastAsia="Arial" w:hAnsi="Arial"/>
          <w:sz w:val="16"/>
          <w:szCs w:val="16"/>
          <w:color w:val="auto"/>
        </w:rPr>
      </w:pPr>
      <w:r>
        <w:rPr>
          <w:rFonts w:ascii="Arial" w:cs="Arial" w:eastAsia="Arial" w:hAnsi="Arial"/>
          <w:sz w:val="17"/>
          <w:szCs w:val="17"/>
          <w:color w:val="auto"/>
        </w:rPr>
        <w:t>(e) 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2.0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w:t>
      </w:r>
    </w:p>
    <w:p>
      <w:pPr>
        <w:spacing w:after="0" w:line="1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Credit Agreement contains financial covenants requiring that the Company maintain a Funded Debt Leverage Ratio of no greater than 3.25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August 31, 2015, the Company was in compliance with the terms of the Credit Agreement, and will continuously monitor its compliance with the covenants contained in its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certain of its acquisitions through fiscal 2015, the Company issued subordinated notes payable to the sellers. The maturity of the notes that remain outstanding range from two to five years from the date of acquisition with stated interest rates ranging from 0% to 4%. The Company has discounted these obligations to reflect a 2% to 4% market interest. Unamortized discount on the notes was de minimis as of August 31, 2015 and May 31, 2015. Amortization is recorded as interest expense in the consolidated statements of income.</w:t>
      </w:r>
    </w:p>
    <w:p>
      <w:pPr>
        <w:spacing w:after="0" w:line="187" w:lineRule="exact"/>
        <w:rPr>
          <w:sz w:val="20"/>
          <w:szCs w:val="20"/>
          <w:color w:val="auto"/>
        </w:rPr>
      </w:pPr>
    </w:p>
    <w:p>
      <w:pPr>
        <w:jc w:val="both"/>
        <w:ind w:right="800"/>
        <w:spacing w:after="0" w:line="31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issues of debt.</w:t>
      </w:r>
    </w:p>
    <w:p>
      <w:pPr>
        <w:spacing w:after="0" w:line="143"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 shows the fair value of the Company’s financial liabilities that are required to be remeasured at fair value on a recurring basis: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4"/>
                <w:szCs w:val="14"/>
                <w:b w:val="1"/>
                <w:bCs w:val="1"/>
                <w:color w:val="auto"/>
                <w:w w:val="91"/>
              </w:rPr>
              <w:t>August 31, 2015</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2"/>
                <w:szCs w:val="22"/>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5,220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5,220</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5,220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28"/>
        </w:trPr>
        <w:tc>
          <w:tcPr>
            <w:tcW w:w="5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4"/>
                <w:szCs w:val="14"/>
                <w:b w:val="1"/>
                <w:bCs w:val="1"/>
                <w:color w:val="auto"/>
                <w:w w:val="95"/>
              </w:rPr>
              <w:t>May 31, 2015</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2"/>
                <w:szCs w:val="22"/>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6,411</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6,411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fair value of contingent consideration liabilities that was classified as Level 3 in the table above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4"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Government Investigations</w:t>
      </w:r>
    </w:p>
    <w:p>
      <w:pPr>
        <w:spacing w:after="0" w:line="26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is subject to periodic lawsuits, investigations and claims that arise in the ordinary course of business. Although the Company cannot predict with certainty the ultimate resolution of lawsuits, investigations and claims asserted against it, the Company does not believe that any currently pending legal proceeding to which the Company is a party will have a material adverse effect on its business, results of operations, cash flows or financial condition, except for the proceedings described below for which the Company is currently unable to determine the likely outcome or reasonably estimate the amount or range of potential liability estimate. The costs of defense and amounts that may be recovered against the Company in such matters may be covered by insurance, except that the primary claims set forth in the two purported class action cases in California are excluded from insurance coverage.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In April 2015, two separate lawsuits were filed in California as purported class action lawsuits on behalf of current and former Mistras employees. The cases are </w:t>
      </w:r>
      <w:r>
        <w:rPr>
          <w:rFonts w:ascii="Arial" w:cs="Arial" w:eastAsia="Arial" w:hAnsi="Arial"/>
          <w:sz w:val="16"/>
          <w:szCs w:val="16"/>
          <w:i w:val="1"/>
          <w:iCs w:val="1"/>
          <w:color w:val="auto"/>
        </w:rPr>
        <w:t>David Kruger v Mistras Group, Inc.</w:t>
      </w:r>
      <w:r>
        <w:rPr>
          <w:rFonts w:ascii="Arial" w:cs="Arial" w:eastAsia="Arial" w:hAnsi="Arial"/>
          <w:sz w:val="16"/>
          <w:szCs w:val="16"/>
          <w:color w:val="auto"/>
        </w:rPr>
        <w:t xml:space="preserve">, pending in the U.S. District Court for the Eastern District of California and </w:t>
      </w:r>
      <w:r>
        <w:rPr>
          <w:rFonts w:ascii="Arial" w:cs="Arial" w:eastAsia="Arial" w:hAnsi="Arial"/>
          <w:sz w:val="16"/>
          <w:szCs w:val="16"/>
          <w:i w:val="1"/>
          <w:iCs w:val="1"/>
          <w:color w:val="auto"/>
        </w:rPr>
        <w:t>Edgar Viceral v Mistras Group, et al</w:t>
      </w:r>
      <w:r>
        <w:rPr>
          <w:rFonts w:ascii="Arial" w:cs="Arial" w:eastAsia="Arial" w:hAnsi="Arial"/>
          <w:sz w:val="16"/>
          <w:szCs w:val="16"/>
          <w:color w:val="auto"/>
        </w:rPr>
        <w:t xml:space="preserve">, pending in the U.S. District Court for the Northern District of California. Both cases were originally filed in California state court and were removed to the respective U.S. District Courts for the districts in which the state court cases were filed. These two cases have been consolidated, with the Kruger dismissing his case and joining the </w:t>
      </w:r>
      <w:r>
        <w:rPr>
          <w:rFonts w:ascii="Arial" w:cs="Arial" w:eastAsia="Arial" w:hAnsi="Arial"/>
          <w:sz w:val="16"/>
          <w:szCs w:val="16"/>
          <w:i w:val="1"/>
          <w:iCs w:val="1"/>
          <w:color w:val="auto"/>
        </w:rPr>
        <w:t>Viceral</w:t>
      </w:r>
      <w:r>
        <w:rPr>
          <w:rFonts w:ascii="Arial" w:cs="Arial" w:eastAsia="Arial" w:hAnsi="Arial"/>
          <w:sz w:val="16"/>
          <w:szCs w:val="16"/>
          <w:color w:val="auto"/>
        </w:rPr>
        <w:t xml:space="preserve"> case. As part of this consolidation, the claims in the </w:t>
      </w:r>
      <w:r>
        <w:rPr>
          <w:rFonts w:ascii="Arial" w:cs="Arial" w:eastAsia="Arial" w:hAnsi="Arial"/>
          <w:sz w:val="16"/>
          <w:szCs w:val="16"/>
          <w:i w:val="1"/>
          <w:iCs w:val="1"/>
          <w:color w:val="auto"/>
        </w:rPr>
        <w:t>Kruger</w:t>
      </w:r>
      <w:r>
        <w:rPr>
          <w:rFonts w:ascii="Arial" w:cs="Arial" w:eastAsia="Arial" w:hAnsi="Arial"/>
          <w:sz w:val="16"/>
          <w:szCs w:val="16"/>
          <w:color w:val="auto"/>
        </w:rPr>
        <w:t xml:space="preserve"> case that were not part of the </w:t>
      </w:r>
      <w:r>
        <w:rPr>
          <w:rFonts w:ascii="Arial" w:cs="Arial" w:eastAsia="Arial" w:hAnsi="Arial"/>
          <w:sz w:val="16"/>
          <w:szCs w:val="16"/>
          <w:i w:val="1"/>
          <w:iCs w:val="1"/>
          <w:color w:val="auto"/>
        </w:rPr>
        <w:t>Viceral</w:t>
      </w:r>
    </w:p>
    <w:p>
      <w:pPr>
        <w:sectPr>
          <w:pgSz w:w="11900" w:h="16838" w:orient="portrait"/>
          <w:cols w:equalWidth="0" w:num="1">
            <w:col w:w="11420"/>
          </w:cols>
          <w:pgMar w:left="240" w:top="122"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included case were added to the </w:t>
      </w:r>
      <w:r>
        <w:rPr>
          <w:rFonts w:ascii="Arial" w:cs="Arial" w:eastAsia="Arial" w:hAnsi="Arial"/>
          <w:sz w:val="17"/>
          <w:szCs w:val="17"/>
          <w:i w:val="1"/>
          <w:iCs w:val="1"/>
          <w:color w:val="auto"/>
        </w:rPr>
        <w:t>Viceral</w:t>
      </w:r>
      <w:r>
        <w:rPr>
          <w:rFonts w:ascii="Arial" w:cs="Arial" w:eastAsia="Arial" w:hAnsi="Arial"/>
          <w:sz w:val="17"/>
          <w:szCs w:val="17"/>
          <w:color w:val="auto"/>
        </w:rPr>
        <w:t xml:space="preserve"> case by the filing of an amended complaint. The consolidated case alleges violations of California statutes primarily from the California Labor Code and seeks to proceed as a collective action under the U.S. Fair Labor Standards Act. The case is predicated on claims for allegedly missed rest and meal periods, inaccurate wage statements, and failure to pay all wages due, as well as related unfair business practices, and is requesting payment of all damages, including unpaid wages, and various fines and penalties available under California law. The case is in the preliminary stages. The Company is currently unable to determine the likely outcome or reasonably estimate the amount or range of potential liability, if any, related to these matters, and accordingly, has not established any reserves for these matters.</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fiscal 2012 and 2013, the Company performed radiography work on the construction of pipeline projects in the U.S. The Company has received notice that the owner of the pipeline projects contends that certain of the x-ray images the Company’s technicians prepared regarding the project did not meet the code quality interpretation standards required by API (American Petroleum Institute) 1103. The projects owner is claiming damages as a result of the alleged quality defects of the Company’s x-ray images. No lawsuit has been filed at this time. The Company is currently unable to determine the likely outcome or reasonably estimate the amount or range of potential liability related to this matter, and accordingly, has not established any reserves for this matter.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Investigations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May 2015, the Company received a notice from the U.S. Environmental Protection Agency (“EPA”) that it had a preliminary assessment performed at a leased facility the Company operates in Cudahy, California. Based upon the preliminary assessment, the EPA would like to conduct an investigation of the site, which would include taking groundwater and soil samples. The purpose of the investigation is to determine whether any hazardous materials were released from the facility. The Company has 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the Cudahy facility should be examined, along with numerous other sites in the vicinity. At this time, the Company is unable to determine whether it has any liability in connection with this matter and if so, the amount or range of any such liability, and accordingly, has not established any reserves for this matter.</w:t>
      </w:r>
    </w:p>
    <w:p>
      <w:pPr>
        <w:spacing w:after="0" w:line="17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January 2012, the Company received notice of a governmental investigation concerning an environmental incident which occurred in February 2011 outside on the premises of the Cudahy facility. No human injury or property damage was reported or appears to have been caused as a result of this incident. While management cannot predict the ultimate outcome of this matter, based on its internal investigation to date, the Company does not believe the outcome will have a material effect on its financial condition or results of operations. To the Company’s knowledge, this matter has been dormant since fiscal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contingencies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The Company is liable for contingent consideration in connection with certain of its acquisitions. As of August 31, 2015, total potential acquisition-related contingent consideration ranged from zero to approximately $19.2 million and would be payable upon the achievement of specific performance metrics by certain of the acquired companies over the next 2.1 years of operations.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to these consolidated financial statements for further discussion of the Company’s acquisitions.</w:t>
      </w:r>
    </w:p>
    <w:p>
      <w:pPr>
        <w:spacing w:after="0" w:line="399" w:lineRule="exact"/>
        <w:rPr>
          <w:sz w:val="20"/>
          <w:szCs w:val="20"/>
          <w:color w:val="auto"/>
        </w:rPr>
      </w:pPr>
    </w:p>
    <w:p>
      <w:pPr>
        <w:ind w:left="680" w:hanging="672"/>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Subsequent to August 31, 2015, the Company completed an acquisition of an unmanned aerial system and NDT provider located in the U.S. The Company’s cash outlay for this acquisition was $1.75 million. In addition to the cash consideration, the acquisition provides for contingent consideration to be earned based upon the acquired company achieving specific performance metrics over the next four years of operation. The Company is in the process of completing the preliminary purchase price allocation. This acquisition was not significant and no pro forma information has been included.</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October 7, 2015, the Company announced that its Board of Directors authorized a stock repurchase program of up to $50 million of the Company’s outstanding common stock. The shares may be repurchased from time to time in open market transactions at prevailing market prices or by other means in accordance with federal securities laws. The actual timing, number and value of shares repurchased under the program will be determined by management at its discretion and will depend on 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number of factors, including the market price of the Company's stock, general market and economic conditions, legal requirements and compliance with the terms of the Company's credit facility.</w:t>
      </w:r>
    </w:p>
    <w:p>
      <w:pPr>
        <w:spacing w:after="0" w:line="166" w:lineRule="exact"/>
        <w:rPr>
          <w:sz w:val="20"/>
          <w:szCs w:val="20"/>
          <w:color w:val="auto"/>
        </w:rPr>
      </w:pPr>
    </w:p>
    <w:p>
      <w:pPr>
        <w:ind w:left="680" w:hanging="672"/>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1140" w:hanging="484"/>
        <w:spacing w:after="0" w:line="264" w:lineRule="auto"/>
        <w:tabs>
          <w:tab w:leader="none" w:pos="897"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primarily in North America with the largest concentration in the United States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services business, consisting primarily of non-destructive testing and inspection and engineering services that are used to evaluate the structural integrity and reliability of critical energy, industrial and public infrastructure.</w:t>
      </w:r>
    </w:p>
    <w:p>
      <w:pPr>
        <w:spacing w:after="0" w:line="181" w:lineRule="exact"/>
        <w:rPr>
          <w:rFonts w:ascii="Arial" w:cs="Arial" w:eastAsia="Arial" w:hAnsi="Arial"/>
          <w:sz w:val="18"/>
          <w:szCs w:val="18"/>
          <w:i w:val="1"/>
          <w:iCs w:val="1"/>
          <w:color w:val="auto"/>
        </w:rPr>
      </w:pPr>
    </w:p>
    <w:p>
      <w:pPr>
        <w:ind w:left="1140" w:hanging="484"/>
        <w:spacing w:after="0" w:line="264" w:lineRule="auto"/>
        <w:tabs>
          <w:tab w:leader="none" w:pos="897"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Company’s other two segments to global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in Europe, the Middle East, Africa, Asia and South America, but not to customers in China and South Korea, which are served by the Products and Systems segment.</w:t>
      </w:r>
    </w:p>
    <w:p>
      <w:pPr>
        <w:spacing w:after="0" w:line="181" w:lineRule="exact"/>
        <w:rPr>
          <w:rFonts w:ascii="Arial" w:cs="Arial" w:eastAsia="Arial" w:hAnsi="Arial"/>
          <w:sz w:val="18"/>
          <w:szCs w:val="18"/>
          <w:color w:val="auto"/>
        </w:rPr>
      </w:pPr>
    </w:p>
    <w:p>
      <w:pPr>
        <w:ind w:left="1140" w:right="280" w:hanging="484"/>
        <w:spacing w:after="0" w:line="277" w:lineRule="auto"/>
        <w:tabs>
          <w:tab w:leader="none" w:pos="897"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Allocations for general corporate services, including accounting, audit, and contract management,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7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The accounting policies of the reportable segments are the same as those described in Note 1 — </w:t>
      </w:r>
      <w:r>
        <w:rPr>
          <w:rFonts w:ascii="Arial" w:cs="Arial" w:eastAsia="Arial" w:hAnsi="Arial"/>
          <w:sz w:val="16"/>
          <w:szCs w:val="16"/>
          <w:i w:val="1"/>
          <w:iCs w:val="1"/>
          <w:color w:val="auto"/>
        </w:rPr>
        <w:t>Description of Business and Basis of Presentation</w:t>
      </w:r>
      <w:r>
        <w:rPr>
          <w:rFonts w:ascii="Arial" w:cs="Arial" w:eastAsia="Arial" w:hAnsi="Arial"/>
          <w:sz w:val="16"/>
          <w:szCs w:val="16"/>
          <w:color w:val="auto"/>
        </w:rPr>
        <w:t>. 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share-based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information by segment for the periods shown was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 August 31,</w:t>
            </w:r>
          </w:p>
        </w:tc>
      </w:tr>
      <w:tr>
        <w:trPr>
          <w:trHeight w:val="264"/>
        </w:trPr>
        <w:tc>
          <w:tcPr>
            <w:tcW w:w="53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r>
      <w:tr>
        <w:trPr>
          <w:trHeight w:val="23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137,405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121,932</w:t>
            </w:r>
          </w:p>
        </w:tc>
      </w:tr>
      <w:tr>
        <w:trPr>
          <w:trHeight w:val="27"/>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40,038</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6,567</w:t>
            </w:r>
          </w:p>
        </w:tc>
      </w:tr>
      <w:tr>
        <w:trPr>
          <w:trHeight w:val="27"/>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r>
      <w:tr>
        <w:trPr>
          <w:trHeight w:val="237"/>
        </w:trPr>
        <w:tc>
          <w:tcPr>
            <w:tcW w:w="53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179,853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166,573</w:t>
            </w:r>
          </w:p>
        </w:tc>
      </w:tr>
      <w:tr>
        <w:trPr>
          <w:trHeight w:val="27"/>
        </w:trPr>
        <w:tc>
          <w:tcPr>
            <w:tcW w:w="5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56"/>
        </w:trPr>
        <w:tc>
          <w:tcPr>
            <w:tcW w:w="5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9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320"/>
          </w:cols>
          <w:pgMar w:left="240" w:top="122" w:right="3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413"/>
              <w:spacing w:after="0"/>
              <w:rPr>
                <w:sz w:val="20"/>
                <w:szCs w:val="20"/>
                <w:color w:val="auto"/>
              </w:rPr>
            </w:pPr>
            <w:r>
              <w:rPr>
                <w:rFonts w:ascii="Arial" w:cs="Arial" w:eastAsia="Arial" w:hAnsi="Arial"/>
                <w:sz w:val="14"/>
                <w:szCs w:val="14"/>
                <w:b w:val="1"/>
                <w:bCs w:val="1"/>
                <w:color w:val="auto"/>
              </w:rPr>
              <w:t>Three months ended August 31,</w:t>
            </w:r>
          </w:p>
        </w:tc>
      </w:tr>
      <w:tr>
        <w:trPr>
          <w:trHeight w:val="264"/>
        </w:trPr>
        <w:tc>
          <w:tcPr>
            <w:tcW w:w="53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r>
      <w:tr>
        <w:trPr>
          <w:trHeight w:val="236"/>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36,569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29,771</w:t>
            </w:r>
          </w:p>
        </w:tc>
      </w:tr>
      <w:tr>
        <w:trPr>
          <w:trHeight w:val="27"/>
        </w:trPr>
        <w:tc>
          <w:tcPr>
            <w:tcW w:w="5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9,468</w:t>
            </w: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Products and Systems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2,664</w:t>
            </w:r>
          </w:p>
        </w:tc>
      </w:tr>
      <w:tr>
        <w:trPr>
          <w:trHeight w:val="27"/>
        </w:trPr>
        <w:tc>
          <w:tcPr>
            <w:tcW w:w="5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7"/>
        </w:trPr>
        <w:tc>
          <w:tcPr>
            <w:tcW w:w="5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51,274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41,994</w:t>
            </w:r>
          </w:p>
        </w:tc>
      </w:tr>
      <w:tr>
        <w:trPr>
          <w:trHeight w:val="27"/>
        </w:trPr>
        <w:tc>
          <w:tcPr>
            <w:tcW w:w="5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528"/>
        </w:trPr>
        <w:tc>
          <w:tcPr>
            <w:tcW w:w="5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413"/>
              <w:spacing w:after="0"/>
              <w:rPr>
                <w:sz w:val="20"/>
                <w:szCs w:val="20"/>
                <w:color w:val="auto"/>
              </w:rPr>
            </w:pPr>
            <w:r>
              <w:rPr>
                <w:rFonts w:ascii="Arial" w:cs="Arial" w:eastAsia="Arial" w:hAnsi="Arial"/>
                <w:sz w:val="14"/>
                <w:szCs w:val="14"/>
                <w:b w:val="1"/>
                <w:bCs w:val="1"/>
                <w:color w:val="auto"/>
              </w:rPr>
              <w:t>Three months ended August 31,</w:t>
            </w:r>
          </w:p>
        </w:tc>
      </w:tr>
      <w:tr>
        <w:trPr>
          <w:trHeight w:val="264"/>
        </w:trPr>
        <w:tc>
          <w:tcPr>
            <w:tcW w:w="53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r>
      <w:tr>
        <w:trPr>
          <w:trHeight w:val="23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15,398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8,880</w:t>
            </w:r>
          </w:p>
        </w:tc>
      </w:tr>
      <w:tr>
        <w:trPr>
          <w:trHeight w:val="27"/>
        </w:trPr>
        <w:tc>
          <w:tcPr>
            <w:tcW w:w="5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Products and Systems</w:t>
            </w:r>
          </w:p>
        </w:tc>
        <w:tc>
          <w:tcPr>
            <w:tcW w:w="3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5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(4,084)</w:t>
            </w:r>
          </w:p>
        </w:tc>
      </w:tr>
      <w:tr>
        <w:trPr>
          <w:trHeight w:val="237"/>
        </w:trPr>
        <w:tc>
          <w:tcPr>
            <w:tcW w:w="53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12,932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3,664</w:t>
            </w:r>
          </w:p>
        </w:tc>
      </w:tr>
      <w:tr>
        <w:trPr>
          <w:trHeight w:val="27"/>
        </w:trPr>
        <w:tc>
          <w:tcPr>
            <w:tcW w:w="5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(loss) by operating segment includes intercompany transactions, which are eliminated in Corporate and eliminations.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August 31,</w:t>
            </w:r>
          </w:p>
        </w:tc>
        <w:tc>
          <w:tcPr>
            <w:tcW w:w="500" w:type="dxa"/>
            <w:vAlign w:val="bottom"/>
            <w:tcBorders>
              <w:bottom w:val="single" w:sz="8" w:color="auto"/>
            </w:tcBorders>
          </w:tcPr>
          <w:p>
            <w:pPr>
              <w:spacing w:after="0"/>
              <w:rPr>
                <w:sz w:val="16"/>
                <w:szCs w:val="16"/>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r>
      <w:tr>
        <w:trPr>
          <w:trHeight w:val="23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5,522</w:t>
            </w:r>
          </w:p>
        </w:tc>
        <w:tc>
          <w:tcPr>
            <w:tcW w:w="100" w:type="dxa"/>
            <w:vAlign w:val="bottom"/>
          </w:tcPr>
          <w:p>
            <w:pPr>
              <w:spacing w:after="0"/>
              <w:rPr>
                <w:sz w:val="21"/>
                <w:szCs w:val="21"/>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5,385</w:t>
            </w:r>
          </w:p>
        </w:tc>
      </w:tr>
      <w:tr>
        <w:trPr>
          <w:trHeight w:val="27"/>
        </w:trPr>
        <w:tc>
          <w:tcPr>
            <w:tcW w:w="5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1,972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2,161</w:t>
            </w: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7"/>
        </w:trPr>
        <w:tc>
          <w:tcPr>
            <w:tcW w:w="5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7"/>
        </w:trPr>
        <w:tc>
          <w:tcPr>
            <w:tcW w:w="5360" w:type="dxa"/>
            <w:vAlign w:val="bottom"/>
          </w:tcPr>
          <w:p>
            <w:pPr>
              <w:spacing w:after="0"/>
              <w:rPr>
                <w:sz w:val="20"/>
                <w:szCs w:val="20"/>
                <w:color w:val="auto"/>
              </w:rPr>
            </w:pP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7,960</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8,279</w:t>
            </w:r>
          </w:p>
        </w:tc>
      </w:tr>
      <w:tr>
        <w:trPr>
          <w:trHeight w:val="27"/>
        </w:trPr>
        <w:tc>
          <w:tcPr>
            <w:tcW w:w="5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31, 2015</w:t>
            </w:r>
          </w:p>
        </w:tc>
        <w:tc>
          <w:tcPr>
            <w:tcW w:w="260" w:type="dxa"/>
            <w:vAlign w:val="bottom"/>
          </w:tcPr>
          <w:p>
            <w:pPr>
              <w:spacing w:after="0"/>
              <w:rPr>
                <w:sz w:val="16"/>
                <w:szCs w:val="16"/>
                <w:color w:val="auto"/>
              </w:rPr>
            </w:pPr>
          </w:p>
        </w:tc>
        <w:tc>
          <w:tcPr>
            <w:tcW w:w="1340" w:type="dxa"/>
            <w:vAlign w:val="bottom"/>
          </w:tcPr>
          <w:p>
            <w:pPr>
              <w:jc w:val="right"/>
              <w:ind w:right="313"/>
              <w:spacing w:after="0"/>
              <w:rPr>
                <w:sz w:val="20"/>
                <w:szCs w:val="20"/>
                <w:color w:val="auto"/>
              </w:rPr>
            </w:pPr>
            <w:r>
              <w:rPr>
                <w:rFonts w:ascii="Arial" w:cs="Arial" w:eastAsia="Arial" w:hAnsi="Arial"/>
                <w:sz w:val="14"/>
                <w:szCs w:val="14"/>
                <w:b w:val="1"/>
                <w:bCs w:val="1"/>
                <w:color w:val="auto"/>
              </w:rPr>
              <w:t>May 31, 2015</w:t>
            </w:r>
          </w:p>
        </w:tc>
      </w:tr>
      <w:tr>
        <w:trPr>
          <w:trHeight w:val="236"/>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116,821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117,279</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35,938</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13,197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13,197</w:t>
            </w:r>
          </w:p>
        </w:tc>
      </w:tr>
      <w:tr>
        <w:trPr>
          <w:trHeight w:val="27"/>
        </w:trPr>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165,216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166,414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812"/>
        </w:trPr>
        <w:tc>
          <w:tcPr>
            <w:tcW w:w="8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31, 2015</w:t>
            </w:r>
          </w:p>
        </w:tc>
        <w:tc>
          <w:tcPr>
            <w:tcW w:w="260" w:type="dxa"/>
            <w:vAlign w:val="bottom"/>
          </w:tcPr>
          <w:p>
            <w:pPr>
              <w:spacing w:after="0"/>
              <w:rPr>
                <w:sz w:val="24"/>
                <w:szCs w:val="24"/>
                <w:color w:val="auto"/>
              </w:rPr>
            </w:pPr>
          </w:p>
        </w:tc>
        <w:tc>
          <w:tcPr>
            <w:tcW w:w="1340" w:type="dxa"/>
            <w:vAlign w:val="bottom"/>
          </w:tcPr>
          <w:p>
            <w:pPr>
              <w:jc w:val="right"/>
              <w:ind w:right="313"/>
              <w:spacing w:after="0"/>
              <w:rPr>
                <w:sz w:val="20"/>
                <w:szCs w:val="20"/>
                <w:color w:val="auto"/>
              </w:rPr>
            </w:pPr>
            <w:r>
              <w:rPr>
                <w:rFonts w:ascii="Arial" w:cs="Arial" w:eastAsia="Arial" w:hAnsi="Arial"/>
                <w:sz w:val="14"/>
                <w:szCs w:val="14"/>
                <w:b w:val="1"/>
                <w:bCs w:val="1"/>
                <w:color w:val="auto"/>
              </w:rPr>
              <w:t>May 31, 2015</w:t>
            </w:r>
          </w:p>
        </w:tc>
      </w:tr>
      <w:tr>
        <w:trPr>
          <w:trHeight w:val="236"/>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301,889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307,328</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125,591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126,643</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37,730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37,999</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37"/>
        </w:trPr>
        <w:tc>
          <w:tcPr>
            <w:tcW w:w="8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465,916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471,727</w:t>
            </w:r>
          </w:p>
        </w:tc>
      </w:tr>
      <w:tr>
        <w:trPr>
          <w:trHeight w:val="27"/>
        </w:trPr>
        <w:tc>
          <w:tcPr>
            <w:tcW w:w="8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2"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122" w:right="25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Revenues by geographic area for the three months ended August 31, 2015 and 2014, respectively, were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 August 31,</w:t>
            </w:r>
          </w:p>
        </w:tc>
      </w:tr>
      <w:tr>
        <w:trPr>
          <w:trHeight w:val="264"/>
        </w:trPr>
        <w:tc>
          <w:tcPr>
            <w:tcW w:w="53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r>
      <w:tr>
        <w:trPr>
          <w:trHeight w:val="23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130,344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111,940</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w:t>
            </w: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36,645</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r>
      <w:tr>
        <w:trPr>
          <w:trHeight w:val="237"/>
        </w:trPr>
        <w:tc>
          <w:tcPr>
            <w:tcW w:w="5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179,853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166,573</w:t>
            </w:r>
          </w:p>
        </w:tc>
      </w:tr>
      <w:tr>
        <w:trPr>
          <w:trHeight w:val="27"/>
        </w:trPr>
        <w:tc>
          <w:tcPr>
            <w:tcW w:w="5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56"/>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9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19"/>
          </w:cols>
          <w:pgMar w:left="240" w:top="122" w:right="1440"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following Management’s Discussion and Analysis (“MD&amp;A”) includes a narrative explanation and analysis of our results of operations and financial condition for the three months ended August 31, 2015 and 2014. The MD&amp;A should be read together with our condensed consolidated financial statements and related notes included in Item 1 in this Quarterly Report on Form 10-Q and our audited consolidated financial statements and related notes included in our Annual Report on Form 10-K for fiscal 2015 filed August 12, 2015 (“2015 Annual Report”). In this quarterly report, our fiscal years, which end on May 31, are identified according to the calendar year in which they end (e.g., the fiscal year ending May 31, 2015 is referred to as “fiscal 2016”), and unless otherwise specified or the context otherwise requires, “Mistras,” “the Company,” “we,” “us” and “our” refer to Mistras Group, Inc. and its consolidated subsidiaries. The MD&amp;A includes disclosure in the following areas:</w:t>
      </w:r>
    </w:p>
    <w:p>
      <w:pPr>
        <w:spacing w:after="0" w:line="205" w:lineRule="exact"/>
        <w:rPr>
          <w:sz w:val="20"/>
          <w:szCs w:val="20"/>
          <w:color w:val="auto"/>
        </w:rPr>
      </w:pPr>
    </w:p>
    <w:p>
      <w:pPr>
        <w:ind w:left="720" w:hanging="38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Overview</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unknown risks, uncertainties or other factors. Factors that could cause or contribute to differences in results and outcomes from those in our forward-looking statements include, without limitation, those discussed in the “Business—Forward-Looking Statements,” and “Risk Factors” sections of our 2015 Annual Report as well as those discussed in our other Securities and Exchange Commission (“SEC”) filings.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We offer our customers “one source for asset protection solutions”®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and predictive maintenance (PdM) services, process and fixed asset engineering and consulting services, proprietary data analysis and our world class enterprise inspection database management 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operations consist of three reportable segments: Services, International and Products and Systems.</w:t>
      </w:r>
    </w:p>
    <w:p>
      <w:pPr>
        <w:spacing w:after="0" w:line="166" w:lineRule="exact"/>
        <w:rPr>
          <w:sz w:val="20"/>
          <w:szCs w:val="20"/>
          <w:color w:val="auto"/>
        </w:rPr>
      </w:pPr>
    </w:p>
    <w:p>
      <w:pPr>
        <w:jc w:val="both"/>
        <w:ind w:left="740" w:right="520" w:hanging="246"/>
        <w:spacing w:after="0" w:line="264" w:lineRule="auto"/>
        <w:tabs>
          <w:tab w:leader="none" w:pos="7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along with a</w:t>
      </w:r>
      <w:r>
        <w:rPr>
          <w:rFonts w:ascii="Arial" w:cs="Arial" w:eastAsia="Arial" w:hAnsi="Arial"/>
          <w:sz w:val="18"/>
          <w:szCs w:val="18"/>
          <w:i w:val="1"/>
          <w:iCs w:val="1"/>
          <w:color w:val="auto"/>
        </w:rPr>
        <w:t xml:space="preserve"> </w:t>
      </w:r>
      <w:r>
        <w:rPr>
          <w:rFonts w:ascii="Arial" w:cs="Arial" w:eastAsia="Arial" w:hAnsi="Arial"/>
          <w:sz w:val="18"/>
          <w:szCs w:val="18"/>
          <w:color w:val="auto"/>
        </w:rPr>
        <w:t>growing Canadian services business, consisting primarily of NDT, inspection and engineering services that are used to evaluate the structural integrity and reliability of critical energy, industrial and public infrastructure.</w:t>
      </w:r>
    </w:p>
    <w:p>
      <w:pPr>
        <w:spacing w:after="0" w:line="181" w:lineRule="exact"/>
        <w:rPr>
          <w:rFonts w:ascii="Arial" w:cs="Arial" w:eastAsia="Arial" w:hAnsi="Arial"/>
          <w:sz w:val="18"/>
          <w:szCs w:val="18"/>
          <w:i w:val="1"/>
          <w:iCs w:val="1"/>
          <w:color w:val="auto"/>
        </w:rPr>
      </w:pPr>
    </w:p>
    <w:p>
      <w:pPr>
        <w:ind w:left="740" w:right="80" w:hanging="246"/>
        <w:spacing w:after="0" w:line="264" w:lineRule="auto"/>
        <w:tabs>
          <w:tab w:leader="none" w:pos="7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offers services, products and systems similar to those of the other segments to global markets, principally in Europe, the Middle East,</w:t>
      </w:r>
      <w:r>
        <w:rPr>
          <w:rFonts w:ascii="Arial" w:cs="Arial" w:eastAsia="Arial" w:hAnsi="Arial"/>
          <w:sz w:val="18"/>
          <w:szCs w:val="18"/>
          <w:i w:val="1"/>
          <w:iCs w:val="1"/>
          <w:color w:val="auto"/>
        </w:rPr>
        <w:t xml:space="preserve"> </w:t>
      </w:r>
      <w:r>
        <w:rPr>
          <w:rFonts w:ascii="Arial" w:cs="Arial" w:eastAsia="Arial" w:hAnsi="Arial"/>
          <w:sz w:val="18"/>
          <w:szCs w:val="18"/>
          <w:color w:val="auto"/>
        </w:rPr>
        <w:t>Africa, Asia and South America, but not to customers in China and South Korea, which are served by the Products and Systems segment. South America consists of our Brazil operations.</w:t>
      </w:r>
    </w:p>
    <w:p>
      <w:pPr>
        <w:spacing w:after="0" w:line="181" w:lineRule="exact"/>
        <w:rPr>
          <w:rFonts w:ascii="Arial" w:cs="Arial" w:eastAsia="Arial" w:hAnsi="Arial"/>
          <w:sz w:val="18"/>
          <w:szCs w:val="18"/>
          <w:i w:val="1"/>
          <w:iCs w:val="1"/>
          <w:color w:val="auto"/>
        </w:rPr>
      </w:pPr>
    </w:p>
    <w:p>
      <w:pPr>
        <w:ind w:left="740" w:right="60" w:hanging="246"/>
        <w:spacing w:after="0" w:line="277" w:lineRule="auto"/>
        <w:tabs>
          <w:tab w:leader="none" w:pos="7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Given the role our solutions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(downstream, midstream, upstream and petrochemical), power generation (natural gas, fossil, nuclear, alternative, renewable, and transmission and distribution), public infrastructure, chemicals, commercial aerospace and defense, transportation, primary metals and metalworking, pharmaceutical/biotechnology and food processing industries and research and engineering institutions. We have established long-term relationships as a critical solutions provider to many of the leading companies in our target markets.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believe continued growth can be realized in all of our target markets. Concurrent with this growth, we are working on building our infrastructure to profitably absorb additional growth and have made a number of acquisitions in an effort to leverage our fixed costs, grow our base of experienced, certified personnel, expand our product and technical capabilities and increase our geographical reach.</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advantages over our competition.</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Global financial markets continue to experience uncertainty, including tight liquidity and credit availability, relatively low consumer confidence, high unemployment rates, slow economic growth, fluctuating oil prices, which are currently very low, and volatile currency exchange rates. However, we believe these conditions have allowed us to selectively hire new talented individuals that otherwise might not have been available to us, to acquire new technologies in order to expand our proprietary portfolio of customized solutions, and to make acquisitions of complementary businesses at reasonable valuations.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for the three months ended August 31, 2015 and 2014 were as follows:</w:t>
      </w:r>
    </w:p>
    <w:p>
      <w:pPr>
        <w:spacing w:after="0" w:line="163"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1300" w:type="dxa"/>
        <w:tblCellMar>
          <w:top w:w="0" w:type="dxa"/>
          <w:left w:w="0" w:type="dxa"/>
          <w:bottom w:w="0" w:type="dxa"/>
          <w:right w:w="0" w:type="dxa"/>
        </w:tblCellMar>
      </w:tblPr>
      <w:tr>
        <w:trPr>
          <w:trHeight w:val="182"/>
        </w:trPr>
        <w:tc>
          <w:tcPr>
            <w:tcW w:w="5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August 31,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57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179,853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166,573</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51,274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41,994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i w:val="1"/>
                <w:iCs w:val="1"/>
                <w:color w:val="auto"/>
              </w:rPr>
              <w:t>Gross profit as a %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38,342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38,330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i w:val="1"/>
                <w:iCs w:val="1"/>
                <w:color w:val="auto"/>
              </w:rPr>
              <w:t>Operating expenses as a %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12,932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i w:val="1"/>
                <w:iCs w:val="1"/>
                <w:color w:val="auto"/>
              </w:rPr>
              <w:t>Income from Operations as a %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11,010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4,163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6,847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43"/>
        </w:trPr>
        <w:tc>
          <w:tcPr>
            <w:tcW w:w="5720" w:type="dxa"/>
            <w:vAlign w:val="bottom"/>
          </w:tcPr>
          <w:p>
            <w:pPr>
              <w:ind w:left="140"/>
              <w:spacing w:after="0"/>
              <w:rPr>
                <w:sz w:val="20"/>
                <w:szCs w:val="20"/>
                <w:color w:val="auto"/>
              </w:rPr>
            </w:pPr>
            <w:r>
              <w:rPr>
                <w:rFonts w:ascii="Arial" w:cs="Arial" w:eastAsia="Arial" w:hAnsi="Arial"/>
                <w:sz w:val="18"/>
                <w:szCs w:val="18"/>
                <w:color w:val="auto"/>
                <w:w w:val="93"/>
              </w:rPr>
              <w:t>Less: net loss (income) attributable to noncontrolling interests, net of taxes</w:t>
            </w:r>
          </w:p>
        </w:tc>
        <w:tc>
          <w:tcPr>
            <w:tcW w:w="36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Mistras Group, Inc.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6,872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320"/>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1" w:right="29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Our EBITDA and Adjusted EBITDA, non-GAAP measures explained below, for the three months ended August 31, 2015 and 2014 were as follows:</w:t>
      </w:r>
    </w:p>
    <w:p>
      <w:pPr>
        <w:spacing w:after="0" w:line="390"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1300" w:type="dxa"/>
        <w:tblCellMar>
          <w:top w:w="0" w:type="dxa"/>
          <w:left w:w="0" w:type="dxa"/>
          <w:bottom w:w="0" w:type="dxa"/>
          <w:right w:w="0" w:type="dxa"/>
        </w:tblCellMar>
      </w:tblPr>
      <w:tr>
        <w:trPr>
          <w:trHeight w:val="182"/>
        </w:trPr>
        <w:tc>
          <w:tcPr>
            <w:tcW w:w="58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August 31,</w:t>
            </w:r>
          </w:p>
        </w:tc>
        <w:tc>
          <w:tcPr>
            <w:tcW w:w="920" w:type="dxa"/>
            <w:vAlign w:val="bottom"/>
            <w:tcBorders>
              <w:bottom w:val="single" w:sz="8" w:color="auto"/>
            </w:tcBorders>
          </w:tcPr>
          <w:p>
            <w:pPr>
              <w:spacing w:after="0"/>
              <w:rPr>
                <w:sz w:val="15"/>
                <w:szCs w:val="15"/>
                <w:color w:val="auto"/>
              </w:rPr>
            </w:pPr>
          </w:p>
        </w:tc>
      </w:tr>
      <w:tr>
        <w:trPr>
          <w:trHeight w:val="258"/>
        </w:trPr>
        <w:tc>
          <w:tcPr>
            <w:tcW w:w="58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r>
      <w:tr>
        <w:trPr>
          <w:trHeight w:val="196"/>
        </w:trPr>
        <w:tc>
          <w:tcPr>
            <w:tcW w:w="5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7"/>
                <w:szCs w:val="17"/>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 and Adjusted EBITDA data</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Net income attributable to Mistras Group, Inc.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6,872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1,666</w:t>
            </w: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4,163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1,088</w:t>
            </w: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7,960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8,279</w:t>
            </w: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20,917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11,938</w:t>
            </w: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Acquisition-related (benefit),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22,270</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13,396</w:t>
            </w: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Adjusted EBITDA is a performance measure used by management that is not calculated in accordance with U.S. generally accepted accounting principles (GAAP). EBITDA is defined in this Report as net income attributable to Mistras Group, Inc. plus: interest expense, provision for income taxes and depreciation and amortization. Adjusted EBITDA is defined in this Report as net income attributable to Mistras Group, Inc. plus: interest expense, provision for income taxes, depreciation and amortization, share-based compensation expense, and certain acquisition-related costs (including transaction due diligence costs and adjustments to the fair value of contingent consideration), foreign exchange loss and, if applicable, certain non-recurring items which we note.</w:t>
      </w:r>
    </w:p>
    <w:p>
      <w:pPr>
        <w:spacing w:after="0" w:line="15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for our executive and employee incentive compensation programs.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Later in the MD&amp;A under the heading "Income for Operations", the non-GAAP financial performance measures "Income from operations before acquisition-related expense (benefit), net” is used for each of our three segments and the "Total Company", with tables reconciling the measure to a financial measure under GAAP. This non-GAAP measures excludes from the GAAP measure "Income from Operations" (a) transaction expenses related to acquisitions, such as professional fees and due diligence costs and (b) the net changes in the fair value of acquisition-related contingent consideration liabilities. These items have been excluded from the GAAP measure because these expenses and credits are not related to the Company’s or Segment’s core business operations and are related solely to the Company’s or Segment’s acquisition activities. Changes in the fair value of acquisition-related contingent consideration liabilities can be a net expense or credit in any given period, and fluctuate based upon the then current value of cash consideration the Company expects to pay in the future for prior acquisitions, without impacting cash generated from the Company’s business operations.</w:t>
      </w:r>
    </w:p>
    <w:p>
      <w:pPr>
        <w:spacing w:after="0" w:line="1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the MD&amp;A section "Liquidity and Capital Resources", we use the term free cash flow, a non-GAAP measurement. We define free cash flow as cash provided by operating activities less capital expenditures (which is classified as an investing activity). Free cash flow for the first three months of fiscal 2016 was $11.7 million consisting of $16.2 million of operating cash flow less $4.5 of capital expenditures. For the comparable period in fiscal 2015, free cash flow was $5.0 million consisting of $8.8 million of operating cash flow less $3.8 million of capital expenditures.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Revenues for the three months ended August 31, 2015 were $179.9 million, an increase of $13.3 million, or 8.0%, compared to $166.6 million for the three months ended August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three months ended August 31, 2015 and 2014 were as follows: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 August 31,</w:t>
            </w:r>
          </w:p>
        </w:tc>
      </w:tr>
      <w:tr>
        <w:trPr>
          <w:trHeight w:val="264"/>
        </w:trPr>
        <w:tc>
          <w:tcPr>
            <w:tcW w:w="58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r>
      <w:tr>
        <w:trPr>
          <w:trHeight w:val="196"/>
        </w:trPr>
        <w:tc>
          <w:tcPr>
            <w:tcW w:w="5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7"/>
                <w:szCs w:val="17"/>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137,405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121,932</w:t>
            </w:r>
          </w:p>
        </w:tc>
      </w:tr>
      <w:tr>
        <w:trPr>
          <w:trHeight w:val="27"/>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36,859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40,038</w:t>
            </w: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Products and Systems</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8,686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6,567</w:t>
            </w:r>
          </w:p>
        </w:tc>
      </w:tr>
      <w:tr>
        <w:trPr>
          <w:trHeight w:val="27"/>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r>
      <w:tr>
        <w:trPr>
          <w:trHeight w:val="237"/>
        </w:trPr>
        <w:tc>
          <w:tcPr>
            <w:tcW w:w="58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179,853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166,573</w:t>
            </w:r>
          </w:p>
        </w:tc>
      </w:tr>
      <w:tr>
        <w:trPr>
          <w:trHeight w:val="27"/>
        </w:trPr>
        <w:tc>
          <w:tcPr>
            <w:tcW w:w="5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 xml:space="preserve">In the first quarter of fiscal 2016, our revenue growth was driven by our Services and Products and Systems segments. Services segment revenues increased 13% due to acquisition and organic revenue growth, partially offset by the unfavorable impact of the weaker Canadian dollar. Services organic growth benefited from two small turnarounds in the first quarter. Products and Systems segment revenues increased by 32% driven by improved sales volume. International Segment revenues declined by 8%, driven by an unfavorable impact of foreign exchanges rates of 17% and dispositions. Excluding the impact of foreign exchange rates and dispositions, the International Segment showed double digit organic growth driven by increased product sales in the U.K. and increased traditional NDT in France. See Note 4 -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xml:space="preserve"> for further discussion regarding dispositions in the International segment.</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Oil and gas revenues grew by approximately 25% and remained the Company’s most significant vertical market, comprising 56% and 48% of total Company revenues in the first quarters of fiscal 2016 and 2015, respectively. We also experienced growth from customers in other industries, including power generation and process industries. The Company’s top ten customers comprised approximately 36% of total revenues in the first quarter of fiscal 2015 compared with 32% in the first quarter of the prior fiscal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Gross profit increased by $9.3 million, or 22%, to $51.3 million in the first quarter of fiscal 2016, compared with $42.0 million in the first quarter of fiscal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months ended August 31, 2015 and 2014 was as follows:</w:t>
      </w:r>
    </w:p>
    <w:p>
      <w:pPr>
        <w:spacing w:after="0" w:line="379"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w w:val="99"/>
              </w:rPr>
              <w:t>Three months ended August 31,</w:t>
            </w: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58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36,569</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29,771</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9,468</w:t>
            </w:r>
          </w:p>
        </w:tc>
      </w:tr>
      <w:tr>
        <w:trPr>
          <w:trHeight w:val="243"/>
        </w:trPr>
        <w:tc>
          <w:tcPr>
            <w:tcW w:w="5860" w:type="dxa"/>
            <w:vAlign w:val="bottom"/>
          </w:tcPr>
          <w:p>
            <w:pPr>
              <w:ind w:left="160"/>
              <w:spacing w:after="0"/>
              <w:rPr>
                <w:sz w:val="20"/>
                <w:szCs w:val="20"/>
                <w:color w:val="auto"/>
              </w:rPr>
            </w:pPr>
            <w:r>
              <w:rPr>
                <w:rFonts w:ascii="Arial" w:cs="Arial" w:eastAsia="Arial" w:hAnsi="Arial"/>
                <w:sz w:val="18"/>
                <w:szCs w:val="18"/>
                <w:color w:val="auto"/>
              </w:rPr>
              <w:t>Products and Systems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2,664</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7"/>
        </w:trPr>
        <w:tc>
          <w:tcPr>
            <w:tcW w:w="586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51,274</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41,994</w:t>
            </w:r>
          </w:p>
        </w:tc>
      </w:tr>
      <w:tr>
        <w:trPr>
          <w:trHeight w:val="27"/>
        </w:trPr>
        <w:tc>
          <w:tcPr>
            <w:tcW w:w="5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percentage of revenues, gross profit was 29% and 25% for the first quarters of fiscal 2016 and 2015, respectively. The increase in gross profit percentage was attributable to each of the operating segments: Services, International, and Products and Systems. Service segment gross profit margin increased 220 basis points compared to the first quarter of fiscal 2015. Services gross profit margin improvement can be attributed to cost reduction initiatives, contract management, and improved staffing utilization. International segment gross margins increased to 29% in the first quarter of fiscal 2016 compared with 24% in the prior year. The 560 basis point increase was driven by improved staffing utilization and higher product sales throughout the segment. Products and Systems segment gross margin improved to 45% compared to 41% in the prior year, driven by a more favorable sales mix of revenues, due to reduced sales of customized solutions.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a reconciliation of the income from operations before acquisition-related expense (benefit), net, to income from operations for each of the Company's three segments and for the Company in total:</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rPr>
              <w:t>Three months ended August 31,</w:t>
            </w:r>
          </w:p>
        </w:tc>
        <w:tc>
          <w:tcPr>
            <w:tcW w:w="64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r>
      <w:tr>
        <w:trPr>
          <w:trHeight w:val="196"/>
        </w:trPr>
        <w:tc>
          <w:tcPr>
            <w:tcW w:w="7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2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 in thousands)</w:t>
            </w:r>
          </w:p>
        </w:tc>
        <w:tc>
          <w:tcPr>
            <w:tcW w:w="640" w:type="dxa"/>
            <w:vAlign w:val="bottom"/>
          </w:tcPr>
          <w:p>
            <w:pPr>
              <w:spacing w:after="0"/>
              <w:rPr>
                <w:sz w:val="17"/>
                <w:szCs w:val="17"/>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Services: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Income from operations before acquisition-related (benefit) expense, net</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14,468</w:t>
            </w:r>
          </w:p>
        </w:tc>
        <w:tc>
          <w:tcPr>
            <w:tcW w:w="100" w:type="dxa"/>
            <w:vAlign w:val="bottom"/>
          </w:tcPr>
          <w:p>
            <w:pPr>
              <w:spacing w:after="0"/>
              <w:rPr>
                <w:sz w:val="21"/>
                <w:szCs w:val="21"/>
                <w:color w:val="auto"/>
              </w:rPr>
            </w:pPr>
          </w:p>
        </w:tc>
        <w:tc>
          <w:tcPr>
            <w:tcW w:w="1060" w:type="dxa"/>
            <w:vAlign w:val="bottom"/>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9,141</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(benefit) expense, net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4"/>
              </w:rPr>
              <w:t>15,398</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8,880</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International:</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Income (Loss) from operations before acquisition-related expense, net</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1"/>
                <w:szCs w:val="21"/>
                <w:color w:val="auto"/>
              </w:rPr>
            </w:pPr>
          </w:p>
        </w:tc>
        <w:tc>
          <w:tcPr>
            <w:tcW w:w="1060" w:type="dxa"/>
            <w:vAlign w:val="bottom"/>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net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Income (Loss) from operations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Products and Systems: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Income (Loss) from operations before acquisition-related expense, net</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1060" w:type="dxa"/>
            <w:vAlign w:val="bottom"/>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net</w:t>
            </w: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Income (Loss) from operations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and Eliminations: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Loss from operations before acquisition-related expense (benefit), net</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21"/>
                <w:szCs w:val="21"/>
                <w:color w:val="auto"/>
              </w:rPr>
            </w:pPr>
          </w:p>
        </w:tc>
        <w:tc>
          <w:tcPr>
            <w:tcW w:w="1060" w:type="dxa"/>
            <w:vAlign w:val="bottom"/>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(5,417)</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(5,468)</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(4,084)</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30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from operations before acquisition-related (benefit), net</w:t>
            </w:r>
          </w:p>
        </w:tc>
        <w:tc>
          <w:tcPr>
            <w:tcW w:w="1060" w:type="dxa"/>
            <w:vAlign w:val="bottom"/>
            <w:tcBorders>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12,036</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2,703</w:t>
            </w:r>
          </w:p>
        </w:tc>
      </w:tr>
      <w:tr>
        <w:trPr>
          <w:trHeight w:val="251"/>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(benefit), net</w:t>
            </w:r>
          </w:p>
        </w:tc>
        <w:tc>
          <w:tcPr>
            <w:tcW w:w="106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51"/>
        </w:trPr>
        <w:tc>
          <w:tcPr>
            <w:tcW w:w="790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1060" w:type="dxa"/>
            <w:vAlign w:val="bottom"/>
            <w:tcBorders>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12,932</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3,664</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For the three months ended August 31, 2015, income from operations exclusive of acquisition-related costs increased $9.3 million, compared with the prior year’s quarter. As a percentage of revenues, income from operations excluding acquisition-related items was 7% and 2% for the first quarters of fiscal 2016 and 2015, respectively.</w:t>
      </w:r>
    </w:p>
    <w:p>
      <w:pPr>
        <w:spacing w:after="0" w:line="181" w:lineRule="exact"/>
        <w:rPr>
          <w:sz w:val="20"/>
          <w:szCs w:val="20"/>
          <w:color w:val="auto"/>
        </w:rPr>
      </w:pPr>
    </w:p>
    <w:p>
      <w:pPr>
        <w:ind w:right="480"/>
        <w:spacing w:after="0" w:line="302" w:lineRule="auto"/>
        <w:rPr>
          <w:sz w:val="20"/>
          <w:szCs w:val="20"/>
          <w:color w:val="auto"/>
        </w:rPr>
      </w:pPr>
      <w:r>
        <w:rPr>
          <w:rFonts w:ascii="Arial" w:cs="Arial" w:eastAsia="Arial" w:hAnsi="Arial"/>
          <w:sz w:val="16"/>
          <w:szCs w:val="16"/>
          <w:color w:val="auto"/>
        </w:rPr>
        <w:t>Operating expenses, excluding acquisition-related (benefit), were flat compared with the prior year’s first quarter. The Services segment experienced an organic year-on-year operating expenses increase of $1.5 million, driven by the impact of recent acquisitions. The International segment year-on-year operating expenses declined by $1.1 million, driven by the impact of foreign exchange rates and continued cost reduction initiatives. The Products and Systems segment year-on-year operating expenses declined by $0.4 million, due primarily to actions taken to reduce its cost base.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Interest expense was approximately $1.9 million and $0.9 million for the first quarters of fiscal 2016 and 2015, respectively. The increase was primarily related to an increase in average borrowings in the first quarter of fiscal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Company’s effective income tax rate was approximately 38% and 39% for the first quarter of fiscal 2016 and 2015, respectively. The decrease was primarily due to lower state taxes and permanent items partially offset by an increase in foreign valuation allowances.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in the table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August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16,210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8,847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30,112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2,476</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three months ended August 31, 2015, cash provided by our operating activities was $16.2 million, an increase of $7.4 million or 83% from the comparable period of fiscal 2015. The improvement was primarily attributable to the Company’s $8.9 million improvement in Adjusted EBITDA, as well as a reduction in days sales outstanding of approximately 1.5 days, which prevented a larger offsetting investment in working capital. The Company’s accounts receivable were more than $8 million lower compared with one year ago, despite first quarter sales that increased by 8% over prior year levels.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During the three months ended August 31, 2015, cash used in investing activities was $4.4 million, compared with cash outflow of $36.5 million in the comparable period of the prior year. The prior year's first quarter included $32.7 million outflow related to acquisitions, compared with no cash utilized for this purpose in the first quarter of fiscal 2016. Cash used for capital expenditures was $4.5 million in the first quarter of fiscal 2016 compared with $3.8 million in the prior year period.</w:t>
      </w:r>
    </w:p>
    <w:p>
      <w:pPr>
        <w:spacing w:after="0" w:line="2"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Company more than doubled its free cash flow to $11.7 million, compared with $5.0 million in the prior year’s comparable period, driven by its improvement in operating cash flow.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cash used by financing activities was $10.6 million for the three months ended August 31, 2015, The Company utilized most of the $11.7 million of free cash flow generated in the first quarter of fiscal 2016 to reduce its debt and capital lease obligations by $9.2 million, and to fund other tax-related outflows totaling $1.4 million. The Company generated cash from financing activities in the prior year’s comparable period by taking on a net of $33.3 million of additional debt to fund acquisitions made in the prior year, offset by repayments of capital lease obligations of $2.1 million and tax-related outflows of $1.1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 net reduction of $0.1 million in the first quarter of fiscal 2016, compared a minimal impact in the first quarter of fiscal 2015, driven by a stronger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 xml:space="preserve">The terms of our Credit Agreement have not changed from those set forth in Part II, Item 7 of our 2015 Annual Report under the Section “Liquidity and Capital Resources”, under the heading “Cash Balance and Credit Facility Borrowings,” and Note 9 -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these consolidated financial statements in this report, under the heading “Senior Credit Facility.”</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August 31, 2015, we had cash and cash equivalents totaling $11.7 million and available borrowing capacity of $84.2 million under our Credit Agreement with borrowings of $86.4 million and $4.4 million of letters of credit outstanding. We finance our operations primarily through our existing cash balances, cash collected from operations, bank borrowings and capital lease financing. We believe these sources are sufficient to fund our operations for the foreseeable future.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August 31, 2015, we were in compliance with the terms of the Credit Agreement, and we will continuously monitor our compliance with the covenants contained in our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Other than the amendment to the Credit Agreement, discussed above under “Liquidity and Capital Resources- Cash Balance and Credit Facility Borrowings”, there have been no significant changes in our contractual obligations and outstanding indebtedness as disclosed in the 2015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During the three months ended August 31, 2015,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2015 Annual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There have been no significant changes to the Company’s quantitative and qualitative disclosures about market risk as discussed in Part II, Item 7A “Quantitative and Qualitative Disclosures About Market Risk,” included in the 2015 Annual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August 31, 2015,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of the Exchange Act.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Exchange Act, as amended, is recorded, processed, summarized and reported within the time periods specified in Securities and Exchange Commission rules and forms.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August 31, 2015 that has materially affected, or is reasonably likely to materially affect, such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1" w:right="27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developments with regard to any matters disclosed under Part I, Item 3 “Legal Proceedings” in our 2015 Annual Report.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11 -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the consolidated financial statements included in this report for a description of our legal proceedings.</w:t>
      </w:r>
    </w:p>
    <w:p>
      <w:pPr>
        <w:spacing w:after="0" w:line="24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under the “Risk Factors” section included in our 2015 Annual Report. There have been no material changes to the risk factors previously disclosed in the 2015 Annual Report.</w:t>
      </w:r>
    </w:p>
    <w:p>
      <w:pPr>
        <w:spacing w:after="0" w:line="14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70" w:lineRule="exact"/>
        <w:rPr>
          <w:sz w:val="20"/>
          <w:szCs w:val="20"/>
          <w:color w:val="auto"/>
        </w:rPr>
      </w:pPr>
    </w:p>
    <w:p>
      <w:pPr>
        <w:ind w:left="660" w:right="8800" w:hanging="652"/>
        <w:spacing w:after="0" w:line="501" w:lineRule="auto"/>
        <w:tabs>
          <w:tab w:leader="none" w:pos="267"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80" w:hanging="652"/>
        <w:spacing w:after="0" w:line="498" w:lineRule="auto"/>
        <w:tabs>
          <w:tab w:leader="none" w:pos="267"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sets forth the shares of our common stock we acquired during the quarter pursuant to the surrender of shares by employees to satisfy the minimum tax withholding obligations in connection with the vesting of restricted stock units.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Month Ending</w:t>
            </w:r>
          </w:p>
        </w:tc>
        <w:tc>
          <w:tcPr>
            <w:tcW w:w="5020" w:type="dxa"/>
            <w:vAlign w:val="bottom"/>
            <w:gridSpan w:val="2"/>
          </w:tcPr>
          <w:p>
            <w:pPr>
              <w:ind w:left="2920"/>
              <w:spacing w:after="0"/>
              <w:rPr>
                <w:sz w:val="20"/>
                <w:szCs w:val="20"/>
                <w:color w:val="auto"/>
              </w:rPr>
            </w:pPr>
            <w:r>
              <w:rPr>
                <w:rFonts w:ascii="Arial" w:cs="Arial" w:eastAsia="Arial" w:hAnsi="Arial"/>
                <w:sz w:val="14"/>
                <w:szCs w:val="14"/>
                <w:b w:val="1"/>
                <w:bCs w:val="1"/>
                <w:color w:val="auto"/>
              </w:rPr>
              <w:t>Total Number of Shares (or</w:t>
            </w:r>
          </w:p>
        </w:tc>
        <w:tc>
          <w:tcPr>
            <w:tcW w:w="240" w:type="dxa"/>
            <w:vAlign w:val="bottom"/>
          </w:tcPr>
          <w:p>
            <w:pPr>
              <w:spacing w:after="0"/>
              <w:rPr>
                <w:sz w:val="14"/>
                <w:szCs w:val="14"/>
                <w:color w:val="auto"/>
              </w:rPr>
            </w:pPr>
          </w:p>
        </w:tc>
        <w:tc>
          <w:tcPr>
            <w:tcW w:w="1920" w:type="dxa"/>
            <w:vAlign w:val="bottom"/>
          </w:tcPr>
          <w:p>
            <w:pPr>
              <w:jc w:val="right"/>
              <w:ind w:right="297"/>
              <w:spacing w:after="0"/>
              <w:rPr>
                <w:sz w:val="20"/>
                <w:szCs w:val="20"/>
                <w:color w:val="auto"/>
              </w:rPr>
            </w:pPr>
            <w:r>
              <w:rPr>
                <w:rFonts w:ascii="Arial" w:cs="Arial" w:eastAsia="Arial" w:hAnsi="Arial"/>
                <w:sz w:val="14"/>
                <w:szCs w:val="14"/>
                <w:b w:val="1"/>
                <w:bCs w:val="1"/>
                <w:color w:val="auto"/>
                <w:w w:val="99"/>
              </w:rPr>
              <w:t>Average Price Paid per</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Units) Purchased</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Share (or Unit)</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5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July 31, 2015</w:t>
            </w:r>
          </w:p>
        </w:tc>
        <w:tc>
          <w:tcPr>
            <w:tcW w:w="5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31, 2015</w:t>
            </w:r>
          </w:p>
        </w:tc>
        <w:tc>
          <w:tcPr>
            <w:tcW w:w="4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61,685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0260" w:type="dxa"/>
            <w:vAlign w:val="bottom"/>
          </w:tcPr>
          <w:p>
            <w:pPr>
              <w:spacing w:after="0"/>
              <w:rPr>
                <w:sz w:val="14"/>
                <w:szCs w:val="14"/>
                <w:color w:val="auto"/>
              </w:rPr>
            </w:pPr>
          </w:p>
        </w:tc>
      </w:tr>
      <w:tr>
        <w:trPr>
          <w:trHeight w:val="466"/>
        </w:trPr>
        <w:tc>
          <w:tcPr>
            <w:tcW w:w="10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gridSpan w:val="2"/>
          </w:tcPr>
          <w:p>
            <w:pPr>
              <w:spacing w:after="0"/>
              <w:rPr>
                <w:sz w:val="24"/>
                <w:szCs w:val="24"/>
                <w:color w:val="auto"/>
              </w:rPr>
            </w:pPr>
          </w:p>
        </w:tc>
        <w:tc>
          <w:tcPr>
            <w:tcW w:w="1026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588"/>
        </w:trPr>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No.</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567"/>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r>
      <w:tr>
        <w:trPr>
          <w:trHeight w:val="540"/>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r>
      <w:tr>
        <w:trPr>
          <w:trHeight w:val="594"/>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102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10260" w:type="dxa"/>
            <w:vAlign w:val="bottom"/>
          </w:tcPr>
          <w:p>
            <w:pPr>
              <w:ind w:left="20"/>
              <w:spacing w:after="0"/>
              <w:rPr>
                <w:sz w:val="20"/>
                <w:szCs w:val="20"/>
                <w:color w:val="auto"/>
              </w:rPr>
            </w:pPr>
            <w:r>
              <w:rPr>
                <w:rFonts w:ascii="Arial" w:cs="Arial" w:eastAsia="Arial" w:hAnsi="Arial"/>
                <w:sz w:val="18"/>
                <w:szCs w:val="18"/>
                <w:color w:val="auto"/>
              </w:rPr>
              <w:t>XBRL Schema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10260" w:type="dxa"/>
            <w:vAlign w:val="bottom"/>
          </w:tcPr>
          <w:p>
            <w:pPr>
              <w:ind w:left="20"/>
              <w:spacing w:after="0"/>
              <w:rPr>
                <w:sz w:val="20"/>
                <w:szCs w:val="20"/>
                <w:color w:val="auto"/>
              </w:rPr>
            </w:pPr>
            <w:r>
              <w:rPr>
                <w:rFonts w:ascii="Arial" w:cs="Arial" w:eastAsia="Arial" w:hAnsi="Arial"/>
                <w:sz w:val="18"/>
                <w:szCs w:val="18"/>
                <w:color w:val="auto"/>
              </w:rPr>
              <w:t>XBRL Calculation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10260" w:type="dxa"/>
            <w:vAlign w:val="bottom"/>
          </w:tcPr>
          <w:p>
            <w:pPr>
              <w:ind w:left="20"/>
              <w:spacing w:after="0"/>
              <w:rPr>
                <w:sz w:val="20"/>
                <w:szCs w:val="20"/>
                <w:color w:val="auto"/>
              </w:rPr>
            </w:pPr>
            <w:r>
              <w:rPr>
                <w:rFonts w:ascii="Arial" w:cs="Arial" w:eastAsia="Arial" w:hAnsi="Arial"/>
                <w:sz w:val="18"/>
                <w:szCs w:val="18"/>
                <w:color w:val="auto"/>
              </w:rPr>
              <w:t>XBRL Labels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10260" w:type="dxa"/>
            <w:vAlign w:val="bottom"/>
          </w:tcPr>
          <w:p>
            <w:pPr>
              <w:ind w:left="20"/>
              <w:spacing w:after="0"/>
              <w:rPr>
                <w:sz w:val="20"/>
                <w:szCs w:val="20"/>
                <w:color w:val="auto"/>
              </w:rPr>
            </w:pPr>
            <w:r>
              <w:rPr>
                <w:rFonts w:ascii="Arial" w:cs="Arial" w:eastAsia="Arial" w:hAnsi="Arial"/>
                <w:sz w:val="18"/>
                <w:szCs w:val="18"/>
                <w:color w:val="auto"/>
              </w:rPr>
              <w:t>XBRL Presentation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10260" w:type="dxa"/>
            <w:vAlign w:val="bottom"/>
          </w:tcPr>
          <w:p>
            <w:pPr>
              <w:ind w:left="20"/>
              <w:spacing w:after="0"/>
              <w:rPr>
                <w:sz w:val="20"/>
                <w:szCs w:val="20"/>
                <w:color w:val="auto"/>
              </w:rPr>
            </w:pPr>
            <w:r>
              <w:rPr>
                <w:rFonts w:ascii="Arial" w:cs="Arial" w:eastAsia="Arial" w:hAnsi="Arial"/>
                <w:sz w:val="18"/>
                <w:szCs w:val="18"/>
                <w:color w:val="auto"/>
              </w:rPr>
              <w:t>XBRL Definition Linkbase Document</w:t>
            </w:r>
          </w:p>
        </w:tc>
      </w:tr>
      <w:tr>
        <w:trPr>
          <w:trHeight w:val="918"/>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MISTRAS GROUP, INC.</w:t>
      </w:r>
    </w:p>
    <w:p>
      <w:pPr>
        <w:spacing w:after="0" w:line="337" w:lineRule="exact"/>
        <w:rPr>
          <w:sz w:val="20"/>
          <w:szCs w:val="20"/>
          <w:color w:val="auto"/>
        </w:rPr>
      </w:pPr>
    </w:p>
    <w:p>
      <w:pPr>
        <w:ind w:left="4960"/>
        <w:spacing w:after="0"/>
        <w:tabs>
          <w:tab w:leader="none" w:pos="5400" w:val="left"/>
        </w:tabs>
        <w:rPr>
          <w:sz w:val="20"/>
          <w:szCs w:val="20"/>
          <w:color w:val="auto"/>
        </w:rPr>
      </w:pPr>
      <w:r>
        <w:rPr>
          <w:rFonts w:ascii="Arial" w:cs="Arial" w:eastAsia="Arial" w:hAnsi="Arial"/>
          <w:sz w:val="18"/>
          <w:szCs w:val="18"/>
          <w:color w:val="auto"/>
        </w:rPr>
        <w:t>By:</w:t>
        <w:tab/>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Jonathan H. Wolk</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(Principal Financial and Accounting Officer and duly authorized officer)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2015</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240" w:top="121" w:right="7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Sotirios J. Vahaviolos, certify that:</w:t>
      </w:r>
    </w:p>
    <w:p>
      <w:pPr>
        <w:spacing w:after="0" w:line="17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2015</w:t>
      </w:r>
    </w:p>
    <w:p>
      <w:pPr>
        <w:spacing w:after="0" w:line="25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Sotirios J. Vahaviolos</w:t>
      </w:r>
    </w:p>
    <w:p>
      <w:pPr>
        <w:spacing w:after="0" w:line="14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President and Chief Executive Officer</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Jonathan H. Wolk, certify that:</w:t>
      </w:r>
    </w:p>
    <w:p>
      <w:pPr>
        <w:spacing w:after="0" w:line="17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2015</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Jonathan H. Wolk</w:t>
      </w:r>
    </w:p>
    <w:p>
      <w:pPr>
        <w:spacing w:after="0" w:line="1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6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August 31, 2015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13, 2015</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Sotirios J. Vahaviolos</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Jonathan H. Wolk</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2"/>
    </w:lvl>
  </w:abstractNum>
  <w:abstractNum w:abstractNumId="6">
    <w:nsid w:val="7FDCC233"/>
    <w:multiLevelType w:val="hybridMultilevel"/>
    <w:lvl w:ilvl="0">
      <w:lvlJc w:val="left"/>
      <w:lvlText w:val="%1."/>
      <w:numFmt w:val="decimal"/>
      <w:start w:val="4"/>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1."/>
      <w:numFmt w:val="decimal"/>
      <w:start w:val="6"/>
    </w:lvl>
  </w:abstractNum>
  <w:abstractNum w:abstractNumId="9">
    <w:nsid w:val="6B68079A"/>
    <w:multiLevelType w:val="hybridMultilevel"/>
    <w:lvl w:ilvl="0">
      <w:lvlJc w:val="left"/>
      <w:lvlText w:val="%1."/>
      <w:numFmt w:val="decimal"/>
      <w:start w:val="7"/>
    </w:lvl>
  </w:abstractNum>
  <w:abstractNum w:abstractNumId="10">
    <w:nsid w:val="4E6AFB66"/>
    <w:multiLevelType w:val="hybridMultilevel"/>
    <w:lvl w:ilvl="0">
      <w:lvlJc w:val="left"/>
      <w:lvlText w:val="%1."/>
      <w:numFmt w:val="decimal"/>
      <w:start w:val="8"/>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decimal"/>
      <w:start w:val="13"/>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2019-12-29T14:57:01Z</dcterms:created>
  <dcterms:modified xsi:type="dcterms:W3CDTF">2019-12-29T14:57:01Z</dcterms:modified>
</cp:coreProperties>
</file>