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Mistras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39"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22-3341267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rPr>
      </w:pPr>
      <w:r>
        <w:rPr>
          <w:color w:val="000000"/>
        </w:rPr>
        <w:t> </w:t>
      </w:r>
    </w:p>
    <w:tbl>
      <w:tblPr>
        <w:tblW w:w="4662" w:type="dxa"/>
        <w:jc w:val="left"/>
        <w:tblInd w:w="0" w:type="dxa"/>
        <w:tblLayout w:type="fixed"/>
        <w:tblCellMar>
          <w:top w:w="28" w:type="dxa"/>
          <w:left w:w="28" w:type="dxa"/>
          <w:bottom w:w="28" w:type="dxa"/>
          <w:right w:w="28" w:type="dxa"/>
        </w:tblCellMar>
      </w:tblPr>
      <w:tblGrid>
        <w:gridCol w:w="749"/>
        <w:gridCol w:w="656"/>
        <w:gridCol w:w="656"/>
        <w:gridCol w:w="410"/>
        <w:gridCol w:w="410"/>
        <w:gridCol w:w="419"/>
        <w:gridCol w:w="109"/>
        <w:gridCol w:w="109"/>
        <w:gridCol w:w="109"/>
        <w:gridCol w:w="303"/>
        <w:gridCol w:w="303"/>
        <w:gridCol w:w="429"/>
      </w:tblGrid>
      <w:tr>
        <w:trPr/>
        <w:tc>
          <w:tcPr>
            <w:tcW w:w="7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195 Clarksville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 Junction,</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08550</w:t>
            </w:r>
          </w:p>
        </w:tc>
      </w:tr>
      <w:tr>
        <w:trPr/>
        <w:tc>
          <w:tcPr>
            <w:tcW w:w="33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(609) 716-4000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ind w:left="0" w:right="0" w:firstLine="7200"/>
        <w:jc w:val="left"/>
        <w:rPr/>
      </w:pPr>
      <w:r>
        <w:rPr>
          <w:rFonts w:ascii="Times New Roman;serif" w:hAnsi="Times New Roman;serif"/>
          <w:b w:val="false"/>
          <w:color w:val="000000"/>
          <w:sz w:val="20"/>
        </w:rPr>
        <w:t>Emerging growth company </w:t>
      </w:r>
      <w:r>
        <w:rPr>
          <w:color w:val="000000"/>
        </w:rPr>
        <w:t>☐ </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10, 2026, Mistras Group, Inc. (the "Company," "we," "us" and "our") issued a press release announcing the financial results for our second quarter, which ended on June 30, 2026. A copy of the press release is attached as Exhibit 99.1 to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Disclosure of 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press release attached, the Company uses the terms “Adjusted EBITDA,” “free cash flow,” "net debt" and "income from operations before special items," which are not measures of financial performance under U.S. generally accepted accounting principles (“GAAP”). The tables to the press release include reconciliations of these non-GAAP financial measures to the most comparable financial measure under GAAP. Also, in the tables to the press release, the non-GAAP financial measures "Segment and Total Company Income (Loss) from Operations before Special Items” (which includes income (loss) from operations before special items) are presented and reconciled to financial measures under GAAP within the table "Segment and Total Company Income (Loss) from Operations (GAAP) to Income from Operations before Special Items (Non-GAAP)." The non-GAAP financial measure "Diluted EPS Excluding Special Items (non-GAAP)," is presented and reconciled to the financial measure under GAAP within the table "Net Income (Loss) (GAAP) and Diluted EPS (GAAP) to Net Income (Loss) Excluding Special Items (non-GAAP) and Diluted EPS Excluding Special Items (Non-GAAP)." Information about these non-GAAP financial measures is included in the press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uses and provides these non-GAAP financial measures as a measure of the Company's operating performance and liquidity to assist in comparing performance from period to period on a consistent basis, as a measure for planning and forecasting overall expectations for the Company and for evaluating actual results against such expectations. Adjusted EBITDA and free cash flow are also performance evaluation metrics used to determine incentive compensation for the Company's executive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investors and other users of the financial statements benefit from the presentation of these non-GAAP financial measures because they provide additional metrics to compare the Company's operating performance and liquidity on a consistent basis and measure underlying trends and results of the Company's business. Adjusted EBITDA and income from operations before special items assist in evaluating our operating performance because they remove the impact of certain items that management believes do not directly reflect our core operations. For instance, Adjusted EBITDA generally excludes interest expense, provision for income taxes, depreciation and amortization, certain acquisition related costs, foreign exchange gain or loss, non-cash impairment charges and reorganization and other costs,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uses free cash flow when evaluating the performance of our business operations. This financial measure also takes into account cash used to purchase fixed assets needed for business operations which are not expensed. We believe this financial measure provides an additional tool to compare cash generated by our operations on a consistent basis and measure underlying trends and results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Adjusted EBITDA and free cash flow are terms and financial measures commonly used by investors and securities analysts, they have limitations. As non-GAAP financial measures, Adjusted EBITDA and free cash flows have no standard meaning and, therefore, may not be comparable with similar financial measures for other companies. Similarly, segment and total company income from operations before special items and diluted EPS excluding special items has no standard meaning and may not be comparable to financial measures for other companies. Adjusted EBITDA and free cash flow are generally limited as analytical tools because they exclude charges and expenses we do incur as part of our operations as well as cash uses which are included in a GAAP cash flow statement. In addition, free cash flow does not represent residual cash flow available for discretionary expenditures since items such as debt repayments are not deducted in determining such measure.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these non-GAAP financial measures should be considered in isolation or as a substitute for analyzing our results as reported under U.S.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No.     Description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hyperlink w:anchor="a8kexhibit991-q22026.htm">
        <w:r>
          <w:rPr>
            <w:rStyle w:val="InternetLink"/>
            <w:rFonts w:ascii="Times New Roman;serif" w:hAnsi="Times New Roman;serif"/>
            <w:b w:val="false"/>
            <w:color w:val="0000FF"/>
            <w:sz w:val="20"/>
            <w:u w:val="single"/>
          </w:rPr>
          <w:t>99.1</w:t>
        </w:r>
      </w:hyperlink>
      <w:r>
        <w:rPr>
          <w:color w:val="000000"/>
        </w:rPr>
        <w:t xml:space="preserve">          </w:t>
      </w:r>
      <w:hyperlink w:anchor="a8kexhibit991-q22026.htm">
        <w:r>
          <w:rPr>
            <w:rStyle w:val="InternetLink"/>
          </w:rPr>
          <w:t xml:space="preserve">Press release issued by Mistras Group, Inc. on </w:t>
        </w:r>
      </w:hyperlink>
      <w:hyperlink w:anchor="a8kexhibit991-q22026.htm">
        <w:r>
          <w:rPr>
            <w:rStyle w:val="InternetLink"/>
          </w:rPr>
          <w:t>August</w:t>
        </w:r>
      </w:hyperlink>
      <w:hyperlink w:anchor="a8kexhibit991-q22026.htm">
        <w:r>
          <w:rPr>
            <w:rStyle w:val="InternetLink"/>
          </w:rPr>
          <w:t xml:space="preserve"> </w:t>
        </w:r>
      </w:hyperlink>
      <w:hyperlink w:anchor="a8kexhibit991-q22026.htm">
        <w:r>
          <w:rPr>
            <w:rStyle w:val="InternetLink"/>
          </w:rPr>
          <w:t>10</w:t>
        </w:r>
      </w:hyperlink>
      <w:hyperlink w:anchor="a8kexhibit991-q22026.htm">
        <w:r>
          <w:rPr>
            <w:rStyle w:val="InternetLink"/>
          </w:rPr>
          <w:t>, 202</w:t>
        </w:r>
      </w:hyperlink>
      <w:hyperlink w:anchor="a8kexhibit991-q22026.htm">
        <w:r>
          <w:rPr>
            <w:rStyle w:val="InternetLink"/>
          </w:rPr>
          <w:t>6</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505" w:type="dxa"/>
        <w:jc w:val="left"/>
        <w:tblInd w:w="0" w:type="dxa"/>
        <w:tblLayout w:type="fixed"/>
        <w:tblCellMar>
          <w:top w:w="28" w:type="dxa"/>
          <w:left w:w="28" w:type="dxa"/>
          <w:bottom w:w="28" w:type="dxa"/>
          <w:right w:w="28" w:type="dxa"/>
        </w:tblCellMar>
      </w:tblPr>
      <w:tblGrid>
        <w:gridCol w:w="705"/>
        <w:gridCol w:w="621"/>
        <w:gridCol w:w="624"/>
        <w:gridCol w:w="226"/>
        <w:gridCol w:w="226"/>
        <w:gridCol w:w="226"/>
        <w:gridCol w:w="289"/>
        <w:gridCol w:w="289"/>
        <w:gridCol w:w="289"/>
        <w:gridCol w:w="1438"/>
        <w:gridCol w:w="1438"/>
        <w:gridCol w:w="213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MISTRAS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J. Prajzner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J. Prajzner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Vice President and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00"/>
        <w:jc w:val="left"/>
        <w:rPr/>
      </w:pPr>
      <w:r>
        <w:rPr/>
      </w:r>
    </w:p>
    <w:p>
      <w:pPr>
        <w:pStyle w:val="TextBody"/>
        <w:bidi w:val="0"/>
        <w:spacing w:before="0" w:after="0"/>
        <w:jc w:val="left"/>
        <w:rPr/>
      </w:pPr>
      <w:r>
        <w:rPr/>
      </w:r>
    </w:p>
    <w:p>
      <w:pPr>
        <w:pStyle w:val="TextBody"/>
        <w:bidi w:val="0"/>
        <w:spacing w:lineRule="auto" w:line="484"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3733800" cy="8191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733800" cy="819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232A31"/>
          <w:sz w:val="32"/>
        </w:rPr>
      </w:pPr>
      <w:r>
        <w:rPr>
          <w:rFonts w:ascii="Times New Roman;serif" w:hAnsi="Times New Roman;serif"/>
          <w:b/>
          <w:color w:val="232A31"/>
          <w:sz w:val="32"/>
        </w:rPr>
        <w:t>MISTRAS Announces Second Quarter and First Half 2026 Results</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i/>
          <w:color w:val="1D2228"/>
          <w:sz w:val="28"/>
        </w:rPr>
        <w:t xml:space="preserve">Continued Revenue Growth of </w:t>
      </w:r>
      <w:r>
        <w:rPr>
          <w:rFonts w:ascii="Times New Roman;serif" w:hAnsi="Times New Roman;serif"/>
          <w:b/>
          <w:i/>
          <w:color w:val="000000"/>
          <w:sz w:val="28"/>
        </w:rPr>
        <w:t>4.2%,</w:t>
      </w:r>
    </w:p>
    <w:p>
      <w:pPr>
        <w:pStyle w:val="TextBody"/>
        <w:bidi w:val="0"/>
        <w:spacing w:lineRule="auto" w:line="268" w:before="0" w:after="0"/>
        <w:jc w:val="center"/>
        <w:rPr/>
      </w:pPr>
      <w:r>
        <w:rPr>
          <w:rFonts w:ascii="Times New Roman;serif" w:hAnsi="Times New Roman;serif"/>
          <w:b/>
          <w:i/>
          <w:color w:val="1D2228"/>
          <w:sz w:val="28"/>
        </w:rPr>
        <w:t xml:space="preserve">Expansion in Gross Profit Margin of </w:t>
      </w:r>
      <w:r>
        <w:rPr>
          <w:rFonts w:ascii="Times New Roman;serif" w:hAnsi="Times New Roman;serif"/>
          <w:b/>
          <w:i/>
          <w:color w:val="000000"/>
          <w:sz w:val="28"/>
        </w:rPr>
        <w:t>10</w:t>
      </w:r>
      <w:r>
        <w:rPr>
          <w:color w:val="1D2228"/>
        </w:rPr>
        <w:t xml:space="preserve"> </w:t>
      </w:r>
      <w:r>
        <w:rPr>
          <w:rFonts w:ascii="Times New Roman;serif" w:hAnsi="Times New Roman;serif"/>
          <w:b/>
          <w:i/>
          <w:color w:val="1D2228"/>
          <w:sz w:val="28"/>
        </w:rPr>
        <w:t xml:space="preserve">Basis Points to </w:t>
      </w:r>
      <w:r>
        <w:rPr>
          <w:rFonts w:ascii="Times New Roman;serif" w:hAnsi="Times New Roman;serif"/>
          <w:b/>
          <w:i/>
          <w:color w:val="000000"/>
          <w:sz w:val="28"/>
        </w:rPr>
        <w:t>29.2%,</w:t>
      </w:r>
    </w:p>
    <w:p>
      <w:pPr>
        <w:pStyle w:val="TextBody"/>
        <w:bidi w:val="0"/>
        <w:spacing w:lineRule="auto" w:line="268" w:before="0" w:after="0"/>
        <w:jc w:val="center"/>
        <w:rPr/>
      </w:pPr>
      <w:r>
        <w:rPr>
          <w:rFonts w:ascii="Times New Roman;serif" w:hAnsi="Times New Roman;serif"/>
          <w:b/>
          <w:i/>
          <w:color w:val="1D2228"/>
          <w:sz w:val="28"/>
        </w:rPr>
        <w:t xml:space="preserve">GAAP Net Income of </w:t>
      </w:r>
      <w:r>
        <w:rPr>
          <w:rFonts w:ascii="Times New Roman;serif" w:hAnsi="Times New Roman;serif"/>
          <w:b/>
          <w:i/>
          <w:color w:val="000000"/>
          <w:sz w:val="28"/>
        </w:rPr>
        <w:t>$7.6 million</w:t>
      </w:r>
      <w:r>
        <w:rPr>
          <w:color w:val="1D2228"/>
        </w:rPr>
        <w:t xml:space="preserve"> </w:t>
      </w:r>
      <w:r>
        <w:rPr>
          <w:rFonts w:ascii="Times New Roman;serif" w:hAnsi="Times New Roman;serif"/>
          <w:b/>
          <w:i/>
          <w:color w:val="1D2228"/>
          <w:sz w:val="28"/>
        </w:rPr>
        <w:t xml:space="preserve">and Earnings Per Diluted Share of </w:t>
      </w:r>
      <w:r>
        <w:rPr>
          <w:rFonts w:ascii="Times New Roman;serif" w:hAnsi="Times New Roman;serif"/>
          <w:b/>
          <w:i/>
          <w:color w:val="000000"/>
          <w:sz w:val="28"/>
        </w:rPr>
        <w:t>$0.23,</w:t>
      </w:r>
    </w:p>
    <w:p>
      <w:pPr>
        <w:pStyle w:val="TextBody"/>
        <w:bidi w:val="0"/>
        <w:spacing w:lineRule="auto" w:line="268" w:before="0" w:after="0"/>
        <w:jc w:val="center"/>
        <w:rPr/>
      </w:pPr>
      <w:r>
        <w:rPr>
          <w:rFonts w:ascii="Times New Roman;serif" w:hAnsi="Times New Roman;serif"/>
          <w:b/>
          <w:i/>
          <w:color w:val="1D2228"/>
          <w:sz w:val="28"/>
        </w:rPr>
        <w:t xml:space="preserve">Adjusted EBITDA (non-GAAP) of </w:t>
      </w:r>
      <w:r>
        <w:rPr>
          <w:rFonts w:ascii="Times New Roman;serif" w:hAnsi="Times New Roman;serif"/>
          <w:b/>
          <w:i/>
          <w:color w:val="000000"/>
          <w:sz w:val="28"/>
        </w:rPr>
        <w:t>$25.8 million, an Increase of 7.0%,</w:t>
      </w:r>
    </w:p>
    <w:p>
      <w:pPr>
        <w:pStyle w:val="TextBody"/>
        <w:bidi w:val="0"/>
        <w:spacing w:lineRule="auto" w:line="268" w:before="0" w:after="0"/>
        <w:jc w:val="center"/>
        <w:rPr>
          <w:rFonts w:ascii="Times New Roman;serif" w:hAnsi="Times New Roman;serif"/>
          <w:b/>
          <w:i/>
          <w:color w:val="000000"/>
          <w:sz w:val="28"/>
        </w:rPr>
      </w:pPr>
      <w:r>
        <w:rPr>
          <w:rFonts w:ascii="Times New Roman;serif" w:hAnsi="Times New Roman;serif"/>
          <w:b/>
          <w:i/>
          <w:color w:val="000000"/>
          <w:sz w:val="28"/>
        </w:rPr>
        <w:t>Increases Fiscal Year 2026 Revenue and Adjusted EBITDA Guidance</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1D2228"/>
          <w:sz w:val="24"/>
        </w:rPr>
      </w:pPr>
      <w:r>
        <w:rPr>
          <w:rFonts w:ascii="Times New Roman;serif" w:hAnsi="Times New Roman;serif"/>
          <w:b w:val="false"/>
          <w:color w:val="1D2228"/>
          <w:sz w:val="24"/>
        </w:rPr>
        <w:t>PRINCETON JUNCTION, N.J., August 10, 2026 (GLOBE NEWSWIRE) -- MISTRAS Group, Inc. (NYSE: MG), a global leader in technology-enabled industrial asset integrity and testing solutions, today reported financial results for its second quarter and six months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22222"/>
          <w:sz w:val="24"/>
          <w:u w:val="single"/>
        </w:rPr>
      </w:pPr>
      <w:r>
        <w:rPr>
          <w:rFonts w:ascii="Times New Roman;serif" w:hAnsi="Times New Roman;serif"/>
          <w:b/>
          <w:color w:val="222222"/>
          <w:sz w:val="24"/>
          <w:u w:val="single"/>
        </w:rPr>
        <w:t>Second Quarter 2026 Highlights*</w:t>
      </w:r>
    </w:p>
    <w:p>
      <w:pPr>
        <w:pStyle w:val="TextBody"/>
        <w:bidi w:val="0"/>
        <w:spacing w:lineRule="auto" w:line="276" w:before="0" w:after="0"/>
        <w:ind w:left="0" w:right="0" w:hanging="360"/>
        <w:jc w:val="left"/>
        <w:rPr/>
      </w:pPr>
      <w:r>
        <w:rPr>
          <w:color w:val="000000"/>
        </w:rPr>
        <w:t>•</w:t>
      </w:r>
      <w:r>
        <w:rPr>
          <w:rFonts w:ascii="Times New Roman;serif" w:hAnsi="Times New Roman;serif"/>
          <w:b/>
          <w:color w:val="1D2228"/>
          <w:sz w:val="24"/>
        </w:rPr>
        <w:t xml:space="preserve">Revenue of </w:t>
      </w:r>
      <w:r>
        <w:rPr>
          <w:rFonts w:ascii="Times New Roman;serif" w:hAnsi="Times New Roman;serif"/>
          <w:b/>
          <w:color w:val="000000"/>
          <w:sz w:val="24"/>
        </w:rPr>
        <w:t>$193.1 million</w:t>
      </w:r>
      <w:r>
        <w:rPr>
          <w:rFonts w:ascii="Times New Roman;serif" w:hAnsi="Times New Roman;serif"/>
          <w:b/>
          <w:color w:val="1D2228"/>
          <w:sz w:val="24"/>
        </w:rPr>
        <w:t xml:space="preserve">, an increase of </w:t>
      </w:r>
      <w:r>
        <w:rPr>
          <w:rFonts w:ascii="Times New Roman;serif" w:hAnsi="Times New Roman;serif"/>
          <w:b/>
          <w:color w:val="000000"/>
          <w:sz w:val="24"/>
        </w:rPr>
        <w:t xml:space="preserve">4.2%, </w:t>
      </w:r>
      <w:r>
        <w:rPr>
          <w:rFonts w:ascii="Times New Roman;serif" w:hAnsi="Times New Roman;serif"/>
          <w:b/>
          <w:color w:val="1D2228"/>
          <w:sz w:val="24"/>
        </w:rPr>
        <w:t>driven by demand growth in Infrastructure, Power Generation, and Aerospace &amp; Defense end markets</w:t>
      </w:r>
    </w:p>
    <w:p>
      <w:pPr>
        <w:pStyle w:val="TextBody"/>
        <w:bidi w:val="0"/>
        <w:spacing w:lineRule="auto" w:line="268" w:before="0" w:after="0"/>
        <w:ind w:left="0" w:right="0" w:hanging="360"/>
        <w:jc w:val="left"/>
        <w:rPr/>
      </w:pPr>
      <w:r>
        <w:rPr>
          <w:color w:val="000000"/>
        </w:rPr>
        <w:t>•</w:t>
      </w:r>
      <w:r>
        <w:rPr>
          <w:rFonts w:ascii="Times New Roman;serif" w:hAnsi="Times New Roman;serif"/>
          <w:b/>
          <w:color w:val="1D2228"/>
          <w:sz w:val="24"/>
        </w:rPr>
        <w:t>Gross profit of $</w:t>
      </w:r>
      <w:r>
        <w:rPr>
          <w:rFonts w:ascii="Times New Roman;serif" w:hAnsi="Times New Roman;serif"/>
          <w:b/>
          <w:color w:val="000000"/>
          <w:sz w:val="24"/>
        </w:rPr>
        <w:t>56.4 million</w:t>
      </w:r>
      <w:r>
        <w:rPr>
          <w:rFonts w:ascii="Times New Roman;serif" w:hAnsi="Times New Roman;serif"/>
          <w:b/>
          <w:color w:val="1D2228"/>
          <w:sz w:val="24"/>
        </w:rPr>
        <w:t xml:space="preserve">, reflecting a gross profit margin of </w:t>
      </w:r>
      <w:r>
        <w:rPr>
          <w:rFonts w:ascii="Times New Roman;serif" w:hAnsi="Times New Roman;serif"/>
          <w:b/>
          <w:color w:val="000000"/>
          <w:sz w:val="24"/>
        </w:rPr>
        <w:t xml:space="preserve">29.2%, </w:t>
      </w:r>
      <w:r>
        <w:rPr>
          <w:rFonts w:ascii="Times New Roman;serif" w:hAnsi="Times New Roman;serif"/>
          <w:b/>
          <w:color w:val="1D2228"/>
          <w:sz w:val="24"/>
        </w:rPr>
        <w:t xml:space="preserve">an increase of </w:t>
      </w:r>
      <w:r>
        <w:rPr>
          <w:rFonts w:ascii="Times New Roman;serif" w:hAnsi="Times New Roman;serif"/>
          <w:b/>
          <w:color w:val="000000"/>
          <w:sz w:val="24"/>
        </w:rPr>
        <w:t>10</w:t>
      </w:r>
      <w:r>
        <w:rPr>
          <w:color w:val="1D2228"/>
        </w:rPr>
        <w:t xml:space="preserve"> </w:t>
      </w:r>
      <w:r>
        <w:rPr>
          <w:rFonts w:ascii="Times New Roman;serif" w:hAnsi="Times New Roman;serif"/>
          <w:b/>
          <w:color w:val="1D2228"/>
          <w:sz w:val="24"/>
        </w:rPr>
        <w:t>basis points</w:t>
      </w:r>
    </w:p>
    <w:p>
      <w:pPr>
        <w:pStyle w:val="TextBody"/>
        <w:bidi w:val="0"/>
        <w:spacing w:lineRule="auto" w:line="268" w:before="0" w:after="0"/>
        <w:ind w:left="0" w:right="0" w:hanging="360"/>
        <w:jc w:val="left"/>
        <w:rPr/>
      </w:pPr>
      <w:r>
        <w:rPr>
          <w:color w:val="000000"/>
        </w:rPr>
        <w:t>•</w:t>
      </w:r>
      <w:r>
        <w:rPr>
          <w:rFonts w:ascii="Times New Roman;serif" w:hAnsi="Times New Roman;serif"/>
          <w:b/>
          <w:color w:val="1D2228"/>
          <w:sz w:val="24"/>
        </w:rPr>
        <w:t xml:space="preserve">Income from operations of </w:t>
      </w:r>
      <w:r>
        <w:rPr>
          <w:rFonts w:ascii="Times New Roman;serif" w:hAnsi="Times New Roman;serif"/>
          <w:b/>
          <w:color w:val="000000"/>
          <w:sz w:val="24"/>
        </w:rPr>
        <w:t>$12.9 million, an increase of $4.5 million, or 53.6%</w:t>
      </w:r>
    </w:p>
    <w:p>
      <w:pPr>
        <w:pStyle w:val="TextBody"/>
        <w:bidi w:val="0"/>
        <w:spacing w:lineRule="auto" w:line="268" w:before="0" w:after="0"/>
        <w:ind w:left="0" w:right="0" w:hanging="360"/>
        <w:jc w:val="left"/>
        <w:rPr/>
      </w:pPr>
      <w:r>
        <w:rPr>
          <w:color w:val="1D2228"/>
        </w:rPr>
        <w:t>•</w:t>
      </w:r>
      <w:r>
        <w:rPr>
          <w:rFonts w:ascii="Times New Roman;serif" w:hAnsi="Times New Roman;serif"/>
          <w:b/>
          <w:color w:val="1D2228"/>
          <w:sz w:val="24"/>
        </w:rPr>
        <w:t xml:space="preserve">GAAP net income of </w:t>
      </w:r>
      <w:r>
        <w:rPr>
          <w:rFonts w:ascii="Times New Roman;serif" w:hAnsi="Times New Roman;serif"/>
          <w:b/>
          <w:color w:val="000000"/>
          <w:sz w:val="24"/>
        </w:rPr>
        <w:t>$7.6 million, with e</w:t>
      </w:r>
      <w:r>
        <w:rPr>
          <w:rFonts w:ascii="Times New Roman;serif" w:hAnsi="Times New Roman;serif"/>
          <w:b/>
          <w:color w:val="1D2228"/>
          <w:sz w:val="24"/>
        </w:rPr>
        <w:t xml:space="preserve">arnings per diluted share of </w:t>
      </w:r>
      <w:r>
        <w:rPr>
          <w:rFonts w:ascii="Times New Roman;serif" w:hAnsi="Times New Roman;serif"/>
          <w:b/>
          <w:color w:val="000000"/>
          <w:sz w:val="24"/>
        </w:rPr>
        <w:t>$0.23</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Non-GAAP net income of $9.1 million, with non-GAAP earnings per diluted share of $0.28</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Record second quarter adjusted EBITDA of $25.8 million, an increase of 7.0%, with an Adjusted EBITDA margin of 13.3%, up 30 basis points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222222"/>
          <w:sz w:val="24"/>
          <w:u w:val="single"/>
        </w:rPr>
      </w:pPr>
      <w:r>
        <w:rPr>
          <w:rFonts w:ascii="Times New Roman;serif" w:hAnsi="Times New Roman;serif"/>
          <w:b/>
          <w:color w:val="222222"/>
          <w:sz w:val="24"/>
          <w:u w:val="single"/>
        </w:rPr>
        <w:t>Year to Date 2026 Highlights*</w:t>
      </w:r>
    </w:p>
    <w:p>
      <w:pPr>
        <w:pStyle w:val="TextBody"/>
        <w:bidi w:val="0"/>
        <w:spacing w:lineRule="auto" w:line="276" w:before="0" w:after="0"/>
        <w:ind w:left="0" w:right="0" w:hanging="360"/>
        <w:jc w:val="left"/>
        <w:rPr/>
      </w:pPr>
      <w:r>
        <w:rPr>
          <w:color w:val="000000"/>
        </w:rPr>
        <w:t>•</w:t>
      </w:r>
      <w:r>
        <w:rPr>
          <w:rFonts w:ascii="Times New Roman;serif" w:hAnsi="Times New Roman;serif"/>
          <w:b/>
          <w:color w:val="1D2228"/>
          <w:sz w:val="24"/>
        </w:rPr>
        <w:t xml:space="preserve">Revenue of </w:t>
      </w:r>
      <w:r>
        <w:rPr>
          <w:rFonts w:ascii="Times New Roman;serif" w:hAnsi="Times New Roman;serif"/>
          <w:b/>
          <w:color w:val="000000"/>
          <w:sz w:val="24"/>
        </w:rPr>
        <w:t>$362.2 million</w:t>
      </w:r>
      <w:r>
        <w:rPr>
          <w:rFonts w:ascii="Times New Roman;serif" w:hAnsi="Times New Roman;serif"/>
          <w:b/>
          <w:color w:val="1D2228"/>
          <w:sz w:val="24"/>
        </w:rPr>
        <w:t xml:space="preserve">, an increase of </w:t>
      </w:r>
      <w:r>
        <w:rPr>
          <w:rFonts w:ascii="Times New Roman;serif" w:hAnsi="Times New Roman;serif"/>
          <w:b/>
          <w:color w:val="000000"/>
          <w:sz w:val="24"/>
        </w:rPr>
        <w:t>4.4%</w:t>
      </w:r>
      <w:r>
        <w:rPr>
          <w:rFonts w:ascii="Times New Roman;serif" w:hAnsi="Times New Roman;serif"/>
          <w:b/>
          <w:color w:val="1D2228"/>
          <w:sz w:val="24"/>
        </w:rPr>
        <w:t>, driven by demand growth in Infrastructure, Power Generation, and Aerospace &amp; Defense end markets</w:t>
      </w:r>
    </w:p>
    <w:p>
      <w:pPr>
        <w:pStyle w:val="TextBody"/>
        <w:bidi w:val="0"/>
        <w:spacing w:lineRule="auto" w:line="268" w:before="0" w:after="0"/>
        <w:ind w:left="0" w:right="0" w:hanging="360"/>
        <w:jc w:val="left"/>
        <w:rPr/>
      </w:pPr>
      <w:r>
        <w:rPr>
          <w:color w:val="000000"/>
        </w:rPr>
        <w:t>•</w:t>
      </w:r>
      <w:r>
        <w:rPr>
          <w:rFonts w:ascii="Times New Roman;serif" w:hAnsi="Times New Roman;serif"/>
          <w:b/>
          <w:color w:val="1D2228"/>
          <w:sz w:val="24"/>
        </w:rPr>
        <w:t xml:space="preserve">Gross profit of </w:t>
      </w:r>
      <w:r>
        <w:rPr>
          <w:rFonts w:ascii="Times New Roman;serif" w:hAnsi="Times New Roman;serif"/>
          <w:b/>
          <w:color w:val="000000"/>
          <w:sz w:val="24"/>
        </w:rPr>
        <w:t>$101.2 million</w:t>
      </w:r>
      <w:r>
        <w:rPr>
          <w:rFonts w:ascii="Times New Roman;serif" w:hAnsi="Times New Roman;serif"/>
          <w:b/>
          <w:color w:val="1D2228"/>
          <w:sz w:val="24"/>
        </w:rPr>
        <w:t xml:space="preserve">, reflecting a gross profit margin of </w:t>
      </w:r>
      <w:r>
        <w:rPr>
          <w:rFonts w:ascii="Times New Roman;serif" w:hAnsi="Times New Roman;serif"/>
          <w:b/>
          <w:color w:val="000000"/>
          <w:sz w:val="24"/>
        </w:rPr>
        <w:t>27.9%, an increase</w:t>
      </w:r>
      <w:r>
        <w:rPr>
          <w:color w:val="1D2228"/>
        </w:rPr>
        <w:t xml:space="preserve"> </w:t>
      </w:r>
      <w:r>
        <w:rPr>
          <w:rFonts w:ascii="Times New Roman;serif" w:hAnsi="Times New Roman;serif"/>
          <w:b/>
          <w:color w:val="1D2228"/>
          <w:sz w:val="24"/>
        </w:rPr>
        <w:t xml:space="preserve">of </w:t>
      </w:r>
      <w:r>
        <w:rPr>
          <w:rFonts w:ascii="Times New Roman;serif" w:hAnsi="Times New Roman;serif"/>
          <w:b/>
          <w:color w:val="000000"/>
          <w:sz w:val="24"/>
        </w:rPr>
        <w:t>60</w:t>
      </w:r>
      <w:r>
        <w:rPr>
          <w:color w:val="1D2228"/>
        </w:rPr>
        <w:t xml:space="preserve"> </w:t>
      </w:r>
      <w:r>
        <w:rPr>
          <w:rFonts w:ascii="Times New Roman;serif" w:hAnsi="Times New Roman;serif"/>
          <w:b/>
          <w:color w:val="1D2228"/>
          <w:sz w:val="24"/>
        </w:rPr>
        <w:t>basis points</w:t>
      </w:r>
    </w:p>
    <w:p>
      <w:pPr>
        <w:pStyle w:val="TextBody"/>
        <w:bidi w:val="0"/>
        <w:spacing w:lineRule="auto" w:line="268" w:before="0" w:after="0"/>
        <w:ind w:left="0" w:right="0" w:hanging="360"/>
        <w:jc w:val="left"/>
        <w:rPr/>
      </w:pPr>
      <w:r>
        <w:rPr>
          <w:color w:val="000000"/>
        </w:rPr>
        <w:t>•</w:t>
      </w:r>
      <w:r>
        <w:rPr>
          <w:rFonts w:ascii="Times New Roman;serif" w:hAnsi="Times New Roman;serif"/>
          <w:b/>
          <w:color w:val="1D2228"/>
          <w:sz w:val="24"/>
        </w:rPr>
        <w:t xml:space="preserve">Income from operations of </w:t>
      </w:r>
      <w:r>
        <w:rPr>
          <w:rFonts w:ascii="Times New Roman;serif" w:hAnsi="Times New Roman;serif"/>
          <w:b/>
          <w:color w:val="000000"/>
          <w:sz w:val="24"/>
        </w:rPr>
        <w:t xml:space="preserve">$17.6 million, an increase of $10.2 million, or 137.7% </w:t>
      </w:r>
    </w:p>
    <w:p>
      <w:pPr>
        <w:pStyle w:val="TextBody"/>
        <w:bidi w:val="0"/>
        <w:spacing w:lineRule="auto" w:line="268" w:before="0" w:after="0"/>
        <w:ind w:left="0" w:right="0" w:hanging="360"/>
        <w:jc w:val="left"/>
        <w:rPr/>
      </w:pPr>
      <w:r>
        <w:rPr>
          <w:color w:val="000000"/>
        </w:rPr>
        <w:t>•</w:t>
      </w:r>
      <w:r>
        <w:rPr>
          <w:rFonts w:ascii="Times New Roman;serif" w:hAnsi="Times New Roman;serif"/>
          <w:b/>
          <w:color w:val="1D2228"/>
          <w:sz w:val="24"/>
        </w:rPr>
        <w:t xml:space="preserve">GAAP net income of </w:t>
      </w:r>
      <w:r>
        <w:rPr>
          <w:rFonts w:ascii="Times New Roman;serif" w:hAnsi="Times New Roman;serif"/>
          <w:b/>
          <w:color w:val="000000"/>
          <w:sz w:val="24"/>
        </w:rPr>
        <w:t>$10.0 million, with e</w:t>
      </w:r>
      <w:r>
        <w:rPr>
          <w:rFonts w:ascii="Times New Roman;serif" w:hAnsi="Times New Roman;serif"/>
          <w:b/>
          <w:color w:val="1D2228"/>
          <w:sz w:val="24"/>
        </w:rPr>
        <w:t xml:space="preserve">arnings per diluted share of </w:t>
      </w:r>
      <w:r>
        <w:rPr>
          <w:rFonts w:ascii="Times New Roman;serif" w:hAnsi="Times New Roman;serif"/>
          <w:b/>
          <w:color w:val="000000"/>
          <w:sz w:val="24"/>
        </w:rPr>
        <w:t>$0.30</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Non-GAAP net income of $11.7 million, with non-GAAP earnings per diluted share of $0.35</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Adjusted EBITDA of $40.1 million, an increase of 10.9%, with an Adjusted EBITDA margin of 11.1%, up 70 basis points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1D2228"/>
          <w:sz w:val="20"/>
        </w:rPr>
      </w:pPr>
      <w:r>
        <w:rPr>
          <w:rFonts w:ascii="Times New Roman;serif" w:hAnsi="Times New Roman;serif"/>
          <w:b w:val="false"/>
          <w:i/>
          <w:color w:val="1D2228"/>
          <w:sz w:val="20"/>
        </w:rPr>
        <w:t>*All comparisons are consolidated and versus the equivalent prior year period, unless otherwise noted. Please see the reconciliations of non-GAAP financial measures used herein to the most directly comparable GAAP measures and additional information about the non-GAAP financial measures set forth in the tables attached to this press release.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u w:val="single"/>
        </w:rPr>
      </w:pPr>
      <w:r>
        <w:rPr>
          <w:rFonts w:ascii="Times New Roman;serif" w:hAnsi="Times New Roman;serif"/>
          <w:b/>
          <w:color w:val="000000"/>
          <w:sz w:val="22"/>
          <w:u w:val="single"/>
        </w:rPr>
        <w:t>Management Commentary</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Natalia Shuman, President and Chief Executive Officer, commented, “Our second quarter results show continued progress against the transformation we outlined under Vision2030. We generated $193.1 million in revenue, delivered $25.8 million of Adjusted EBITDA in the second quarter, achieved significantly improved free cash flow with an increase of $23.9 million quarter-over-quarter, and continued to position the business around higher-growth, higher-value end markets. Q2 also marked the fourth consecutive quarter of mid-single-digit revenue growth, a notable benchmark that underscores MISTRAS becoming a more diversified, more technology-enabled, and less cyclical company.</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We are continuing to see favorable demand trends, particularly in the Aerospace &amp; Defense (A&amp;D), Infrastructure, and Power Generation end markets, which we expect to support growth through the remainder of the year as we continue to navigate a dynamic Oil &amp; Gas market. Within A&amp;D, demand is temporarily outpacing capacity, supported by a healthy backlog, strong customer relationships, and the mission-critical nature of the work, and we are investing meaningfully to expand capacity in our in-lab testing operations, with a particular focus on automation and throughput with a target to increase capacity. Both Infrastructure and Power Generation end markets are capitalizing on continued investment in data center construction and broader energy infrastructure, particularly as customers require quality assurance, inspection, commissioning support, and asset integrity expertise across increasingly complex projects.”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Entering the second half of 2026, we remain focused on improving operational execution, driving efficiency, and enhancing cash flow and working capital performance. We expect to generate meaningful free cash flow while continuing to invest in the capacity, people, and capabilities needed to support long-term growth."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and First Half 2026 Financial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Net income was $7.6 million in the second quarter, or $0.23 per diluted share, compared to net income of $3.0 million, or $0.10 per diluted share, in the prior year comparable period. Second quarter net income excluding special items (non-GAAP) was $9.1 million, or $0.28 per diluted share, compared to net income excluding special items (non-GAAP) of $5.8 million, or $0.19 per diluted share, in the prior year comparable period.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the first half of 2026, net cash provided by operating activities was $17.7 million, an increase from $3.6 million of net cash used by operating activities in the prior year period, largely due to significantly expanded net income and improved working capital timing.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Free cash flow (non-GAAP) was $3.7 million in the first half of 2026, compared to negative $15.9 million in the prior year comparable period, attributable to the same favorable factors impacting the Company's operating cash flow. The Company expects free cash flow to continue to expand over the remainder of 2026.</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Company’s gross debt was $172.1 million</w:t>
      </w:r>
      <w:r>
        <w:rPr>
          <w:color w:val="000000"/>
        </w:rPr>
        <w:t xml:space="preserve"> </w:t>
      </w:r>
      <w:r>
        <w:rPr>
          <w:rFonts w:ascii="Times New Roman;serif" w:hAnsi="Times New Roman;serif"/>
          <w:b w:val="false"/>
          <w:color w:val="000000"/>
          <w:sz w:val="22"/>
        </w:rPr>
        <w:t>as of June 30, 2026, compared to $178.0 million as of December 31, 2025 and $181.4 million as of March 31, 2026. The decrease in gross debt during the period was attributable to the positive impacts to cash flow described above. The Company’s net debt, a non-GAAP financial measure, was $150.1 million as of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trailing 12-month total consolidated debt leverage ratio as defined in the Company's credit agreement was 2.2x as of June 30, 2026, which represents the Company’s lowest leverage ratio since 2018, which is well within the total consolidated debt leverage ratio of 3.75x required under its credit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capital allocation strategy remains focused on the use of residual free cash flow to pay down debt to a targeted 2x leverage ratio by the end of 2026, as well as continue to make capital investments into higher growth, higher value areas as governed by the strategic plan.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u w:val="single"/>
        </w:rPr>
      </w:pPr>
      <w:r>
        <w:rPr>
          <w:rFonts w:ascii="Times New Roman;serif" w:hAnsi="Times New Roman;serif"/>
          <w:b/>
          <w:color w:val="000000"/>
          <w:sz w:val="22"/>
          <w:u w:val="single"/>
        </w:rPr>
        <w:t>2026 Outlook Guidance Raised</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is increasing its full-year guidance to $740.0 million to $755.0 million in revenue and $92.0 million to $95.0 million in Adjusted EBITDA.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This reflects continued strength in its strategic growth markets, partially offset by a lower level of activity in its volatile Oil &amp; Gas end market, attributable to ongoing macro environment factors including higher crude oil prices The Company continues to see favorable demand trends, particularly in its Aerospace &amp; Defense and Infrastructure end markets, which it expects to support growth throughout the remainder of the year.</w:t>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2"/>
          <w:u w:val="single"/>
        </w:rPr>
        <w:t>Conference Call</w:t>
      </w:r>
      <w:r>
        <w:rPr>
          <w:color w:val="000000"/>
        </w:rPr>
        <w:t xml:space="preserv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MISTRAS will hold a conference call on August 11, 2026, at 9:00 a.m. Eastern Time to discuss its financial results. To listen to the live webcast of the conference call, visit the Investor Relations section of MISTRAS Group’s website. Individuals wishing to participate in the live question and answer session may pre-register at the following link: https://investors.mistrasgroup.com/events/event-details/fiscal-2026-q2-earnings-call.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u w:val="single"/>
        </w:rPr>
      </w:pPr>
      <w:r>
        <w:rPr>
          <w:rFonts w:ascii="Times New Roman;serif" w:hAnsi="Times New Roman;serif"/>
          <w:b/>
          <w:color w:val="000000"/>
          <w:sz w:val="22"/>
          <w:u w:val="single"/>
        </w:rPr>
        <w:t>About MISTRAS Group, Inc.</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MISTRAS Group, Inc. (NYSE: MG) is a global leader in technology-enabled industrial asset integrity and laboratory testing solutions, serving critical strategic markets including oil &amp; gas, aerospace &amp; defense, industrials, power generation &amp; transmission, infrastructure, engineering, and research. MISTRAS provides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MISTRAS helps clients reduce risk, extend asset life, and optimize operational performance. Learn more at www.mistrasgroup.com.</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INVESTORS CONTACT:</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Edward J. Prajzner</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Senior Executive Vice President &amp; Chief Financial Officer</w:t>
      </w:r>
    </w:p>
    <w:p>
      <w:pPr>
        <w:pStyle w:val="TextBody"/>
        <w:bidi w:val="0"/>
        <w:spacing w:lineRule="auto" w:line="319" w:before="0" w:after="0"/>
        <w:jc w:val="left"/>
        <w:rPr/>
      </w:pPr>
      <w:r>
        <w:rPr>
          <w:rFonts w:ascii="Times New Roman;serif" w:hAnsi="Times New Roman;serif"/>
          <w:b w:val="false"/>
          <w:color w:val="000000"/>
          <w:sz w:val="22"/>
        </w:rPr>
        <w:t>+1 (833) MISTRAS </w:t>
      </w:r>
      <w:r>
        <w:rPr>
          <w:rFonts w:ascii="Times New Roman;serif" w:hAnsi="Times New Roman;serif"/>
          <w:b/>
          <w:color w:val="000000"/>
          <w:sz w:val="22"/>
        </w:rPr>
        <w:t>|</w:t>
      </w:r>
      <w:r>
        <w:rPr>
          <w:color w:val="000000"/>
        </w:rPr>
        <w:t> </w:t>
      </w:r>
      <w:r>
        <w:rPr>
          <w:rFonts w:ascii="Times New Roman;serif" w:hAnsi="Times New Roman;serif"/>
          <w:b w:val="false"/>
          <w:color w:val="000000"/>
          <w:sz w:val="22"/>
        </w:rPr>
        <w:t>investors@mistrasgroup.com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19"/>
        </w:rPr>
      </w:pPr>
      <w:r>
        <w:rPr>
          <w:rFonts w:ascii="Times New Roman;serif" w:hAnsi="Times New Roman;serif"/>
          <w:b/>
          <w:color w:val="000000"/>
          <w:sz w:val="19"/>
        </w:rPr>
        <w:t>Forward-Looking and Cautionary Statements</w:t>
      </w:r>
    </w:p>
    <w:p>
      <w:pPr>
        <w:pStyle w:val="TextBody"/>
        <w:bidi w:val="0"/>
        <w:spacing w:lineRule="auto" w:line="319"/>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this press release are "forward-looking statements" within the meaning of Section 27A of the Securities Act of 1933, as amended, and Section 21E of the Securities Exchange Act of 1934, as amended. Such forward-looking statements include, but are not limited to, statements under the heading “2026 Outlook,” investments in our platforms and integrated solutions, demand growth in certain of our end markets, the Company’s expectations regarding investments in higher growth end markets, the Company's expectations regarding continued growth, increased free cash flow and margin expansion, the impacts of the recent conflict in the Middle East, and additional operational and strategic actions that we expect or seek to take in furtherance of our strategies and activities to enhance our financial results and future growth. Such forward-looking statements relate to MISTRAS' financial results and estimates, products and services, business model, operational and strategic initiatives to improve operating leverage, strategy, growth opportunities, profitability and competitive position, and other matters. These forward-looking statements generally use words such as "future," "possible," "potential," "targeted," "anticipate," "believe," "estimate," "expect," "intend," "plan," "predict," "project," "will," "may," "should," "could," "would" and other similar words and phrases. Such statements are not guarantees of future performance or results and will not necessarily be accurate indications of the times at, or by which, such performance or results will be achieved, if at all. These statements are subject to risks and uncertainties that could cause actual performance or results to differ materially from those expressed in these statements. Such risks, uncertainties and contingencies include, among others: risks related to our dependency on customers in the oil and gas industry and the impact of global energy market volatility; risks related to ongoing geopolitical conflicts, including the war between Russia and Ukraine and the unrest in the Middle East; risks related to climate change; risks related to a reduction in business with our significant customers; risks related to our international operations; any </w:t>
      </w:r>
    </w:p>
    <w:p>
      <w:pPr>
        <w:pStyle w:val="TextBody"/>
        <w:bidi w:val="0"/>
        <w:spacing w:before="0" w:after="1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failure in our initiatives to improve our financial performance or a delay in achieving expected results within expected time frames; risks in the inability to attract and retain a sufficient number of certified technicians, engineers and scientists; our ability to develop new asset protection solutions, increase the functionality of our current offerings and meet the needs and demands of our customers; risks regarding our information technology and security; our use of ratification intelligence in our business; changes to U.S. tariffs and import/export regulations; risks related to the concentrated ownership of our common stock. A list, description and discussion of these and other risks and uncertainties can be found in the "Risk Factors" section of the Company's Annual Report on Form 10-K for the year ended December 31, 2025 filed with the U.S Securities and Exchange Commission filed on March 11, 2026, as updated by our reports on Form 10-Q and Form 8-K. The forward-looking statements are made as of the date hereof, and MISTRAS undertakes no obligation to update such statements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19"/>
        </w:rPr>
      </w:pPr>
      <w:r>
        <w:rPr>
          <w:rFonts w:ascii="Times New Roman;serif" w:hAnsi="Times New Roman;serif"/>
          <w:b/>
          <w:color w:val="000000"/>
          <w:sz w:val="19"/>
        </w:rPr>
        <w:t>Use of Non-GAAP Financial Measures</w:t>
      </w:r>
    </w:p>
    <w:p>
      <w:pPr>
        <w:pStyle w:val="TextBody"/>
        <w:bidi w:val="0"/>
        <w:spacing w:lineRule="auto" w:line="319" w:before="0" w:after="0"/>
        <w:jc w:val="left"/>
        <w:rPr>
          <w:rFonts w:ascii="Times New Roman;serif" w:hAnsi="Times New Roman;serif"/>
          <w:b w:val="false"/>
          <w:color w:val="000000"/>
          <w:sz w:val="19"/>
        </w:rPr>
      </w:pPr>
      <w:r>
        <w:rPr>
          <w:rFonts w:ascii="Times New Roman;serif" w:hAnsi="Times New Roman;serif"/>
          <w:b w:val="false"/>
          <w:color w:val="000000"/>
          <w:sz w:val="19"/>
        </w:rPr>
        <w:t>In addition to financial information prepared in accordance with generally accepted accounting principles in the U.S. ("GAAP"), this press release also contains adjusted financial measures that are not prepared in accordance with GAAP and that we believe provide investors and management with supplemental information relating to the Company’s operating performance and trends that facilitate comparisons between periods and with respect to trends and projected information. The term "Adjusted EBITDA" used in this release is a financial measure not calculated in accordance with GAAP and is defined by the Company as net income attributable to MISTRAS Group, Inc. plus: interest expense, provision for income taxes, depreciation and amortization, share-based compensation expense, certain acquisition related costs (including transaction due diligence costs and adjustments to the fair value of contingent consideration), foreign exchange (gain) loss, other income, non-cash impairment charges, reorganization and other costs and, if applicable, certain additional special items which are noted. A reconciliation of Adjusted EBITDA to Net Income (Loss) as computed under GAAP is set forth in a table attached to this press release. The Company also uses the term “free cash flow” a non-GAAP financial measure. The Company defines "free cash flow", as cash provided by operating activities less capital expenditures (which is classified as an investing activity). The Company additionally uses the terms: “Segment and Total Company Income (Loss) from Operations (GAAP) to Income (Loss) from Operations before Special Items (non-GAAP)”, “Net Income (Loss) (GAAP) and Diluted EPS (GAAP) to Net Income Excluding Special Items (non-GAAP) and Diluted EPS Excluding Special Items (non-GAAP)” which reconciles the non-GAAP amounts to the GAAP financial measure. The non-GAAP financial performance measure "Income (loss) from operations before special items” is used for each of our three operating segments, the Corporate segment and the "Total Company". Income (Loss) from operations before Special Items excludes: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such as environmental expense and legal settlement and insurance recoveries. These adjustments have been excluded from the GAAP measure because these expenses and credits are not related to our or any individual segment's core business operations. The acquisition related costs and special items can be a net expense or credit in any given period. This press release also includes the term "net debt", a non-GAAP financial measure which the Company defines as the sum of the current and long-term portions of long-term debt, less cash and cash equivalents. Reconciliations of these non-GAAP financial measures to the most directly comparable GAAP measures are also set forth in tables attached to this press release. Each of these non-GAAP financial measures has material limitations as a performance or liquidity measure and should not be considered alternatives to Net Income (Loss) or any other measures derived in accordance with GAAP. Because Income (loss) from operations before special items and other non-GAAP financial measures used in this press release may not be calculated in the same manner by all companies, these measures may not be comparable to other similarly titled measures used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Summary 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left"/>
        <w:rPr>
          <w:color w:val="000000"/>
        </w:rPr>
      </w:pPr>
      <w:r>
        <w:rPr>
          <w:color w:val="000000"/>
        </w:rPr>
        <w:t> </w:t>
      </w:r>
    </w:p>
    <w:tbl>
      <w:tblPr>
        <w:tblW w:w="6538" w:type="dxa"/>
        <w:jc w:val="left"/>
        <w:tblInd w:w="0" w:type="dxa"/>
        <w:tblLayout w:type="fixed"/>
        <w:tblCellMar>
          <w:top w:w="28" w:type="dxa"/>
          <w:left w:w="28" w:type="dxa"/>
          <w:bottom w:w="28" w:type="dxa"/>
          <w:right w:w="28" w:type="dxa"/>
        </w:tblCellMar>
      </w:tblPr>
      <w:tblGrid>
        <w:gridCol w:w="1154"/>
        <w:gridCol w:w="1016"/>
        <w:gridCol w:w="1024"/>
        <w:gridCol w:w="109"/>
        <w:gridCol w:w="109"/>
        <w:gridCol w:w="109"/>
        <w:gridCol w:w="211"/>
        <w:gridCol w:w="826"/>
        <w:gridCol w:w="109"/>
        <w:gridCol w:w="109"/>
        <w:gridCol w:w="109"/>
        <w:gridCol w:w="109"/>
        <w:gridCol w:w="273"/>
        <w:gridCol w:w="1072"/>
        <w:gridCol w:w="199"/>
      </w:tblGrid>
      <w:tr>
        <w:trPr/>
        <w:tc>
          <w:tcPr>
            <w:tcW w:w="1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578,781 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578,781 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09"/>
        <w:gridCol w:w="1294"/>
        <w:gridCol w:w="12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6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engineering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provision (benefit) for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 net of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Mistras Group,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Operating Data by Segment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7949" w:type="dxa"/>
        <w:jc w:val="center"/>
        <w:tblInd w:w="0" w:type="dxa"/>
        <w:tblLayout w:type="fixed"/>
        <w:tblCellMar>
          <w:top w:w="28" w:type="dxa"/>
          <w:left w:w="28" w:type="dxa"/>
          <w:bottom w:w="28" w:type="dxa"/>
          <w:right w:w="28" w:type="dxa"/>
        </w:tblCellMar>
      </w:tblPr>
      <w:tblGrid>
        <w:gridCol w:w="846"/>
        <w:gridCol w:w="746"/>
        <w:gridCol w:w="7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Systems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7635" w:type="dxa"/>
        <w:jc w:val="left"/>
        <w:tblInd w:w="0" w:type="dxa"/>
        <w:tblLayout w:type="fixed"/>
        <w:tblCellMar>
          <w:top w:w="28" w:type="dxa"/>
          <w:left w:w="28" w:type="dxa"/>
          <w:bottom w:w="28" w:type="dxa"/>
          <w:right w:w="28" w:type="dxa"/>
        </w:tblCellMar>
      </w:tblPr>
      <w:tblGrid>
        <w:gridCol w:w="848"/>
        <w:gridCol w:w="744"/>
        <w:gridCol w:w="74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70,549</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Systems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eliminations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Revenues by Category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by industry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0"/>
        <w:gridCol w:w="916"/>
        <w:gridCol w:w="924"/>
        <w:gridCol w:w="219"/>
        <w:gridCol w:w="859"/>
        <w:gridCol w:w="113"/>
        <w:gridCol w:w="109"/>
        <w:gridCol w:w="109"/>
        <w:gridCol w:w="109"/>
        <w:gridCol w:w="216"/>
        <w:gridCol w:w="738"/>
        <w:gridCol w:w="112"/>
        <w:gridCol w:w="109"/>
        <w:gridCol w:w="109"/>
        <w:gridCol w:w="109"/>
        <w:gridCol w:w="327"/>
        <w:gridCol w:w="957"/>
        <w:gridCol w:w="169"/>
        <w:gridCol w:w="109"/>
        <w:gridCol w:w="109"/>
        <w:gridCol w:w="109"/>
        <w:gridCol w:w="211"/>
        <w:gridCol w:w="682"/>
        <w:gridCol w:w="109"/>
        <w:gridCol w:w="109"/>
        <w:gridCol w:w="109"/>
        <w:gridCol w:w="109"/>
        <w:gridCol w:w="211"/>
        <w:gridCol w:w="826"/>
        <w:gridCol w:w="158"/>
      </w:tblGrid>
      <w:tr>
        <w:trPr/>
        <w:tc>
          <w:tcPr>
            <w:tcW w:w="11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94,348 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Industrials </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0"/>
        <w:gridCol w:w="916"/>
        <w:gridCol w:w="924"/>
        <w:gridCol w:w="219"/>
        <w:gridCol w:w="859"/>
        <w:gridCol w:w="113"/>
        <w:gridCol w:w="109"/>
        <w:gridCol w:w="109"/>
        <w:gridCol w:w="109"/>
        <w:gridCol w:w="216"/>
        <w:gridCol w:w="738"/>
        <w:gridCol w:w="112"/>
        <w:gridCol w:w="109"/>
        <w:gridCol w:w="109"/>
        <w:gridCol w:w="109"/>
        <w:gridCol w:w="327"/>
        <w:gridCol w:w="957"/>
        <w:gridCol w:w="169"/>
        <w:gridCol w:w="109"/>
        <w:gridCol w:w="109"/>
        <w:gridCol w:w="109"/>
        <w:gridCol w:w="211"/>
        <w:gridCol w:w="682"/>
        <w:gridCol w:w="109"/>
        <w:gridCol w:w="109"/>
        <w:gridCol w:w="109"/>
        <w:gridCol w:w="109"/>
        <w:gridCol w:w="211"/>
        <w:gridCol w:w="826"/>
        <w:gridCol w:w="158"/>
      </w:tblGrid>
      <w:tr>
        <w:trPr/>
        <w:tc>
          <w:tcPr>
            <w:tcW w:w="11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Industrials </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8"/>
        <w:gridCol w:w="896"/>
        <w:gridCol w:w="890"/>
        <w:gridCol w:w="219"/>
        <w:gridCol w:w="857"/>
        <w:gridCol w:w="113"/>
        <w:gridCol w:w="109"/>
        <w:gridCol w:w="109"/>
        <w:gridCol w:w="109"/>
        <w:gridCol w:w="216"/>
        <w:gridCol w:w="738"/>
        <w:gridCol w:w="112"/>
        <w:gridCol w:w="109"/>
        <w:gridCol w:w="109"/>
        <w:gridCol w:w="109"/>
        <w:gridCol w:w="322"/>
        <w:gridCol w:w="941"/>
        <w:gridCol w:w="166"/>
        <w:gridCol w:w="109"/>
        <w:gridCol w:w="109"/>
        <w:gridCol w:w="109"/>
        <w:gridCol w:w="211"/>
        <w:gridCol w:w="784"/>
        <w:gridCol w:w="109"/>
        <w:gridCol w:w="109"/>
        <w:gridCol w:w="109"/>
        <w:gridCol w:w="109"/>
        <w:gridCol w:w="211"/>
        <w:gridCol w:w="826"/>
        <w:gridCol w:w="158"/>
      </w:tblGrid>
      <w:tr>
        <w:trPr/>
        <w:tc>
          <w:tcPr>
            <w:tcW w:w="11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291,950 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0"/>
        <w:gridCol w:w="927"/>
        <w:gridCol w:w="924"/>
        <w:gridCol w:w="219"/>
        <w:gridCol w:w="859"/>
        <w:gridCol w:w="113"/>
        <w:gridCol w:w="109"/>
        <w:gridCol w:w="109"/>
        <w:gridCol w:w="109"/>
        <w:gridCol w:w="216"/>
        <w:gridCol w:w="738"/>
        <w:gridCol w:w="112"/>
        <w:gridCol w:w="109"/>
        <w:gridCol w:w="109"/>
        <w:gridCol w:w="109"/>
        <w:gridCol w:w="327"/>
        <w:gridCol w:w="957"/>
        <w:gridCol w:w="169"/>
        <w:gridCol w:w="109"/>
        <w:gridCol w:w="109"/>
        <w:gridCol w:w="109"/>
        <w:gridCol w:w="211"/>
        <w:gridCol w:w="682"/>
        <w:gridCol w:w="109"/>
        <w:gridCol w:w="109"/>
        <w:gridCol w:w="109"/>
        <w:gridCol w:w="109"/>
        <w:gridCol w:w="211"/>
        <w:gridCol w:w="826"/>
        <w:gridCol w:w="157"/>
      </w:tblGrid>
      <w:tr>
        <w:trPr/>
        <w:tc>
          <w:tcPr>
            <w:tcW w:w="114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178,365 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 by type was as follows:</w:t>
      </w:r>
    </w:p>
    <w:tbl>
      <w:tblPr>
        <w:tblW w:w="7844" w:type="dxa"/>
        <w:jc w:val="left"/>
        <w:tblInd w:w="0" w:type="dxa"/>
        <w:tblLayout w:type="fixed"/>
        <w:tblCellMar>
          <w:top w:w="28" w:type="dxa"/>
          <w:left w:w="28" w:type="dxa"/>
          <w:bottom w:w="28" w:type="dxa"/>
          <w:right w:w="28" w:type="dxa"/>
        </w:tblCellMar>
      </w:tblPr>
      <w:tblGrid>
        <w:gridCol w:w="807"/>
        <w:gridCol w:w="712"/>
        <w:gridCol w:w="7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Revenue by type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Field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In-Laboratory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Segment and Total Company Income (Loss) from Operations (GAAP)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Income (Loss) from Operations before Special Items (non-GAAP)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155" w:type="dxa"/>
        <w:jc w:val="center"/>
        <w:tblInd w:w="0" w:type="dxa"/>
        <w:tblLayout w:type="fixed"/>
        <w:tblCellMar>
          <w:top w:w="28" w:type="dxa"/>
          <w:left w:w="28" w:type="dxa"/>
          <w:bottom w:w="28" w:type="dxa"/>
          <w:right w:w="28" w:type="dxa"/>
        </w:tblCellMar>
      </w:tblPr>
      <w:tblGrid>
        <w:gridCol w:w="1717"/>
        <w:gridCol w:w="1505"/>
        <w:gridCol w:w="1518"/>
        <w:gridCol w:w="211"/>
        <w:gridCol w:w="72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931" w:type="dxa"/>
            <w:gridSpan w:val="12"/>
            <w:tcBorders/>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Products and Systems: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and Eliminations: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special items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Summary Cash Flow Information</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759" w:type="dxa"/>
        <w:jc w:val="center"/>
        <w:tblInd w:w="0" w:type="dxa"/>
        <w:tblLayout w:type="fixed"/>
        <w:tblCellMar>
          <w:top w:w="28" w:type="dxa"/>
          <w:left w:w="28" w:type="dxa"/>
          <w:bottom w:w="28" w:type="dxa"/>
          <w:right w:w="28" w:type="dxa"/>
        </w:tblCellMar>
      </w:tblPr>
      <w:tblGrid>
        <w:gridCol w:w="1314"/>
        <w:gridCol w:w="1153"/>
        <w:gridCol w:w="1162"/>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69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Net Cash Provided by (used in) Operating Activities (GAAP) to Free Cash Flow (non-GAAP)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760"/>
        <w:gridCol w:w="1547"/>
        <w:gridCol w:w="1557"/>
        <w:gridCol w:w="211"/>
        <w:gridCol w:w="721"/>
        <w:gridCol w:w="109"/>
        <w:gridCol w:w="109"/>
        <w:gridCol w:w="109"/>
        <w:gridCol w:w="109"/>
        <w:gridCol w:w="211"/>
        <w:gridCol w:w="795"/>
        <w:gridCol w:w="109"/>
        <w:gridCol w:w="109"/>
        <w:gridCol w:w="109"/>
        <w:gridCol w:w="109"/>
        <w:gridCol w:w="211"/>
        <w:gridCol w:w="721"/>
        <w:gridCol w:w="109"/>
        <w:gridCol w:w="109"/>
        <w:gridCol w:w="109"/>
        <w:gridCol w:w="109"/>
        <w:gridCol w:w="211"/>
        <w:gridCol w:w="795"/>
        <w:gridCol w:w="157"/>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Purchases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Free cash flow (non-GAAP)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Gross Debt (GAAP) to Net Debt (non-GAAP)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6538" w:type="dxa"/>
        <w:jc w:val="center"/>
        <w:tblInd w:w="0" w:type="dxa"/>
        <w:tblLayout w:type="fixed"/>
        <w:tblCellMar>
          <w:top w:w="28" w:type="dxa"/>
          <w:left w:w="28" w:type="dxa"/>
          <w:bottom w:w="28" w:type="dxa"/>
          <w:right w:w="28" w:type="dxa"/>
        </w:tblCellMar>
      </w:tblPr>
      <w:tblGrid>
        <w:gridCol w:w="1158"/>
        <w:gridCol w:w="1014"/>
        <w:gridCol w:w="1022"/>
        <w:gridCol w:w="109"/>
        <w:gridCol w:w="109"/>
        <w:gridCol w:w="109"/>
        <w:gridCol w:w="211"/>
        <w:gridCol w:w="826"/>
        <w:gridCol w:w="109"/>
        <w:gridCol w:w="109"/>
        <w:gridCol w:w="109"/>
        <w:gridCol w:w="109"/>
        <w:gridCol w:w="273"/>
        <w:gridCol w:w="1072"/>
        <w:gridCol w:w="199"/>
      </w:tblGrid>
      <w:tr>
        <w:trPr/>
        <w:tc>
          <w:tcPr>
            <w:tcW w:w="11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149,984 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Net Income (GAAP) to Adjusted EBITDA (non-GAAP)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566"/>
        <w:gridCol w:w="1221"/>
        <w:gridCol w:w="1158"/>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56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Mistras Group,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Reorganization and other related costs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loss (gain)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Adjusted EBITDA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36,139 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(non-GAAP)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months ended June 30, 2025, the Company recognized share-based compensation expense within Reorganization and other costs of $0.5 million. For the six months ended June 30, 2025, the Company recognized share-based compensation expense within Reorganization and other costs of $1.5 million. No share-based compensation expense was recognized within Reorganization and other costs related to RSU awards for the three or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center"/>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Net Income (loss) (GAAP) and Diluted EPS (GAAP)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Income Excluding Special Items (non-GAAP) and Diluted EPS Excluding Special Items (non-GAAP)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in thousands, except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57"/>
        <w:gridCol w:w="1543"/>
        <w:gridCol w:w="1552"/>
        <w:gridCol w:w="214"/>
        <w:gridCol w:w="627"/>
        <w:gridCol w:w="110"/>
        <w:gridCol w:w="110"/>
        <w:gridCol w:w="110"/>
        <w:gridCol w:w="110"/>
        <w:gridCol w:w="214"/>
        <w:gridCol w:w="627"/>
        <w:gridCol w:w="110"/>
        <w:gridCol w:w="109"/>
        <w:gridCol w:w="109"/>
        <w:gridCol w:w="109"/>
        <w:gridCol w:w="211"/>
        <w:gridCol w:w="721"/>
        <w:gridCol w:w="109"/>
        <w:gridCol w:w="109"/>
        <w:gridCol w:w="109"/>
        <w:gridCol w:w="109"/>
        <w:gridCol w:w="211"/>
        <w:gridCol w:w="616"/>
        <w:gridCol w:w="109"/>
        <w:gridCol w:w="109"/>
        <w:gridCol w:w="109"/>
        <w:gridCol w:w="109"/>
        <w:gridCol w:w="163"/>
      </w:tblGrid>
      <w:tr>
        <w:trPr/>
        <w:tc>
          <w:tcPr>
            <w:tcW w:w="175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Mistras Group, Inc. (GAAP)</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items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on special items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items, net of tax</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Mistras Group, Inc. Excluding Special Items (non-GAAP)</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EPS (GAAP)</w:t>
            </w:r>
            <w:r>
              <w:rPr>
                <w:rFonts w:ascii="Times New Roman;serif" w:hAnsi="Times New Roman;serif"/>
                <w:b w:val="false"/>
                <w:color w:val="000000"/>
                <w:sz w:val="13"/>
              </w:rPr>
              <w:t>(1)</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items, net of tax</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 Excluding Special Items (non-GAAP)</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For the three months ended June 30, 2025, 375,000 shares, related to stock options and 877,000 shares, related to restricted stock units were anti-dilutive and therefore were excluded from the calculation of diluted earnings per share. For the six months ended June 30, 2026, 6,000 shares related to RSUs were anti-dilutive and therefore were excluded from the calculation of diluted earnings per share. For the six months ended June 30, 2025, 106,000 shares, related to stock options and 867,000 shares, related to restricted stock units were excluded from the calculation of diluted earnings per share due to the net loss for the period.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5207</Words>
  <Characters>29078</Characters>
  <CharactersWithSpaces>33780</CharactersWithSpaces>
  <Paragraphs>1156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