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-82550</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00"/>
        </w:trPr>
        <w:tc>
          <w:tcPr>
            <w:tcW w:w="5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0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gridSpan w:val="3"/>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980" w:type="dxa"/>
            <w:vAlign w:val="bottom"/>
            <w:gridSpan w:val="5"/>
          </w:tcPr>
          <w:p>
            <w:pPr>
              <w:jc w:val="center"/>
              <w:ind w:right="30"/>
              <w:spacing w:after="0" w:line="189"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820" w:type="dxa"/>
            <w:vAlign w:val="bottom"/>
            <w:gridSpan w:val="5"/>
          </w:tcPr>
          <w:p>
            <w:pPr>
              <w:jc w:val="center"/>
              <w:ind w:right="3220"/>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820" w:type="dxa"/>
            <w:vAlign w:val="bottom"/>
            <w:gridSpan w:val="5"/>
          </w:tcPr>
          <w:p>
            <w:pPr>
              <w:jc w:val="center"/>
              <w:ind w:right="322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c>
          <w:tcPr>
            <w:tcW w:w="0" w:type="dxa"/>
            <w:vAlign w:val="bottom"/>
          </w:tcPr>
          <w:p>
            <w:pPr>
              <w:spacing w:after="0"/>
              <w:rPr>
                <w:sz w:val="1"/>
                <w:szCs w:val="1"/>
                <w:color w:val="auto"/>
              </w:rPr>
            </w:pPr>
          </w:p>
        </w:tc>
      </w:tr>
      <w:tr>
        <w:trPr>
          <w:trHeight w:val="493"/>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298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3600" w:type="dxa"/>
            <w:vAlign w:val="bottom"/>
            <w:gridSpan w:val="3"/>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08550</w:t>
            </w: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i w:val="1"/>
                <w:iCs w:val="1"/>
                <w:color w:val="auto"/>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0" w:type="dxa"/>
            <w:vAlign w:val="bottom"/>
          </w:tcPr>
          <w:p>
            <w:pPr>
              <w:spacing w:after="0"/>
              <w:rPr>
                <w:sz w:val="1"/>
                <w:szCs w:val="1"/>
                <w:color w:val="auto"/>
              </w:rPr>
            </w:pPr>
          </w:p>
        </w:tc>
      </w:tr>
      <w:tr>
        <w:trPr>
          <w:trHeight w:val="228"/>
        </w:trPr>
        <w:tc>
          <w:tcPr>
            <w:tcW w:w="34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1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line="189" w:lineRule="exact"/>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51"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0"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30, 2024, the registrant had 30,977,420 shares of common stock outstanding.</w:t>
      </w:r>
    </w:p>
    <w:p>
      <w:pPr>
        <w:sectPr>
          <w:pgSz w:w="11900" w:h="16838" w:orient="portrait"/>
          <w:cols w:equalWidth="0" w:num="1">
            <w:col w:w="11240"/>
          </w:cols>
          <w:pgMar w:left="320" w:top="225"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830580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5"/>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2"/>
            <w:vMerge w:val="continue"/>
          </w:tcPr>
          <w:p>
            <w:pPr>
              <w:spacing w:after="0"/>
              <w:rPr>
                <w:sz w:val="14"/>
                <w:szCs w:val="14"/>
                <w:color w:val="auto"/>
              </w:rPr>
            </w:pPr>
          </w:p>
        </w:tc>
        <w:tc>
          <w:tcPr>
            <w:tcW w:w="7520" w:type="dxa"/>
            <w:vAlign w:val="bottom"/>
            <w:gridSpan w:val="15"/>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Condensed Consolidated Balance Sheets as of June 30, 2024 (unaudited) and December 31, 2023</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(Loss) for the three and six months ended June 30, 2024 and</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20" w:type="dxa"/>
            <w:vAlign w:val="bottom"/>
            <w:tcBorders>
              <w:top w:val="single" w:sz="8" w:color="0E32E1"/>
            </w:tcBorders>
            <w:gridSpan w:val="14"/>
          </w:tcPr>
          <w:p>
            <w:pPr>
              <w:spacing w:after="0" w:line="142" w:lineRule="exact"/>
              <w:rPr>
                <w:sz w:val="20"/>
                <w:szCs w:val="20"/>
                <w:color w:val="auto"/>
              </w:rPr>
            </w:pPr>
            <w:r>
              <w:rPr>
                <w:rFonts w:ascii="Times New Roman" w:cs="Times New Roman" w:eastAsia="Times New Roman" w:hAnsi="Times New Roman"/>
                <w:sz w:val="16"/>
                <w:szCs w:val="16"/>
                <w:color w:val="0E32E1"/>
              </w:rPr>
              <w:t>June 30, 2023</w:t>
            </w:r>
          </w:p>
        </w:tc>
        <w:tc>
          <w:tcPr>
            <w:tcW w:w="60" w:type="dxa"/>
            <w:vAlign w:val="bottom"/>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640" w:type="dxa"/>
            <w:vAlign w:val="bottom"/>
            <w:tcBorders>
              <w:top w:val="single" w:sz="8" w:color="0E32E1"/>
            </w:tcBorders>
            <w:gridSpan w:val="2"/>
          </w:tcPr>
          <w:p>
            <w:pPr>
              <w:spacing w:after="0"/>
              <w:rPr>
                <w:sz w:val="13"/>
                <w:szCs w:val="13"/>
                <w:color w:val="auto"/>
              </w:rPr>
            </w:pPr>
          </w:p>
        </w:tc>
        <w:tc>
          <w:tcPr>
            <w:tcW w:w="1500" w:type="dxa"/>
            <w:vAlign w:val="bottom"/>
            <w:tcBorders>
              <w:top w:val="single" w:sz="8" w:color="0E32E1"/>
            </w:tcBorders>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(Loss) for the three and six months ended June</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780" w:type="dxa"/>
            <w:vAlign w:val="bottom"/>
            <w:tcBorders>
              <w:top w:val="single" w:sz="8" w:color="0E32E1"/>
            </w:tcBorders>
            <w:gridSpan w:val="21"/>
          </w:tcPr>
          <w:p>
            <w:pPr>
              <w:spacing w:after="0" w:line="142" w:lineRule="exact"/>
              <w:rPr>
                <w:sz w:val="20"/>
                <w:szCs w:val="20"/>
                <w:color w:val="auto"/>
              </w:rPr>
            </w:pPr>
            <w:r>
              <w:rPr>
                <w:rFonts w:ascii="Times New Roman" w:cs="Times New Roman" w:eastAsia="Times New Roman" w:hAnsi="Times New Roman"/>
                <w:sz w:val="16"/>
                <w:szCs w:val="16"/>
                <w:color w:val="0E32E1"/>
              </w:rPr>
              <w:t>30, 2024 and June 30, 2023</w:t>
            </w: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Equity for the three and six months ended June 30, 2024 and June 30,</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42" w:lineRule="exact"/>
              <w:rPr>
                <w:sz w:val="20"/>
                <w:szCs w:val="20"/>
                <w:color w:val="auto"/>
              </w:rPr>
            </w:pPr>
            <w:r>
              <w:rPr>
                <w:rFonts w:ascii="Times New Roman" w:cs="Times New Roman" w:eastAsia="Times New Roman" w:hAnsi="Times New Roman"/>
                <w:sz w:val="16"/>
                <w:szCs w:val="16"/>
                <w:color w:val="0E32E1"/>
              </w:rPr>
              <w:t>2023</w:t>
            </w:r>
          </w:p>
        </w:tc>
        <w:tc>
          <w:tcPr>
            <w:tcW w:w="240" w:type="dxa"/>
            <w:vAlign w:val="bottom"/>
            <w:tcBorders>
              <w:top w:val="single" w:sz="8" w:color="0E32E1"/>
            </w:tcBorders>
          </w:tcPr>
          <w:p>
            <w:pPr>
              <w:spacing w:after="0"/>
              <w:rPr>
                <w:sz w:val="13"/>
                <w:szCs w:val="13"/>
                <w:color w:val="auto"/>
              </w:rPr>
            </w:pPr>
          </w:p>
        </w:tc>
        <w:tc>
          <w:tcPr>
            <w:tcW w:w="30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220" w:type="dxa"/>
            <w:vAlign w:val="bottom"/>
            <w:tcBorders>
              <w:top w:val="single" w:sz="8" w:color="0E32E1"/>
            </w:tcBorders>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8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54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1500" w:type="dxa"/>
            <w:vAlign w:val="bottom"/>
            <w:tcBorders>
              <w:top w:val="single" w:sz="8" w:color="0E32E1"/>
            </w:tcBorders>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E32E1"/>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6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six months ended June 30, 2024 and June 30, 2023</w:t>
            </w:r>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50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60" w:type="dxa"/>
            <w:vAlign w:val="bottom"/>
            <w:gridSpan w:val="2"/>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25</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800" w:type="dxa"/>
            <w:vAlign w:val="bottom"/>
            <w:gridSpan w:val="6"/>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7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4"/>
                <w:szCs w:val="24"/>
                <w:color w:val="auto"/>
              </w:rPr>
            </w:pPr>
          </w:p>
        </w:tc>
        <w:tc>
          <w:tcPr>
            <w:tcW w:w="714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4"/>
          </w:tcPr>
          <w:p>
            <w:pPr>
              <w:spacing w:after="0"/>
              <w:rPr>
                <w:sz w:val="24"/>
                <w:szCs w:val="24"/>
                <w:color w:val="auto"/>
              </w:rPr>
            </w:pPr>
          </w:p>
        </w:tc>
        <w:tc>
          <w:tcPr>
            <w:tcW w:w="758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180,356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181,499</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30,977,420 and 30,597,633 shares issued</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190,503</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548,147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67"/>
        </w:trPr>
        <w:tc>
          <w:tcPr>
            <w:tcW w:w="4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344,046</w:t>
            </w: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236,493</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95,799</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84,305</w:t>
            </w:r>
          </w:p>
        </w:tc>
      </w:tr>
      <w:tr>
        <w:trPr>
          <w:trHeight w:val="23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5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r>
      <w:tr>
        <w:trPr>
          <w:trHeight w:val="229"/>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r>
      <w:tr>
        <w:trPr>
          <w:trHeight w:val="175"/>
        </w:trPr>
        <w:tc>
          <w:tcPr>
            <w:tcW w:w="4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net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of taxes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w:t>
            </w:r>
          </w:p>
        </w:tc>
      </w:tr>
      <w:tr>
        <w:trPr>
          <w:trHeight w:val="234"/>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30,214</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7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0" w:type="dxa"/>
            <w:vAlign w:val="bottom"/>
          </w:tcPr>
          <w:p>
            <w:pPr>
              <w:spacing w:after="0"/>
              <w:rPr>
                <w:sz w:val="1"/>
                <w:szCs w:val="1"/>
                <w:color w:val="auto"/>
              </w:rPr>
            </w:pPr>
          </w:p>
        </w:tc>
      </w:tr>
      <w:tr>
        <w:trPr>
          <w:trHeight w:val="230"/>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23"/>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56"/>
        </w:trPr>
        <w:tc>
          <w:tcPr>
            <w:tcW w:w="456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Comprehensive Income (loss) attributable to Mistras Group,</w:t>
            </w:r>
          </w:p>
        </w:tc>
        <w:tc>
          <w:tcPr>
            <w:tcW w:w="980" w:type="dxa"/>
            <w:vAlign w:val="bottom"/>
            <w:vMerge w:val="restart"/>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Pr>
          <w:p>
            <w:pPr>
              <w:spacing w:after="0"/>
              <w:rPr>
                <w:sz w:val="13"/>
                <w:szCs w:val="13"/>
                <w:color w:val="auto"/>
              </w:rPr>
            </w:pPr>
          </w:p>
        </w:tc>
        <w:tc>
          <w:tcPr>
            <w:tcW w:w="1020" w:type="dxa"/>
            <w:vAlign w:val="bottom"/>
            <w:vMerge w:val="restart"/>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1"/>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9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60" w:type="dxa"/>
        <w:tblCellMar>
          <w:top w:w="0" w:type="dxa"/>
          <w:left w:w="0" w:type="dxa"/>
          <w:bottom w:w="0" w:type="dxa"/>
          <w:right w:w="0" w:type="dxa"/>
        </w:tblCellMar>
      </w:tblPr>
      <w:tr>
        <w:trPr>
          <w:trHeight w:val="176"/>
        </w:trPr>
        <w:tc>
          <w:tcPr>
            <w:tcW w:w="21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86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Mistras Group,</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line="20" w:lineRule="exact"/>
              <w:rPr>
                <w:sz w:val="1"/>
                <w:szCs w:val="1"/>
                <w:color w:val="auto"/>
              </w:rPr>
            </w:pPr>
          </w:p>
        </w:tc>
      </w:tr>
      <w:tr>
        <w:trPr>
          <w:trHeight w:val="171"/>
        </w:trPr>
        <w:tc>
          <w:tcPr>
            <w:tcW w:w="2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Stockholders’ 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30,911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247,329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187,145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187,465</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6,369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6,373</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1,536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1,536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1,536</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30,977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248,524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(34,181)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193,150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193,474</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30,230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244,131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(16,475)</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195,841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196,148</w:t>
            </w: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376</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3,082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3,082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3,082</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payments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1,091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1,091</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30,302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245,058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200,187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200,533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20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88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4"/>
                <w:szCs w:val="4"/>
                <w:color w:val="auto"/>
              </w:rPr>
            </w:pPr>
          </w:p>
        </w:tc>
        <w:tc>
          <w:tcPr>
            <w:tcW w:w="82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line="20" w:lineRule="exact"/>
              <w:rPr>
                <w:sz w:val="1"/>
                <w:szCs w:val="1"/>
                <w:color w:val="auto"/>
              </w:rPr>
            </w:pPr>
          </w:p>
        </w:tc>
      </w:tr>
      <w:tr>
        <w:trPr>
          <w:trHeight w:val="171"/>
        </w:trPr>
        <w:tc>
          <w:tcPr>
            <w:tcW w:w="20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1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190,192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190,503</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7,377</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2,764</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30,977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248,524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(34,181)</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193,150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193,474</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29,895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198,450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198,749</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(4,602)</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w w:val="97"/>
              </w:rPr>
              <w:t>Other comprehensive income, net of tax</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4,355</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2,968</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0" w:type="dxa"/>
            <w:vAlign w:val="bottom"/>
          </w:tcPr>
          <w:p>
            <w:pPr>
              <w:spacing w:after="0"/>
              <w:rPr>
                <w:sz w:val="1"/>
                <w:szCs w:val="1"/>
                <w:color w:val="auto"/>
              </w:rPr>
            </w:pPr>
          </w:p>
        </w:tc>
      </w:tr>
      <w:tr>
        <w:trPr>
          <w:trHeight w:val="200"/>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245,058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200,187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200,533</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0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7,377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(4,602)</w:t>
            </w: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16,670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16,722</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3,441</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2,968</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provision for doubtful accounts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875</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(19,103)</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5,856</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(7,420)</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4,261</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8,537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1,202</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r>
      <w:tr>
        <w:trPr>
          <w:trHeight w:val="196"/>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contingent consideration liability in excess of acquisition-date fair value</w:t>
            </w:r>
          </w:p>
        </w:tc>
        <w:tc>
          <w:tcPr>
            <w:tcW w:w="10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r>
      <w:tr>
        <w:trPr>
          <w:trHeight w:val="203"/>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5,115</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18,321</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(9,801)</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812</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(9,811)</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33,500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46,194</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(50,100)</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5,261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(11,187)</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r>
      <w:tr>
        <w:trPr>
          <w:trHeight w:val="196"/>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17,646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20,488</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17,177</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17,999</w:t>
            </w:r>
          </w:p>
        </w:tc>
      </w:tr>
      <w:tr>
        <w:trPr>
          <w:trHeight w:val="17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8,349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8,899</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3,429</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88"/>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2,099</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5,764</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10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Russian-Ukrainian war and the conflict in the Middle East between Israel and Hamas continues to create disruptions in the oil and gas market and the supply chain in general, which is resulting in some disruption to our business operations. The Company's European operations are currently experiencing increased costs associated with higher energy costs, among others, due in part to the Russian-Ukrainian 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1070610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 will continue to monitor market conditions and respond accordingly.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statement of the results for the interim periods of the years ending December 31, 2024 and December 31, 2023.</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2023 Annual Report on Form 10-K ("2023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2023 Annual Report. On an ongoing basis, the Company evaluates its estimates and assumptions, including among other things, those related to revenue recognition, long-lived assets, goodwill and acquisitions. Since the date of the 2023 Annual Report, there have been no material changes to the Company’s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management concluded that it is more likely than not that a substantial portion of the Company’s deferred tax assets will be realized.</w:t>
      </w:r>
    </w:p>
    <w:p>
      <w:pPr>
        <w:spacing w:after="0" w:line="239" w:lineRule="exact"/>
        <w:rPr>
          <w:sz w:val="20"/>
          <w:szCs w:val="20"/>
          <w:color w:val="auto"/>
        </w:rPr>
      </w:pPr>
    </w:p>
    <w:p>
      <w:pPr>
        <w:jc w:val="both"/>
        <w:ind w:right="140"/>
        <w:spacing w:after="0" w:line="242"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1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15.5% and (974.3)% for the three months ended June 30, 2024 and 2023, respectively. The Company’s effective income tax rate was approximately 14.9% and 21.5% for the six months ended June 30, 2024 and 2023, respectively.</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2024 was lower than the statutory rate primarily due to the impact of a reversal of a valuation allowance which was a favorable discrete item in the period. The effective income tax rate for the six months ended June 30, 2023 was higher than the statutory rate due primarily to a $0.7 million valuation allowance recorded during the period related to a foreign jurisdiction.</w:t>
      </w:r>
    </w:p>
    <w:p>
      <w:pPr>
        <w:spacing w:after="0" w:line="2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2024 was lower than the statutory rate primarily due to the reversal of valuation allowances. The effective income tax rate for the six months ended June 30, 2023 was lower than the statutory rate due primarily to an unfavorable discrete item related to stock compensation.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to expand the disclosures about a public entity's reportable segments and address requests from investors for additional, more detailed information about a reportable segment's expenses. The new standard is effective for fiscal years beginning after December 15, 2023, and interim periods within fiscal years beginning after December 15, 2024. We are currently evaluating the impact of ASU 2023-07 on our financial statements.</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We are currently evaluating the impact of ASU 2023-09 on our financial statements.</w:t>
      </w:r>
    </w:p>
    <w:p>
      <w:pPr>
        <w:spacing w:after="0" w:line="200" w:lineRule="exact"/>
        <w:rPr>
          <w:sz w:val="20"/>
          <w:szCs w:val="20"/>
          <w:color w:val="auto"/>
        </w:rPr>
      </w:pPr>
    </w:p>
    <w:p>
      <w:pPr>
        <w:spacing w:after="0" w:line="2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7"/>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0"/>
        </w:trPr>
        <w:tc>
          <w:tcPr>
            <w:tcW w:w="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204,789</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w:t>
            </w:r>
          </w:p>
        </w:tc>
      </w:tr>
      <w:tr>
        <w:trPr>
          <w:trHeight w:val="23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33,650</w:t>
            </w: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3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176,030</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7"/>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344,046</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5"/>
        </w:trPr>
        <w:tc>
          <w:tcPr>
            <w:tcW w:w="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recognized during the six months ended June 30, 2024 and 2023 that was included in the contract liability balance at the beginning of such year was $4.8 million and $4.6 million, respectively, for each period.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the 2016 Plan, including an increase to the total number of shares that may be issued under the 2016 Plan by 1.3 million, for a total of 6.2 million shares that are authorized for issuance under the 2016 Plan, of which approximately 1,600,000 shares were available for future grants as of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11, 2023, Mr. Stamatakis was granted an award of stock options to purchase 250,000 shares of common stock of the Company, with an exercise price of $5.36, the closing price of the Company's common stock as quoted on the New York Stock Exchange on the grant date (the "Options"). The Options were granted as an inducement for Mr. Stamatakis to accept the position of Interim President and CEO of the Company and were therefore granted outside the 2016 Plan, as permitted by the rules of the NYSE. The Options can be exercised any time after the grant date until its expiration date, which is the earlier of 10 years from the grant date or one year following the date Mr. Stamatakis is no longer serving as an officer, director or in any other capacity of the Company.</w:t>
      </w:r>
    </w:p>
    <w:p>
      <w:pPr>
        <w:spacing w:after="0" w:line="21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and options outstanding as of June 30, 2024 as follows (in thousands, except per share amounts and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1"/>
                <w:szCs w:val="11"/>
                <w:color w:val="auto"/>
              </w:rPr>
            </w:pPr>
          </w:p>
        </w:tc>
        <w:tc>
          <w:tcPr>
            <w:tcW w:w="1120" w:type="dxa"/>
            <w:vAlign w:val="bottom"/>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4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recognized all share-based compensation expense related to the stock options granted in the fourth quarter of 2023 and no further unrecognized share-based compensation expense remains as of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makes semi-annual issuances of fully-vested common stock to its non-employee directors. A summary of the fully-vested common stock the Company issued to its non-employee directors, in connection with its non-employee director compensation, is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8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and June 30, 2023, the Company recognized share-based compensation expense related to restricted stock unit awards of $1.3 million and $0.8 million, respectively. For the six months ended June 30, 2024 and 2023, the Company recognized share-based compensation expense related to restricted stock unit awards of $2.3 million and $1.8 million, respectively. As of June 30, 2024, there was $10.7 million of unrecognized compensation costs, net of estimated forfeitures, related to restricted stock unit awards, which is expected to be recognized over a remaining weighted-average period of 2.6 years. Upon vesting, restricted stock units are generally net share-settled to cover the required withholding tax and the remaining amount is converted into an equivalent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00" w:type="dxa"/>
            <w:vAlign w:val="bottom"/>
            <w:gridSpan w:val="4"/>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2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6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10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may vary between zero and 200% of the target award, based on the Company’s performance over a one-year period based on specific metrics approved by the Compensation Committee of the Board of Directors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 the Compensation Committee used the following three performance metrics for PRSUs approved in that year.</w:t>
      </w:r>
    </w:p>
    <w:p>
      <w:pPr>
        <w:spacing w:after="0" w:line="27" w:lineRule="exact"/>
        <w:rPr>
          <w:sz w:val="20"/>
          <w:szCs w:val="20"/>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2024, the Compensation Committee utilized the same metrics as 2023 PRSUs, but with revised performance goals.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in four equal annual installments over the four years following completion of the performance period, for a total requisite service period of up to five years, and have no 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4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344"/>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4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284"/>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94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20" w:type="dxa"/>
            <w:vAlign w:val="bottom"/>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Performance condition adjustments during the six months ended June 30, 2023 were attributable to the Compensation Committee's final calculation of the award metrics for calendar year 2022. As a result, the calendar year 2022 PRSUs decreased by approximately 215,000 units during the six months ended June 30, 2023.</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and June 30, 2023, the Company recognized aggregate share-based compensation expense related to the awards described above of approximately $0.3 million and $0.2 million, respectively. For the six months ended June 30, 2024 and June 30, 2023, the Company recognized aggregate share-based compensation expense related to the awards described above of approximately $0.3 million and $0.6 million, respectively. At June 30, 2024, there was $2.5 million of total unrecognized compensation costs related to approximately 355,000 non-vested PRSUs, which is expected to be recognized over a remaining weighted-average period of 2.8 years.</w:t>
      </w:r>
    </w:p>
    <w:p>
      <w:pPr>
        <w:spacing w:after="0" w:line="200" w:lineRule="exact"/>
        <w:rPr>
          <w:sz w:val="20"/>
          <w:szCs w:val="20"/>
          <w:color w:val="auto"/>
        </w:rPr>
      </w:pPr>
    </w:p>
    <w:p>
      <w:pPr>
        <w:spacing w:after="0" w:line="2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1058545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4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w:t>
            </w: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68"/>
        </w:trPr>
        <w:tc>
          <w:tcPr>
            <w:tcW w:w="48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30,214</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30,214</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8" w:lineRule="exact"/>
        <w:rPr>
          <w:sz w:val="20"/>
          <w:szCs w:val="20"/>
          <w:color w:val="auto"/>
        </w:rPr>
      </w:pPr>
    </w:p>
    <w:p>
      <w:pPr>
        <w:ind w:left="180" w:right="60" w:hanging="172"/>
        <w:spacing w:after="0" w:line="236" w:lineRule="auto"/>
        <w:tabs>
          <w:tab w:leader="none" w:pos="183"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six months ended June 30, 2023, 1,106,595 shares related to restricted stock, respectively, were excluded from the calculation of diluted EPS due to the net loss for the period.</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w:t>
      </w:r>
    </w:p>
    <w:p>
      <w:pPr>
        <w:spacing w:after="0" w:line="2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six months ended June 30,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7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8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08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included in Accrued expenses and other current liabilities and Other long-term liabilities on the Condensed Consolidated Balance Sheets.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134,495</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had $29.7 million and $18.5 million of unbilled revenue accrued as of June 30, 2024 and December 31, 2023,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78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Consumable supplies</w:t>
            </w:r>
          </w:p>
        </w:tc>
        <w:tc>
          <w:tcPr>
            <w:tcW w:w="2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940" w:type="dxa"/>
            <w:vAlign w:val="bottom"/>
          </w:tcPr>
          <w:p>
            <w:pPr>
              <w:spacing w:after="0"/>
              <w:rPr>
                <w:sz w:val="24"/>
                <w:szCs w:val="24"/>
                <w:color w:val="auto"/>
              </w:rPr>
            </w:pPr>
          </w:p>
        </w:tc>
        <w:tc>
          <w:tcPr>
            <w:tcW w:w="1360" w:type="dxa"/>
            <w:vAlign w:val="bottom"/>
            <w:gridSpan w:val="5"/>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30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80" w:type="dxa"/>
            <w:vAlign w:val="bottom"/>
            <w:gridSpan w:val="2"/>
          </w:tcPr>
          <w:p>
            <w:pPr>
              <w:jc w:val="center"/>
              <w:ind w:left="154"/>
              <w:spacing w:after="0"/>
              <w:rPr>
                <w:sz w:val="20"/>
                <w:szCs w:val="20"/>
                <w:color w:val="auto"/>
              </w:rPr>
            </w:pPr>
            <w:r>
              <w:rPr>
                <w:rFonts w:ascii="Times New Roman" w:cs="Times New Roman" w:eastAsia="Times New Roman" w:hAnsi="Times New Roman"/>
                <w:sz w:val="18"/>
                <w:szCs w:val="18"/>
                <w:color w:val="auto"/>
                <w:w w:val="99"/>
              </w:rPr>
              <w:t>30-40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780" w:type="dxa"/>
            <w:vAlign w:val="bottom"/>
            <w:gridSpan w:val="2"/>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5-8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780" w:type="dxa"/>
            <w:vAlign w:val="bottom"/>
            <w:tcBorders>
              <w:bottom w:val="single" w:sz="8" w:color="CCEEFF"/>
            </w:tcBorders>
            <w:gridSpan w:val="2"/>
          </w:tcPr>
          <w:p>
            <w:pPr>
              <w:jc w:val="center"/>
              <w:ind w:left="174"/>
              <w:spacing w:after="0"/>
              <w:rPr>
                <w:sz w:val="20"/>
                <w:szCs w:val="20"/>
                <w:color w:val="auto"/>
              </w:rPr>
            </w:pPr>
            <w:r>
              <w:rPr>
                <w:rFonts w:ascii="Times New Roman" w:cs="Times New Roman" w:eastAsia="Times New Roman" w:hAnsi="Times New Roman"/>
                <w:sz w:val="18"/>
                <w:szCs w:val="18"/>
                <w:color w:val="auto"/>
                <w:w w:val="99"/>
              </w:rPr>
              <w:t>5-7</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272,658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269,306</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319,756</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(245,267)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(238,784)</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June 30, 2024 and 2023 was approximately $6.4 million and $6.2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six months ended June 30, 2024 and 2023 was $12.8 million and $12.4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184,988</w:t>
            </w: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7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spacing w:after="0" w:line="204"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using a terminal value calculation, which incorporates historical and forecasted trends, including an estimate of long-term future growth rates, based on the Company’s most recent views of the long-term outlook for each reporting unit. The Company's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Company's internally developed forecasts and which are updated for recent events. Increased interest rates in the current period increased the discount rate associated with the reporting units which contributed to an unfavorable decrease in the reporting units value.</w:t>
      </w:r>
    </w:p>
    <w:p>
      <w:pPr>
        <w:spacing w:after="0" w:line="2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19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2023 and the Company did not identify any changes in circumstances that would indicate the carrying value of goodwill may not be recoverable. Additionally, through June 30, 2024,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ind w:right="2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128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23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June 30, 2024 and 2023 was approximately $1.9 million and $2.2 million,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six months ended June 30, 2024 and 2023 was $3.9 million and $4.3 million, respectively.</w:t>
      </w:r>
    </w:p>
    <w:p>
      <w:pPr>
        <w:spacing w:after="0" w:line="2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40" w:type="dxa"/>
            <w:vAlign w:val="bottom"/>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40" w:type="dxa"/>
            <w:vAlign w:val="bottom"/>
          </w:tcPr>
          <w:p>
            <w:pPr>
              <w:spacing w:after="0"/>
              <w:rPr>
                <w:sz w:val="19"/>
                <w:szCs w:val="19"/>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40" w:type="dxa"/>
            <w:vAlign w:val="bottom"/>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40" w:type="dxa"/>
            <w:vAlign w:val="bottom"/>
          </w:tcPr>
          <w:p>
            <w:pPr>
              <w:spacing w:after="0"/>
              <w:rPr>
                <w:sz w:val="19"/>
                <w:szCs w:val="19"/>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40" w:type="dxa"/>
            <w:vAlign w:val="bottom"/>
          </w:tcPr>
          <w:p>
            <w:pPr>
              <w:spacing w:after="0"/>
              <w:rPr>
                <w:sz w:val="19"/>
                <w:szCs w:val="19"/>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32,294</w:t>
            </w:r>
          </w:p>
        </w:tc>
        <w:tc>
          <w:tcPr>
            <w:tcW w:w="40" w:type="dxa"/>
            <w:vAlign w:val="bottom"/>
          </w:tcPr>
          <w:p>
            <w:pPr>
              <w:spacing w:after="0"/>
              <w:rPr>
                <w:sz w:val="19"/>
                <w:szCs w:val="19"/>
                <w:color w:val="auto"/>
              </w:rPr>
            </w:pP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40" w:type="dxa"/>
            <w:vAlign w:val="bottom"/>
          </w:tcPr>
          <w:p>
            <w:pPr>
              <w:spacing w:after="0"/>
              <w:rPr>
                <w:sz w:val="21"/>
                <w:szCs w:val="2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76"/>
        </w:trPr>
        <w:tc>
          <w:tcPr>
            <w:tcW w:w="8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$0.3 million and $0.4 million, respectively</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115,253</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190,399</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189,692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181,499</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August 1, 2022, the Company entered into a new credit agreement (the “Credit Agreement”) which provides the Company with a $190 million 5-year committed revolving credit facility and a $125 million term loan with a balance of $113.7 million as of June 30, 2024.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25" w:lineRule="exact"/>
        <w:rPr>
          <w:sz w:val="20"/>
          <w:szCs w:val="20"/>
          <w:color w:val="auto"/>
        </w:rPr>
      </w:pPr>
    </w:p>
    <w:p>
      <w:pPr>
        <w:ind w:left="66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 under the Prior Credit Agreement, the margin was based upon the LIBOR margin.</w:t>
      </w:r>
    </w:p>
    <w:p>
      <w:pPr>
        <w:spacing w:after="0" w:line="1" w:lineRule="exact"/>
        <w:rPr>
          <w:rFonts w:ascii="Times New Roman" w:cs="Times New Roman" w:eastAsia="Times New Roman" w:hAnsi="Times New Roman"/>
          <w:sz w:val="18"/>
          <w:szCs w:val="18"/>
          <w:color w:val="auto"/>
        </w:rPr>
      </w:pPr>
    </w:p>
    <w:p>
      <w:pPr>
        <w:ind w:left="1300" w:right="720" w:hanging="320"/>
        <w:spacing w:after="0" w:line="219"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05" w:lineRule="exact"/>
        <w:rPr>
          <w:rFonts w:ascii="Times New Roman" w:cs="Times New Roman" w:eastAsia="Times New Roman" w:hAnsi="Times New Roman"/>
          <w:sz w:val="18"/>
          <w:szCs w:val="18"/>
          <w:color w:val="auto"/>
        </w:rPr>
      </w:pPr>
    </w:p>
    <w:p>
      <w:pPr>
        <w:jc w:val="both"/>
        <w:ind w:left="660" w:right="4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197"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to maintain a Total Consolidated Debt Leverage Ratio of no more than 4.0 to 1.0 at the end of each quarter through June 30, 2023 and stepping down to a maximum permitted ratio of no more than 3.75 to 1.0 for the remainder of the term.</w:t>
      </w:r>
    </w:p>
    <w:p>
      <w:pPr>
        <w:spacing w:after="0" w:line="175"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to maintain a Fixed Charge Coverage Ratio of 1.25 to 1.0 for the duration of the Credit Agreement, as defined in the Credit Agreement.</w:t>
      </w:r>
    </w:p>
    <w:p>
      <w:pPr>
        <w:spacing w:after="0" w:line="189" w:lineRule="exact"/>
        <w:rPr>
          <w:rFonts w:ascii="Times New Roman" w:cs="Times New Roman" w:eastAsia="Times New Roman" w:hAnsi="Times New Roman"/>
          <w:sz w:val="18"/>
          <w:szCs w:val="18"/>
          <w:color w:val="auto"/>
        </w:rPr>
      </w:pPr>
    </w:p>
    <w:p>
      <w:pPr>
        <w:jc w:val="both"/>
        <w:ind w:left="660" w:right="34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197" w:lineRule="exact"/>
        <w:rPr>
          <w:rFonts w:ascii="Times New Roman" w:cs="Times New Roman" w:eastAsia="Times New Roman" w:hAnsi="Times New Roman"/>
          <w:sz w:val="18"/>
          <w:szCs w:val="18"/>
          <w:color w:val="auto"/>
        </w:rPr>
      </w:pPr>
    </w:p>
    <w:p>
      <w:pPr>
        <w:ind w:left="660" w:right="180" w:hanging="328"/>
        <w:spacing w:after="0" w:line="23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31" w:lineRule="exact"/>
        <w:rPr>
          <w:sz w:val="20"/>
          <w:szCs w:val="20"/>
          <w:color w:val="auto"/>
        </w:rPr>
      </w:pPr>
    </w:p>
    <w:p>
      <w:pPr>
        <w:ind w:left="660" w:right="50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1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of June 30, 2024, the Company had borrowings of $196.6 million and a total of $3.2 million of letters of credit outstanding under the Credit Agreement. The Company has capitalized costs associated with debt modifications of $1.0 million as of June 30, 2024, which is included in Other assets on the Condensed Consolidated Balance Sheets and will be amortized into interest expense over the remaining term of the Credit Agreement through July 30, 2027.</w:t>
      </w:r>
    </w:p>
    <w:p>
      <w:pPr>
        <w:spacing w:after="0" w:line="20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As of June 30, 2024, the Company was in compliance with the terms of the Credit Agreement. The Company continuously monitors compliance with the covenants contained in its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June 30, 2024, there was an aggregate of approximately $3.1 million outstanding, payable at various times through 2030. Monthly payments range from $1.0 thousand to $15.0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6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10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Revaluation</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1053465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that arise in the ordinary course of business. While the Company cannot predict with certainty the ultimate resolution of lawsuits, investigations and claims asserted against it,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filed by the Arizona Department of Environmental Quality (“DEQ”). The lawsuit, captioned State of Arizona v. Mistras Group, Inc., Mistras Arizona Inspection Services, LLC and Naiman Phoenix, Ltd., was originally filed on February 27, 2024, in the Superior Court of the State of Arizona for Maricopa County, CV 2024-003866. The Complaint alleges various violations of the Arizona environmental laws and regulations in connection with the operation of the Mistras Arizona testing facility in Phoenix, Arizona. The complaint seeks injunctive relief, the closing of a chromic acid plating line and air scrubber, implementation of a site assessment plan approved by the DEQ, corrective and remedial action to bring the facility in compliance, and costs and penalties. Mistras Arizona and the Company have also received notice of violations from the DEQ for alleged violations of Arizona environmental laws and regulations and from the Maricopa County Department of Air Quality for alleged violations of various regulations regarding air quality. This matter is in the early stages but it is probable that remediation costs will be incurred, and it is possible fines and penalties may be imposed related to this lawsuit, but the Company is unable to assess the range of loss the Company, or Mistras Arizona may incur.</w:t>
      </w:r>
    </w:p>
    <w:p>
      <w:pPr>
        <w:spacing w:after="0" w:line="2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within a leased site within the footprint of the Motorola 52nd Street Superfund Site (the “Motorola Site”). Mistras Arizona received a General Notice Letter from the US Environmental Protection Agency (the "EPA"), dated May 21, 2024, informing Mistras Arizona that the EPA has identified it as a potentially responsible party in relation to the Motorola 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5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380"/>
        <w:spacing w:after="0" w:line="274"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June 30, 2024 is approximately $2.5 million, which were incurred in 2018 and 2019.</w:t>
      </w:r>
    </w:p>
    <w:p>
      <w:pPr>
        <w:spacing w:after="0" w:line="1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900" w:right="60" w:hanging="244"/>
        <w:spacing w:after="0" w:line="261" w:lineRule="auto"/>
        <w:tabs>
          <w:tab w:leader="none" w:pos="8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1057275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2" w:lineRule="exact"/>
        <w:rPr>
          <w:sz w:val="20"/>
          <w:szCs w:val="20"/>
          <w:color w:val="auto"/>
        </w:rPr>
      </w:pPr>
    </w:p>
    <w:p>
      <w:pPr>
        <w:ind w:left="900" w:right="180" w:hanging="244"/>
        <w:spacing w:after="0" w:line="267"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200" w:hanging="244"/>
        <w:spacing w:after="0" w:line="284"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306,743</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282,482</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59,684</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790"/>
        </w:trPr>
        <w:tc>
          <w:tcPr>
            <w:tcW w:w="4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gridSpan w:val="2"/>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4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4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96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4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34,260</w:t>
            </w:r>
          </w:p>
        </w:tc>
        <w:tc>
          <w:tcPr>
            <w:tcW w:w="4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418,363</w:t>
            </w:r>
          </w:p>
        </w:tc>
        <w:tc>
          <w:tcPr>
            <w:tcW w:w="4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and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and six months ended June 30, 2024 and 2023. The MD&amp;A should be read together with our Unaudited Condensed Consolidated Financial Statements and related notes included in Item 1 in this Quarterly Report on Form 10-Q (the "Quarterly Report") and our audited consolidated financial statements and related notes included in our Annual Report on Form 10-K for the year ended December 31, 2023, (“2023 Annual Report”). Unless otherwise specified or the context otherwise requires, “Mistras,” “the Company,” “we,” “us” and “our” refer to Mistras Group, Inc. and its consolidated subsidiaries. The MD&amp;A includes the following sections:</w:t>
      </w:r>
    </w:p>
    <w:p>
      <w:pPr>
        <w:spacing w:after="0" w:line="18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2023 Annual Report as well as those discussed in this Quarterly Report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916305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3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OneSuite™, which serves as an ecosystem platform, pulling together all of the Company’s software and data services capabilities, for the benefit of its customers.</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right="120" w:hanging="328"/>
        <w:spacing w:after="0" w:line="251"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11"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 w:lineRule="exact"/>
        <w:rPr>
          <w:rFonts w:ascii="Times New Roman" w:cs="Times New Roman" w:eastAsia="Times New Roman" w:hAnsi="Times New Roman"/>
          <w:sz w:val="18"/>
          <w:szCs w:val="18"/>
          <w:color w:val="auto"/>
        </w:rPr>
      </w:pPr>
    </w:p>
    <w:p>
      <w:pPr>
        <w:ind w:left="660" w:right="740" w:hanging="328"/>
        <w:spacing w:after="0" w:line="28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Russian-Ukrainian war and the conflict in the Middle East between Israel and Hamas are creating disruptions in the oil and gas market and the supply chain in general, which is resulting in some disruption to our business operations primarily in Europe due to increased energy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3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cash position and liquidity remains strong. As of June 30, 2024, the cash balance was approximately $17.2 million, and with our Credit Agreement, provides us with significant liquidity.</w:t>
      </w:r>
    </w:p>
    <w:p>
      <w:pPr>
        <w:spacing w:after="0" w:line="20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2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Company’s European operations are currently experiencing higher energy costs, among other increased costs, due in part to the Russian-Ukrainian war and the conflict in the Middle East between Israel and Hamas. The Company will continue to monitor market conditions and respond accordingly.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generally accepted accounting principles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1094105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and six months ended June 30, 2024 and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189,773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176,030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374,215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344,046</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49,722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107,205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95,799</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2,065</w:t>
            </w: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(benefit) for income taxes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7,546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8,669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(5,862)</w:t>
            </w: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6,373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(4,602)</w:t>
            </w: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6,369</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(4,649)</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Revenue was $189.8 million for the three months ended June 30, 2024, an increase of $13.7 million, or 7.8%, compared with the three months ended June 30, 2023. Revenue for the six months ended June 30, 2024 was $374.2 million, an increase of $30.2 million, or 8.8%, compared with the six months ended June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and six months ended June 30, 2024 and 2023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282,482</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59,684</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r>
      <w:tr>
        <w:trPr>
          <w:trHeight w:val="230"/>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r>
      <w:tr>
        <w:trPr>
          <w:trHeight w:val="248"/>
        </w:trPr>
        <w:tc>
          <w:tcPr>
            <w:tcW w:w="4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176,030</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In the three months ended June 30, 2024, total revenue increased 7.8% versus the prior year comparable period due predominantly to increased sales volume as compared to the prior period. North America segment revenue increased 7.5% due to an increase in sales volume in our aerospace and defense and power generation &amp; transmission end markets, amongst others. International segment revenue increased 13.2%, due predominantly to increased turnaround projects and low double digit aerospace and defense growth. Products and Systems segment revenue increased 1.3%, due to increased sales volume as compared to the prior period.</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58% and 60% of total revenue for the three months ended June 30, 2024 and 2023, respectively. Aerospace and defense customer revenue comprised approximately 12% and 11% of total revenue for the three months ended June 30, 2024 and 2023, respectively. The Company’s top ten customers comprised approximately 35% of total revenue for the three months ended June 30, 2024, as compared to 36% for the three months ended June 30, 2023, with no customer accounting for 10% or more of total revenue in either three-month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1102995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3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In the six months ended June 30, 2024, total revenue increased 8.8% versus the comparable prior period. The increase was due predominantly to increased sales volume as compared to the prior period. Our North America segment revenue increased 8.6% due primarily to increased sales volume in our oil and gas and aerospace and defense end markets. International segment revenue increased 12.8% due to low double-digit organic growth and low single-digit favorable revenue impact from foreign exchange rates. Products and Systems segment revenue decreased 6.9% due to decreased sales volumes within the majority of end markets, as compared to the prior period.</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59% and 60% of total revenue for the six months ended June 30, 2024 and 2023, respectively. Aerospace and defense customer revenue comprised approximately 12% and 11% of total revenue for the six months ended June 30, 2024 and 2023, respectively. The Company’s top ten customers comprised approximately 35% of total revenue for the six months ended June 30, 2024, as compared to 35% for the six months ended June 30, 2023, with no customer accounting for 10% or more of total revenue in either nine-month period.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78,900</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48,524</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77,365</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204,789</w:t>
            </w:r>
          </w:p>
        </w:tc>
      </w:tr>
      <w:tr>
        <w:trPr>
          <w:trHeight w:val="21"/>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Oil and gas upstream customer revenue increased approximately $5.2 million, or 7%, for the six months ended June 30, 2024 as compared to the six months ended June 30, 2023, and $0.4 million, or 1%, for the three months ended June 30, 2024 as compared to the three months ended June 30, 2023, due to increased exploration operations and market share gains compared to the prior period.</w:t>
      </w:r>
    </w:p>
    <w:p>
      <w:pPr>
        <w:spacing w:after="0" w:line="20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Midstream customer revenues decreased approximately $1.8 million, or 4%, for the six months ended June 30, 2024 as compared to the six months ended June 30, 2023, and $2.0 million, or 7%, for the three months ended June 30, 2024 as compared to the three months ended June 30, 2023, due to decreased pipe inspection services as compared to the prior period.</w:t>
      </w:r>
    </w:p>
    <w:p>
      <w:pPr>
        <w:spacing w:after="0" w:line="20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Downstream customer revenue increased $14.3 million, or 18%, for the six months ended June 30, 2024 as compared to the six months ended June 30, 2023, and $4.7 million, or 13%, for the three months ended June 30, 2024 as compared to the three months ended June 30, 2023, due to increased sales volume at customer refineries and increased customer turnarounds.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8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Services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116,104</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225,784</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 Laboratories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w:t>
            </w:r>
          </w:p>
        </w:tc>
      </w:tr>
      <w:tr>
        <w:trPr>
          <w:trHeight w:val="230"/>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27,575</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55,967</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176,030</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344,046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Field Services revenues are comprised of revenue derived primarily by technicians performing asset inspections and maintenance services for our customers at locations other than Mistras properties. Field Services revenue increased by $35.1 million for the six months ended June 30, 2024 as compared to the six months ended June 30, 2023, and increased $18.4 million, for the three months ended June 30, 2024 as compared to the three months ended June 30, 2023. The increase in both periods was due to increased sales volume in our oil and gas end market in our North America and International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Shop Laboratory revenues are comprised of quality assurance inspections of components and materials at our Mistras in house laboratory facilities. Shop Laboratory revenues increased by $6.8 million for the six months ended June 30, 2024 as compared to the six months ended June 30, 2023, and increased $2.7 million for the three months ended June 30, 2024 as compared to the three months ended June 30, 2023. Shop Laboratory revenues increased in both periods as compared to the prior year periods due to increased sales volume related to our aerospace and defense end market.</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Data Analytical Solutions revenues are comprised of revenue derived from data software sales &amp; subscriptions, implementation services and analytics that offer insights and recommendations to improve asset integrity. Data Analytical Solutions revenue is derived from work performed by Mistras employees in our facilities, or at customer locations, using our proprietary portfolio of software applications. Data Analytical Solutions revenue decreased by</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 million for the six months ended June 30, 2024 as compared to the six months ended June 30, 2023, and increased $0.2 million, for the three months ended June 30, 2024 as compared to the three months ended June 30, 2023 due primarily to decreased sales volume within PCMS, Onstream and other Data Analytical Solutions offerings within our North America segment for the three months ended June 30, 2024 and decreased sales volume for the same offerings for the six months ended June 30, 2024.</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revenues are comprised of locations that perform both asset inspection services and testing of components and materials at in house Mistras laboratories. Other revenues decreased by $10.6 million for the six months ended June 30, 2024 as compared to the six months ended June 30, 2023, and decreased $7.6 million, for the three months ended June 30, 2024 as compared to the three months ended June 30, 2023. Other revenues decreased in both periods primarily due to decreased sales in our other end markets within the North America and International segments.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Gross profit increased by $6.4 million, or 12.9%, in the three months ended June 30, 2024 versus the prior year comparable period, on an increase in revenue of 7.8%.</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$11.4 million, or 11.9%, in the six months ended June 30, 2024 on an increase in revenue of 8.8%.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and six months ended June 30, 2024 and 2023 was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North America</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39,679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84,326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76,316</w:t>
            </w:r>
          </w:p>
        </w:tc>
      </w:tr>
      <w:tr>
        <w:trPr>
          <w:trHeight w:val="229"/>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27.3 %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27.0 %</w:t>
            </w:r>
          </w:p>
        </w:tc>
      </w:tr>
      <w:tr>
        <w:trPr>
          <w:trHeight w:val="23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8,398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15,766</w:t>
            </w:r>
          </w:p>
        </w:tc>
      </w:tr>
      <w:tr>
        <w:trPr>
          <w:trHeight w:val="230"/>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27.7 %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26.4 %</w:t>
            </w:r>
          </w:p>
        </w:tc>
      </w:tr>
      <w:tr>
        <w:trPr>
          <w:trHeight w:val="23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 and Systems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3,676</w:t>
            </w:r>
          </w:p>
        </w:tc>
      </w:tr>
      <w:tr>
        <w:trPr>
          <w:trHeight w:val="229"/>
        </w:trPr>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48.5 %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52.0 %</w:t>
            </w:r>
          </w:p>
        </w:tc>
      </w:tr>
      <w:tr>
        <w:trPr>
          <w:trHeight w:val="230"/>
        </w:trPr>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49,722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107,205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95,799</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28.2 %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27.8 %</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Gross profit margin was 29.6% and 28.2% for the three-month periods ended June 30, 2024 and 2023, respectively. North America segment realized an increase of 1.0% in gross profit margin to 28.3% during the three months ended June 30, 2024. This was primarily due to improved operating leverage, lower healthcare claims expense and growth in our higher margin end markets, as compared to the prior year period. International segment realized an increase of 1.7% in gross profit margin to 29.4% during the three months ended June 30, 2024, due primarily to improved operating leverage and the implementation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strategic price increases. Products and Systems segment realized an increase of 1.5% in gross profit margin to 50.1% during the three months ended June 30, 2023 due to favorable sales mix.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4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Gross profit margin was 28.6% and 27.8% for the six months ended June 30, 2024 and 2023, respectively. North America segment gross profit increased 0.5% to 27.5% due to favorable sales mix and lower healthcare claims for the six months ended June 30, 2024, as compared to the prior year period. International segment gross profit increased 2.6% to 29.0% due to lower inflationary costs and the implementation of strategic price increases during the six months ended June 30, 2024, as compared to the prior year period. Products and Systems segment gross profit decreased 1.9% during the six months ended June 30, 2024, as compared to the prior year period, due to unfavorable sales mix.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and six months ended June 30, 2024 and 2023 was as follows:</w:t>
      </w:r>
    </w:p>
    <w:p>
      <w:pPr>
        <w:sectPr>
          <w:pgSz w:w="11900" w:h="16838" w:orient="portrait"/>
          <w:cols w:equalWidth="0" w:num="1">
            <w:col w:w="11200"/>
          </w:cols>
          <w:pgMar w:left="320" w:top="118" w:right="379" w:bottom="1440" w:gutter="0" w:footer="0" w:header="0"/>
        </w:sectPr>
      </w:pPr>
    </w:p>
    <w:p>
      <w:pPr>
        <w:spacing w:after="0" w:line="286"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33655</wp:posOffset>
            </wp:positionV>
            <wp:extent cx="20828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5" w:lineRule="exact"/>
        <w:rPr>
          <w:sz w:val="20"/>
          <w:szCs w:val="20"/>
          <w:color w:val="auto"/>
        </w:rPr>
      </w:pPr>
    </w:p>
    <w:p>
      <w:pPr>
        <w:ind w:left="5040"/>
        <w:spacing w:after="0"/>
        <w:tabs>
          <w:tab w:leader="none" w:pos="67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33655</wp:posOffset>
            </wp:positionV>
            <wp:extent cx="2082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33655</wp:posOffset>
            </wp:positionV>
            <wp:extent cx="20828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5"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33655</wp:posOffset>
            </wp:positionV>
            <wp:extent cx="2082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80" w:space="720"/>
            <w:col w:w="2700"/>
          </w:cols>
          <w:pgMar w:left="320" w:top="118" w:right="37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41,484</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82,144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84,305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4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45,829</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89,694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93,734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23.3 %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26.0 %</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24.0 %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27.2 %</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Total operating expenses decreased $1.7 million for the three months ended June 30, 2024 compared to the three months ended June 30, 2023, due predominantly to reductions occurring in the prior year period. Selling, general and administrative expenses decreased $0.5 million during the three months ended June 30, 2024 compared to the three months ended June 30, 2023, due predominantly to reductions occurring in the prior year period. Depreciation and amortization was flat during the three months ended June 30, 2024 compared to the three months ended June 30, 2023. During the three months ended June 30, 2024, $0.5 million of reorganization and other related costs were incurred, which were a result of the Company's on-going efficiency and productivity initiatives.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4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Operating expenses decreased $4.0 million for the six months ended June 30, 2024 compared to the six months ended June 30, 2023 due predominantly to reductions occurring in the prior year period. Selling, general, and administrative expenses decreased $2.2 million during the six months ended June 30, 2024 compared to the six months ended June 30, 2023, due primarily to reductions occurring in the prior year period and favorable foreign currency exchange. Reorganization and other costs for the six months ended June 30, 2024 compared to the six months ended June 30, 2023 decreased $1.2 million due to reduced professional fees and restructuring charges associated with changes in the Company's organizational structure. Depreciation and amortization decreased $0.1 million during the six months ended June 30, 2024 compared to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income (loss) from operations to income (loss) before special items for each of our three segments,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and Eliminations and the Company in total: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55"/>
        </w:trPr>
        <w:tc>
          <w:tcPr>
            <w:tcW w:w="418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22,404</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from operations (GAAP)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 net</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56"/>
        </w:trPr>
        <w:tc>
          <w:tcPr>
            <w:tcW w:w="418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4180" w:type="dxa"/>
            <w:vAlign w:val="bottom"/>
            <w:tcBorders>
              <w:top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94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(16,637)</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55"/>
        </w:trPr>
        <w:tc>
          <w:tcPr>
            <w:tcW w:w="4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Income from operations before special items (non-</w:t>
            </w:r>
          </w:p>
        </w:tc>
        <w:tc>
          <w:tcPr>
            <w:tcW w:w="940" w:type="dxa"/>
            <w:vAlign w:val="bottom"/>
            <w:tcBorders>
              <w:top w:val="single" w:sz="8" w:color="auto"/>
            </w:tcBorders>
            <w:vMerge w:val="restart"/>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20" w:type="dxa"/>
            <w:vAlign w:val="bottom"/>
          </w:tcPr>
          <w:p>
            <w:pPr>
              <w:spacing w:after="0"/>
              <w:rPr>
                <w:sz w:val="13"/>
                <w:szCs w:val="13"/>
                <w:color w:val="auto"/>
              </w:rPr>
            </w:pPr>
          </w:p>
        </w:tc>
        <w:tc>
          <w:tcPr>
            <w:tcW w:w="920" w:type="dxa"/>
            <w:vAlign w:val="bottom"/>
            <w:tcBorders>
              <w:top w:val="single" w:sz="8" w:color="auto"/>
            </w:tcBorders>
            <w:vMerge w:val="restart"/>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6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0" w:type="dxa"/>
            <w:vAlign w:val="bottom"/>
          </w:tcPr>
          <w:p>
            <w:pPr>
              <w:spacing w:after="0"/>
              <w:rPr>
                <w:sz w:val="1"/>
                <w:szCs w:val="1"/>
                <w:color w:val="auto"/>
              </w:rPr>
            </w:pPr>
          </w:p>
        </w:tc>
      </w:tr>
      <w:tr>
        <w:trPr>
          <w:trHeight w:val="221"/>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GAAP)</w:t>
            </w:r>
          </w:p>
        </w:tc>
        <w:tc>
          <w:tcPr>
            <w:tcW w:w="94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on Form 10-Q for an explanation of the use of non-GAAP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income from operations (GAAP) increased $8.1 million compared to the three months ended June 30, 2023, while income from operations before special items (non-GAAP) increased $7.3 million for the three months ended June 30, 2024 compared to the three months ended June 30, 2023. As a percentage of revenue, income from operations before special items increased by 360 basis points to 6.6% in the three months ended June 30, 2024 from 3.0% in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w:t>
      </w:r>
    </w:p>
    <w:p>
      <w:pPr>
        <w:spacing w:after="0" w:line="2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For the six months ended June 30, 2024, income from operations (GAAP) increased $15.4 million, compared to the six months ended June 30, 2023, while income from operations before special items (non-GAAP) increased $14.1 million for the six months ended June 30, 2024 compared to the six months ended June 30, 2023. As a percentage of revenue, income from operations before special items increased by 370 basis points to 5.3% in the six months ended June 30, 2024 from 1.6% in the six months ended June 30, 2023. During the six months ended June 30, 2024, the Company experienced overall organic growth as well as decreased reorganization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Interest expense was approximately $4.4 million and $3.9 million for the three months ended June 30, 2024 and 2023, respectively. Interest expense was approximately $8.8 million and $7.9 million for the six months ended June 30, 2024 and 2023, respectively. The increase in the three months ended June 30, 2024 was due to an increase in interest rates compared to the prior year period. The increase in interest expense for the six months ended June 30, 2024 compared to the prior year period was due to an increase in the interest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approximately 15.5% and (974.3)% for the three months ended June 30, 2024 and 2023, respectively. Our effective income tax rate was approximately 14.9% and 21.5% for the six months ended June 30, 2024 and 2023, respectively.</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three months ended June 30, 2024 was lower than the statutory rate primarily due to the impact of a favorable discrete item such as the reversal of valuation allowances. The effective income tax rate for the six months ended June 30, 2023 was higher than the statutory rate due primarily to a $0.7 million valuation allowance recorded during the period which was related to a foreign jurisdiction.</w:t>
      </w:r>
    </w:p>
    <w:p>
      <w:pPr>
        <w:spacing w:after="0" w:line="204"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2024 was lower than the statutory rate due primarily to items such as the reversal of valuation allowances. The effective income tax rate for the six months ended June 30, 2023 was lower than the statutory rate due primarily to an unfavorable discrete item related to stock compensation.</w:t>
      </w: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1227455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operating activities was $5.1 million, representing a year-on-year decrease of $13.2 million, or 72%. The decrease was primarily related to increased working capital in the current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was $11.2 million, compared to $9.8 million net cash used in investing activities for the six months ended June 30, 2023. The change was primarily attributable to capital expenditures related to property, plant and equipment during the current period as compared to the prior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in financing activities was $5.3 million for the six months ended June 30, 2024, compared to net cash used in financing activities of</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$11.2 million for the six months ended June 30, 2023. This was a result of higher net repayments of debt of $16.8 million during the six months ended June 30, 2024, as compared to the prior year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$0.4 million in the six months ended June 30, 2024, compared to an increase of $0.2 million for the six months ended June 30, 2023. The primary driver of the change was foreign currency fluctuations related to the Euro and the US Dollar.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June 30, 2024, we had cash and cash equivalents totaling $17.2 million and $102.5 million of unused commitments under our Credit Agreement with borrowings of $196.6 million and $3.2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7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June 30, 2024, we were in compliance with the terms of the Credit Agreement and will continuously monitor our compliance with the covenants contained in the Credit Agreement.</w:t>
      </w:r>
    </w:p>
    <w:p>
      <w:pPr>
        <w:spacing w:after="0" w:line="185"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color w:val="auto"/>
        </w:rPr>
        <w:t>The terms of our Credit Agreement are described in Note 12-</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1067435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increases in our contractual obligations and outstanding indebtedness as disclosed in the 2023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2023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2023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Executive Vice President and Chief Financial Officer, of the effectiveness of the design and operation of our disclosure controls (as defined in Rule 13a-15(e) of the Exchange Act) and procedures. Based upon that evaluation, our President and Chief Executive Officer and our Senior Executive Vice President and Chief Financial Officer concluded that, as of June 30, 2024,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74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2024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1228725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See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2023 Annual Report, except as disclosed herein under Note 14-</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the Unaudited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2023 Annual Report. There have been no material changes to the risk factors previously disclosed in the 2023 Annual Report.</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60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340" w:type="dxa"/>
            <w:vAlign w:val="bottom"/>
            <w:gridSpan w:val="3"/>
            <w:vMerge w:val="continue"/>
          </w:tcPr>
          <w:p>
            <w:pPr>
              <w:spacing w:after="0"/>
              <w:rPr>
                <w:sz w:val="16"/>
                <w:szCs w:val="16"/>
                <w:color w:val="auto"/>
              </w:rPr>
            </w:pPr>
          </w:p>
        </w:tc>
        <w:tc>
          <w:tcPr>
            <w:tcW w:w="26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60" w:type="dxa"/>
            <w:vAlign w:val="bottom"/>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30, 2024</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May 31, 2024</w:t>
            </w:r>
          </w:p>
        </w:tc>
        <w:tc>
          <w:tcPr>
            <w:tcW w:w="2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30, 2024</w:t>
            </w:r>
          </w:p>
        </w:tc>
        <w:tc>
          <w:tcPr>
            <w:tcW w:w="26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67"/>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directors or officers, as defined in Section 16 of the Securities Exchange Act of 1934, adopted or terminated a "Rule 10b5-1 trading arrangement" or a "non-Rule 10b5-1 trading arrangement," as each term is defined in Item 408(a) of Regulation S-K,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1070610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June 17, 2024, Michael Lange, one of the Company’s Senior Executive Vice Presidents, adopted a pre-arranged written stock sale plan in accordance with Rule 10b5-1 (the “Lange Rule 10b5-1 Plan”) under the Exchange Act, for the sale of shares of the Company’s common stock. The Lange Rule 10b5-1 Plan was entered into during an open trading window in accordance with the Company’s policies regarding transactions in the Company’s securities and is intended to satisfy the affirmative defense of Rule 10b5-1(c) under the Exchange Act. The Lange Rule 10b5-1 Plan provides for the potential sale of up to 100,000 shares of the Company’s common stock at a price not less than $8.25 per share, between September 13, 2024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1232535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4"/>
          </w:tcPr>
          <w:p>
            <w:pPr>
              <w:ind w:left="4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 under the Securities Exchange Act of 1934.</w:t>
            </w:r>
          </w:p>
        </w:tc>
      </w:tr>
      <w:tr>
        <w:trPr>
          <w:trHeight w:val="43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3480" w:type="dxa"/>
            <w:vAlign w:val="bottom"/>
            <w:gridSpan w:val="3"/>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265" w:lineRule="exact"/>
        <w:rPr>
          <w:sz w:val="20"/>
          <w:szCs w:val="20"/>
          <w:color w:val="auto"/>
        </w:rPr>
      </w:pPr>
    </w:p>
    <w:p>
      <w:pPr>
        <w:ind w:left="1060" w:hanging="1034"/>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ectPr>
          <w:pgSz w:w="11900" w:h="16838" w:orient="portrait"/>
          <w:cols w:equalWidth="0" w:num="1">
            <w:col w:w="10920"/>
          </w:cols>
          <w:pgMar w:left="320" w:top="118" w:right="6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Manuel N. Stamatakis, certify that:</w:t>
      </w:r>
    </w:p>
    <w:p>
      <w:pPr>
        <w:spacing w:after="0" w:line="9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5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575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Chairman and Interim President and Chief Executive Officer</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2024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2024</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Manuel N. Stamatakis</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and Interim 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2024-08-02T13:54:46Z</dcterms:created>
  <dcterms:modified xsi:type="dcterms:W3CDTF">2024-08-02T13:54:46Z</dcterms:modified>
</cp:coreProperties>
</file>