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7" w:lineRule="exact"/>
        <w:rPr>
          <w:sz w:val="24"/>
          <w:szCs w:val="24"/>
          <w:color w:val="auto"/>
        </w:rPr>
      </w:pPr>
    </w:p>
    <w:p>
      <w:pPr>
        <w:ind w:left="3740" w:right="1880" w:hanging="3637"/>
        <w:spacing w:after="0" w:line="568"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90" w:lineRule="exact"/>
        <w:rPr>
          <w:sz w:val="24"/>
          <w:szCs w:val="24"/>
          <w:color w:val="auto"/>
        </w:rPr>
      </w:pPr>
    </w:p>
    <w:p>
      <w:pPr>
        <w:ind w:left="4220" w:right="1880" w:hanging="4081"/>
        <w:spacing w:after="0" w:line="516" w:lineRule="auto"/>
        <w:tabs>
          <w:tab w:leader="none" w:pos="37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 to __</w:t>
      </w:r>
    </w:p>
    <w:p>
      <w:pPr>
        <w:spacing w:after="0" w:line="1" w:lineRule="exact"/>
        <w:rPr>
          <w:rFonts w:ascii="Times New Roman" w:cs="Times New Roman" w:eastAsia="Times New Roman" w:hAnsi="Times New Roman"/>
          <w:sz w:val="18"/>
          <w:szCs w:val="18"/>
          <w:b w:val="1"/>
          <w:bCs w:val="1"/>
          <w:color w:val="auto"/>
        </w:rPr>
      </w:pPr>
    </w:p>
    <w:p>
      <w:pPr>
        <w:ind w:left="4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105410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252"/>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Princeton Junction, New Jersey</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70"/>
        </w:trPr>
        <w:tc>
          <w:tcPr>
            <w:tcW w:w="636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63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4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1800" w:type="dxa"/>
            <w:vAlign w:val="bottom"/>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Pr>
          <w:p>
            <w:pPr>
              <w:spacing w:after="0"/>
              <w:rPr>
                <w:sz w:val="22"/>
                <w:szCs w:val="22"/>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500"/>
        </w:trPr>
        <w:tc>
          <w:tcPr>
            <w:tcW w:w="30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Trading Symbol(s)</w:t>
            </w:r>
          </w:p>
        </w:tc>
        <w:tc>
          <w:tcPr>
            <w:tcW w:w="4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MG</w:t>
            </w:r>
          </w:p>
        </w:tc>
        <w:tc>
          <w:tcPr>
            <w:tcW w:w="4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25" w:lineRule="exact"/>
        <w:rPr>
          <w:sz w:val="24"/>
          <w:szCs w:val="24"/>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3" w:orient="portrait"/>
          <w:cols w:equalWidth="0" w:num="1">
            <w:col w:w="11420"/>
          </w:cols>
          <w:pgMar w:left="240" w:top="225" w:right="239" w:bottom="0" w:gutter="0" w:footer="0" w:header="0"/>
        </w:sectPr>
      </w:pPr>
    </w:p>
    <w:p>
      <w:pPr>
        <w:spacing w:after="0" w:line="12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63" w:lineRule="exact"/>
        <w:rPr>
          <w:sz w:val="24"/>
          <w:szCs w:val="24"/>
          <w:color w:val="auto"/>
        </w:rPr>
      </w:pPr>
    </w:p>
    <w:p>
      <w:pPr>
        <w:sectPr>
          <w:pgSz w:w="11900" w:h="16843" w:orient="portrait"/>
          <w:cols w:equalWidth="0" w:num="2">
            <w:col w:w="7660" w:space="720"/>
            <w:col w:w="3040"/>
          </w:cols>
          <w:pgMar w:left="240" w:top="225" w:right="239" w:bottom="0" w:gutter="0" w:footer="0" w:header="0"/>
          <w:type w:val="continuous"/>
        </w:sectPr>
      </w:pPr>
    </w:p>
    <w:p>
      <w:pPr>
        <w:ind w:left="26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43" w:orient="portrait"/>
          <w:cols w:equalWidth="0" w:num="2">
            <w:col w:w="7280" w:space="720"/>
            <w:col w:w="3420"/>
          </w:cols>
          <w:pgMar w:left="240" w:top="225" w:right="239" w:bottom="0" w:gutter="0" w:footer="0" w:header="0"/>
          <w:type w:val="continuous"/>
        </w:sectPr>
      </w:pPr>
    </w:p>
    <w:p>
      <w:pPr>
        <w:ind w:left="796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43" w:orient="portrait"/>
          <w:cols w:equalWidth="0" w:num="1">
            <w:col w:w="11420"/>
          </w:cols>
          <w:pgMar w:left="240" w:top="225" w:right="239" w:bottom="0" w:gutter="0" w:footer="0" w:header="0"/>
          <w:type w:val="continuous"/>
        </w:sectPr>
      </w:pPr>
    </w:p>
    <w:p>
      <w:pPr>
        <w:spacing w:after="0" w:line="26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43"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October 31, 2019, the registrant had 28,915,088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196215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110490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53" w:right="1440"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700" w:type="dxa"/>
            <w:vAlign w:val="bottom"/>
            <w:gridSpan w:val="26"/>
          </w:tcPr>
          <w:p>
            <w:pPr>
              <w:spacing w:after="0" w:line="189"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910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September 30, 2019 (unaudited) and December 31, 2018</w:t>
              </w:r>
            </w:hyperlink>
          </w:p>
        </w:tc>
        <w:tc>
          <w:tcPr>
            <w:tcW w:w="164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Consolidated Statements of Income (Loss) for the three and nine months ended September 30, 2019</w:t>
              </w:r>
            </w:hyperlink>
          </w:p>
        </w:tc>
        <w:tc>
          <w:tcPr>
            <w:tcW w:w="2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and September 30, 2018</w:t>
              </w:r>
            </w:hyperlink>
          </w:p>
        </w:tc>
        <w:tc>
          <w:tcPr>
            <w:tcW w:w="7340" w:type="dxa"/>
            <w:vAlign w:val="bottom"/>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Comprehensive Income (Loss) for the three and nine months ended</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30, 2019 and September 30, 2018</w:t>
              </w:r>
            </w:hyperlink>
          </w:p>
        </w:tc>
        <w:tc>
          <w:tcPr>
            <w:tcW w:w="58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Condensed Consolidated Statements of Equity for the three and nine months ended September 30, 2019 and</w:t>
              </w:r>
            </w:hyperlink>
          </w:p>
        </w:tc>
        <w:tc>
          <w:tcPr>
            <w:tcW w:w="5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00" w:type="dxa"/>
            <w:vAlign w:val="bottom"/>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September 30, 2018</w:t>
              </w:r>
            </w:hyperlink>
          </w:p>
        </w:tc>
        <w:tc>
          <w:tcPr>
            <w:tcW w:w="68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Consolidated Statements of Cash Flows for the nine months ended September 30, 2019 and September</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30, 2018</w:t>
              </w:r>
            </w:hyperlink>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Unaudited Condensed Consolidated Financial Statements</w:t>
              </w:r>
            </w:hyperlink>
          </w:p>
        </w:tc>
        <w:tc>
          <w:tcPr>
            <w:tcW w:w="430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2.</w:t>
              </w:r>
            </w:hyperlink>
          </w:p>
        </w:tc>
        <w:tc>
          <w:tcPr>
            <w:tcW w:w="500" w:type="dxa"/>
            <w:vAlign w:val="bottom"/>
            <w:gridSpan w:val="2"/>
          </w:tcPr>
          <w:p>
            <w:pPr>
              <w:spacing w:after="0"/>
              <w:rPr>
                <w:sz w:val="24"/>
                <w:szCs w:val="24"/>
                <w:color w:val="auto"/>
              </w:rPr>
            </w:pPr>
          </w:p>
        </w:tc>
        <w:tc>
          <w:tcPr>
            <w:tcW w:w="9100" w:type="dxa"/>
            <w:vAlign w:val="bottom"/>
            <w:gridSpan w:val="20"/>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83"/>
              </w:rPr>
            </w:pPr>
            <w:hyperlink w:anchor="page40">
              <w:r>
                <w:rPr>
                  <w:rFonts w:ascii="Times New Roman" w:cs="Times New Roman" w:eastAsia="Times New Roman" w:hAnsi="Times New Roman"/>
                  <w:sz w:val="18"/>
                  <w:szCs w:val="18"/>
                  <w:color w:val="0000EE"/>
                  <w:w w:val="83"/>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1"/>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90"/>
              </w:rPr>
            </w:pPr>
            <w:hyperlink w:anchor="page40">
              <w:r>
                <w:rPr>
                  <w:rFonts w:ascii="Times New Roman" w:cs="Times New Roman" w:eastAsia="Times New Roman" w:hAnsi="Times New Roman"/>
                  <w:sz w:val="18"/>
                  <w:szCs w:val="18"/>
                  <w:color w:val="0000EE"/>
                  <w:w w:val="90"/>
                </w:rPr>
                <w:t>ITEM 4</w:t>
              </w:r>
            </w:hyperlink>
          </w:p>
        </w:tc>
        <w:tc>
          <w:tcPr>
            <w:tcW w:w="580" w:type="dxa"/>
            <w:vAlign w:val="bottom"/>
            <w:gridSpan w:val="3"/>
          </w:tcPr>
          <w:p>
            <w:pPr>
              <w:spacing w:after="0"/>
              <w:rPr>
                <w:sz w:val="24"/>
                <w:szCs w:val="24"/>
                <w:color w:val="auto"/>
              </w:rPr>
            </w:pPr>
          </w:p>
        </w:tc>
        <w:tc>
          <w:tcPr>
            <w:tcW w:w="4320" w:type="dxa"/>
            <w:vAlign w:val="bottom"/>
            <w:gridSpan w:val="1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4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PART II—OTHER INFORMATION</w:t>
              </w:r>
            </w:hyperlink>
          </w:p>
        </w:tc>
        <w:tc>
          <w:tcPr>
            <w:tcW w:w="804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5"/>
              </w:rPr>
            </w:pPr>
            <w:hyperlink w:anchor="page42">
              <w:r>
                <w:rPr>
                  <w:rFonts w:ascii="Times New Roman" w:cs="Times New Roman" w:eastAsia="Times New Roman" w:hAnsi="Times New Roman"/>
                  <w:sz w:val="18"/>
                  <w:szCs w:val="18"/>
                  <w:color w:val="0000EE"/>
                  <w:w w:val="95"/>
                </w:rPr>
                <w:t>Legal Proceedings</w:t>
              </w:r>
            </w:hyperlink>
          </w:p>
        </w:tc>
        <w:tc>
          <w:tcPr>
            <w:tcW w:w="77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1.A.</w:t>
              </w:r>
            </w:hyperlink>
          </w:p>
        </w:tc>
        <w:tc>
          <w:tcPr>
            <w:tcW w:w="9100" w:type="dxa"/>
            <w:vAlign w:val="bottom"/>
            <w:gridSpan w:val="2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Risk Factors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2"/>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Unregistered Sales of Equity Securities and Use of Proceeds</w:t>
              </w:r>
            </w:hyperlink>
          </w:p>
        </w:tc>
        <w:tc>
          <w:tcPr>
            <w:tcW w:w="474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3.</w:t>
              </w:r>
            </w:hyperlink>
          </w:p>
        </w:tc>
        <w:tc>
          <w:tcPr>
            <w:tcW w:w="500" w:type="dxa"/>
            <w:vAlign w:val="bottom"/>
            <w:gridSpan w:val="2"/>
          </w:tcPr>
          <w:p>
            <w:pPr>
              <w:spacing w:after="0"/>
              <w:rPr>
                <w:sz w:val="24"/>
                <w:szCs w:val="24"/>
                <w:color w:val="auto"/>
              </w:rPr>
            </w:pPr>
          </w:p>
        </w:tc>
        <w:tc>
          <w:tcPr>
            <w:tcW w:w="4360" w:type="dxa"/>
            <w:vAlign w:val="bottom"/>
            <w:gridSpan w:val="12"/>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Defaults Upon Senior Securities</w:t>
              </w:r>
            </w:hyperlink>
          </w:p>
        </w:tc>
        <w:tc>
          <w:tcPr>
            <w:tcW w:w="474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4.</w:t>
              </w:r>
            </w:hyperlink>
          </w:p>
        </w:tc>
        <w:tc>
          <w:tcPr>
            <w:tcW w:w="500" w:type="dxa"/>
            <w:vAlign w:val="bottom"/>
            <w:gridSpan w:val="2"/>
          </w:tcPr>
          <w:p>
            <w:pPr>
              <w:spacing w:after="0"/>
              <w:rPr>
                <w:sz w:val="24"/>
                <w:szCs w:val="24"/>
                <w:color w:val="auto"/>
              </w:rPr>
            </w:pPr>
          </w:p>
        </w:tc>
        <w:tc>
          <w:tcPr>
            <w:tcW w:w="1780" w:type="dxa"/>
            <w:vAlign w:val="bottom"/>
            <w:gridSpan w:val="8"/>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Mine Safety Disclosures</w:t>
              </w:r>
            </w:hyperlink>
          </w:p>
        </w:tc>
        <w:tc>
          <w:tcPr>
            <w:tcW w:w="540" w:type="dxa"/>
            <w:vAlign w:val="bottom"/>
          </w:tcPr>
          <w:p>
            <w:pPr>
              <w:spacing w:after="0"/>
              <w:rPr>
                <w:sz w:val="24"/>
                <w:szCs w:val="24"/>
                <w:color w:val="auto"/>
              </w:rPr>
            </w:pPr>
          </w:p>
        </w:tc>
        <w:tc>
          <w:tcPr>
            <w:tcW w:w="678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Other Information</w:t>
              </w:r>
            </w:hyperlink>
          </w:p>
        </w:tc>
        <w:tc>
          <w:tcPr>
            <w:tcW w:w="460" w:type="dxa"/>
            <w:vAlign w:val="bottom"/>
            <w:gridSpan w:val="3"/>
          </w:tcPr>
          <w:p>
            <w:pPr>
              <w:spacing w:after="0"/>
              <w:rPr>
                <w:sz w:val="24"/>
                <w:szCs w:val="24"/>
                <w:color w:val="auto"/>
              </w:rPr>
            </w:pPr>
          </w:p>
        </w:tc>
        <w:tc>
          <w:tcPr>
            <w:tcW w:w="732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Exhibits</w:t>
              </w:r>
            </w:hyperlink>
          </w:p>
        </w:tc>
        <w:tc>
          <w:tcPr>
            <w:tcW w:w="77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44">
              <w:r>
                <w:rPr>
                  <w:rFonts w:ascii="Times New Roman" w:cs="Times New Roman" w:eastAsia="Times New Roman" w:hAnsi="Times New Roman"/>
                  <w:sz w:val="18"/>
                  <w:szCs w:val="18"/>
                  <w:color w:val="0000EE"/>
                  <w:w w:val="96"/>
                </w:rPr>
                <w:t>SIGNATURES</w:t>
              </w:r>
            </w:hyperlink>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3"/>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1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25,544</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148,324</w:t>
            </w:r>
          </w:p>
        </w:tc>
      </w:tr>
      <w:tr>
        <w:trPr>
          <w:trHeight w:val="243"/>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15,870</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202,791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93,895</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111,395</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279,259</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1,930</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728,027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13,863</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73,895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6,833</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1,958</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100,471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283,787</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23,148</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6,482</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422,963</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28,915,088 and 28,562,608 shares issued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226,616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71,553</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270,897</w:t>
            </w: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271,074</w:t>
            </w:r>
          </w:p>
        </w:tc>
      </w:tr>
      <w:tr>
        <w:trPr>
          <w:trHeight w:val="25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728,027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69"/>
        </w:trPr>
        <w:tc>
          <w:tcPr>
            <w:tcW w:w="47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561,592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389,131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52,332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166,714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155,559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122,232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withdrawal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engineering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5,581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7,910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net of taxes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7,897</w:t>
            </w:r>
          </w:p>
        </w:tc>
      </w:tr>
      <w:tr>
        <w:trPr>
          <w:trHeight w:val="31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28,360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29,447</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Mistras</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4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Inc.</w:t>
            </w:r>
          </w:p>
        </w:tc>
        <w:tc>
          <w:tcPr>
            <w:tcW w:w="16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1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9"/>
                <w:szCs w:val="9"/>
                <w:color w:val="auto"/>
              </w:rPr>
            </w:pPr>
          </w:p>
        </w:tc>
        <w:tc>
          <w:tcPr>
            <w:tcW w:w="96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Inc.</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28,685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228,883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73,691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281,083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281,279</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3,087</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1,682</w:t>
            </w:r>
          </w:p>
        </w:tc>
        <w:tc>
          <w:tcPr>
            <w:tcW w:w="0" w:type="dxa"/>
            <w:vAlign w:val="bottom"/>
          </w:tcPr>
          <w:p>
            <w:pPr>
              <w:spacing w:after="0"/>
              <w:rPr>
                <w:sz w:val="1"/>
                <w:szCs w:val="1"/>
                <w:color w:val="auto"/>
              </w:rPr>
            </w:pPr>
          </w:p>
        </w:tc>
      </w:tr>
      <w:tr>
        <w:trPr>
          <w:trHeight w:val="15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of options and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0" w:type="dxa"/>
            <w:vAlign w:val="bottom"/>
          </w:tcPr>
          <w:p>
            <w:pPr>
              <w:spacing w:after="0"/>
              <w:rPr>
                <w:sz w:val="1"/>
                <w:szCs w:val="1"/>
                <w:color w:val="auto"/>
              </w:rPr>
            </w:pPr>
          </w:p>
        </w:tc>
      </w:tr>
      <w:tr>
        <w:trPr>
          <w:trHeight w:val="282"/>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28,915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228,287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76,784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278,158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278,346</w:t>
            </w: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June 30, 2018</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28,374</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224,634</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73,624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277,671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277,854</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1,899</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2018</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28,496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226,054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72,613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278,095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278,278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1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9"/>
                <w:szCs w:val="9"/>
                <w:color w:val="auto"/>
              </w:rPr>
            </w:pPr>
          </w:p>
        </w:tc>
        <w:tc>
          <w:tcPr>
            <w:tcW w:w="96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Inc.</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2018</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226,616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71,553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270,897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271,074</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5,244</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4,598</w:t>
            </w:r>
          </w:p>
        </w:tc>
        <w:tc>
          <w:tcPr>
            <w:tcW w:w="0" w:type="dxa"/>
            <w:vAlign w:val="bottom"/>
          </w:tcPr>
          <w:p>
            <w:pPr>
              <w:spacing w:after="0"/>
              <w:rPr>
                <w:sz w:val="1"/>
                <w:szCs w:val="1"/>
                <w:color w:val="auto"/>
              </w:rPr>
            </w:pPr>
          </w:p>
        </w:tc>
      </w:tr>
      <w:tr>
        <w:trPr>
          <w:trHeight w:val="15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of options and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(2,959)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228,287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76,784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278,158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278,346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18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2017</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222,425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64,716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270,618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270,791</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7,910</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(4,051)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(4,054)</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4,763</w:t>
            </w:r>
          </w:p>
        </w:tc>
        <w:tc>
          <w:tcPr>
            <w:tcW w:w="0" w:type="dxa"/>
            <w:vAlign w:val="bottom"/>
          </w:tcPr>
          <w:p>
            <w:pPr>
              <w:spacing w:after="0"/>
              <w:rPr>
                <w:sz w:val="1"/>
                <w:szCs w:val="1"/>
                <w:color w:val="auto"/>
              </w:rPr>
            </w:pPr>
          </w:p>
        </w:tc>
      </w:tr>
      <w:tr>
        <w:trPr>
          <w:trHeight w:val="15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2018</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226,054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72,613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278,095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278,278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w:t>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7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387"/>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7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7,910</w:t>
            </w:r>
          </w:p>
        </w:tc>
      </w:tr>
      <w:tr>
        <w:trPr>
          <w:trHeight w:val="265"/>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25,736</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3,188</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4,760</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Fair value adjustments to contingent consideration</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sale of subsidiary</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r>
      <w:tr>
        <w:trPr>
          <w:trHeight w:val="27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(20,258)</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918</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3,019</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7,456</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w:t>
            </w:r>
          </w:p>
        </w:tc>
      </w:tr>
      <w:tr>
        <w:trPr>
          <w:trHeight w:val="245"/>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24,184</w:t>
            </w:r>
          </w:p>
        </w:tc>
      </w:tr>
      <w:tr>
        <w:trPr>
          <w:trHeight w:val="27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(15,386)</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Disposition of business, net of cash sold</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4,800</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1,140</w:t>
            </w:r>
          </w:p>
        </w:tc>
      </w:tr>
      <w:tr>
        <w:trPr>
          <w:trHeight w:val="25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w:t>
            </w:r>
          </w:p>
        </w:tc>
      </w:tr>
      <w:tr>
        <w:trPr>
          <w:trHeight w:val="265"/>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borrowings of long-term debt</w:t>
            </w:r>
          </w:p>
        </w:tc>
        <w:tc>
          <w:tcPr>
            <w:tcW w:w="1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1,743</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revolver</w:t>
            </w:r>
          </w:p>
        </w:tc>
        <w:tc>
          <w:tcPr>
            <w:tcW w:w="1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28,076</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revolver</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(43,990)</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acquisitions</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r>
      <w:tr>
        <w:trPr>
          <w:trHeight w:val="265"/>
        </w:trPr>
        <w:tc>
          <w:tcPr>
            <w:tcW w:w="7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r>
      <w:tr>
        <w:trPr>
          <w:trHeight w:val="25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(23,905)</w:t>
            </w:r>
          </w:p>
        </w:tc>
      </w:tr>
      <w:tr>
        <w:trPr>
          <w:trHeight w:val="265"/>
        </w:trPr>
        <w:tc>
          <w:tcPr>
            <w:tcW w:w="7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25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r>
      <w:tr>
        <w:trPr>
          <w:trHeight w:val="265"/>
        </w:trPr>
        <w:tc>
          <w:tcPr>
            <w:tcW w:w="7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25,544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27,541</w:t>
            </w:r>
          </w:p>
        </w:tc>
      </w:tr>
      <w:tr>
        <w:trPr>
          <w:trHeight w:val="25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14,372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17,073</w:t>
            </w:r>
          </w:p>
        </w:tc>
      </w:tr>
      <w:tr>
        <w:trPr>
          <w:trHeight w:val="245"/>
        </w:trPr>
        <w:tc>
          <w:tcPr>
            <w:tcW w:w="7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5"/>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5,418</w:t>
            </w:r>
          </w:p>
        </w:tc>
      </w:tr>
      <w:tr>
        <w:trPr>
          <w:trHeight w:val="265"/>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9,658</w:t>
            </w:r>
          </w:p>
        </w:tc>
      </w:tr>
      <w:tr>
        <w:trPr>
          <w:trHeight w:val="275"/>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7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3,850</w:t>
            </w:r>
          </w:p>
        </w:tc>
      </w:tr>
    </w:tbl>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60"/>
          </w:cols>
          <w:pgMar w:left="240" w:top="118" w:right="499" w:bottom="1440" w:gutter="0" w:footer="0" w:header="0"/>
        </w:sect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240" w:top="118" w:right="49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global provider of technology-enabled asset protection solutions used to evaluate the structural integrity and reliability of critical energy, industrial, public infrastructure and commercial aerospace components.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years ending December 31, 2019 and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(“2018 Annual Report”) for the year ended December 31, 2018, dated March 15,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nine months ended September 30, 2019 and 2018, no customer represented 10% or more of the Company's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2018 Annual Report. On an ongoing basis, the Company evaluates its estimates and assumptions, including among other things, those related to revenue recognition, long-lived assets, goodwill and acquisitions. Since the date of the 2018 Annual Report, there have been no material changes to the Company's significant accounting policies, other than its adoption of the new leasing standard on January 1, 2019.</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22, 2017, the United States enacted fundamental changes to federal tax law following the passage of the Tax Cuts and Jobs Act (the “Tax Act”). The Company’s financial statements for the periods ended September 30, 2019 and September 30, 2018 reflected provisions of the Tax Act effective for periods beginning after December 31, 2017, which includes the reduced federal corporate tax rate of from 35% to 21%, adjustments made to executive compensation and meals and entertainment rules, and the inclusion of new categories of income, global intangible low-taxes income (“GILTI”) and foreign derived intangible income (“FDII”). The Company’s effective income tax rate was approximately 61% and 190% for the three months ended September 30, 2019 and 2018, respectively. The Company's effective income tax rate was approximately 55% and 44% for the nine months ended September 30, 2019 and 2018, respectively. The effective income tax rate for the third quarter and first nine-months of 2019 and 2018 was higher than the statutory rate due to the impact of discrete items, GILTI, executive compensation, and other provisions resulting from the passage of the Tax Act and foreign tax rates different than statutory rates in the U.S..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has completed the accounting for the adoption of the Tax Act. The amounts recorded in 2019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Given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In 2018, the Company made an accounting policy election to account for these effects under the period cost method.</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Mistras and its subsidiaries file tax returns in the U.S., including various state and local returns, and in other foreign jurisdictions. The Company believes adequate provision has been made for all income tax uncertainties.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color w:val="auto"/>
        </w:rPr>
        <w:t xml:space="preserve">In February 2016, the </w:t>
      </w:r>
      <w:r>
        <w:rPr>
          <w:rFonts w:ascii="Times New Roman" w:cs="Times New Roman" w:eastAsia="Times New Roman" w:hAnsi="Times New Roman"/>
          <w:sz w:val="17"/>
          <w:szCs w:val="17"/>
          <w:color w:val="080808"/>
        </w:rPr>
        <w:t>Financial Accounting Standards Board ("</w:t>
      </w:r>
      <w:r>
        <w:rPr>
          <w:rFonts w:ascii="Times New Roman" w:cs="Times New Roman" w:eastAsia="Times New Roman" w:hAnsi="Times New Roman"/>
          <w:sz w:val="17"/>
          <w:szCs w:val="17"/>
          <w:color w:val="auto"/>
        </w:rPr>
        <w:t xml:space="preserve">FASB") issued Accounting Standards Update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which the Company adopted as of January 1, 2019. Topic 842 requires the recognition of lease rights and obligations as assets and liabilities on the balance sheet. The Company elected the modified retrospective method permitted by the standard, upon which prior-period information has not been restated.</w:t>
      </w:r>
    </w:p>
    <w:p>
      <w:pPr>
        <w:spacing w:after="0" w:line="15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standard provided for several practical expedient options for use in transition. The Company elected to utilize the “package of practical expedients,” which permits the Company not to reassess previous conclusions reached on lease identification, lease classification and initial direct costs. The Company also elected to utilize the practical expedient available to not separate lease and non-lease components within the lease and has therefore accounted for all lease components as a single lease component.</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Adoption of the new standard resulted in the recording of a right-of-use (ROU) asset and liability related to the Company’s operating leases of approximately $38 million as of January 1, 2019. The new standard did not have a material impact to our statements of income or cash flows.</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xml:space="preserve"> This amendment eliminates Step Two of the goodwill impairment test. Under the amendments in this update, entities should perform the annual goodwill impairment test by comparing the carrying value of their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was adopted on January 1, 2018.</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majority of our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is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112,559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22,484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21,571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11,138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9,920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9,133</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5,387</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152,572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192,192</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9"/>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99,542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25,804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24,794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8,338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5,982</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6,832</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141,340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182,169</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9"/>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301,696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335,280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71,568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68,945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31,540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27,440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21,684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13,138</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454,079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109,302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287,620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316,184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82,419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68,801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33,550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24,620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18,908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17,110</w:t>
            </w: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434,653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116,238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561,592</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126,409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28,927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31,643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5,213</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152,572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192,192</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9"/>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120,454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23,657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35,029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3,029</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141,340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182,169</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9"/>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368,600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374,150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88,228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97,244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9,973</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454,079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109,302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9"/>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6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364,813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371,570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71,335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108,902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9,785</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434,653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561,592</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our customers before revenue is recognized, resulting in contract liabilities. These assets and liabilities are aggregated on an individual contract basis and reported on the Condensed Consolidated Balance Sheets at the end of each reporting period within accounts receivables or accrued expenses and other current liabilities.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recognized in 2019 that was included in the contract liability balance at the beginning of the year was $3.4 million. Changes in the contract asset and liability balances during the quarter ended September 30, 2019,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311"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and 2018, the Company did not recognize any share-based compensation expense related to stock option awards, as all outstanding stock options awards are fully vested. No unrecognized compensation costs remained related to stock option awards as of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2,105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2,130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or 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6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2,105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2019 and September 30, 2018, the Company recognized share-based compensation expense related to restricted stock unit awards of $1.0 million and $1.3 million, respectively. For the nine months ended September 30, 2019 and September 30, 2018, the Company recognized share-based compensation expense related to restricted stock unit awards of $3.0 million and $3.3 million, respectively. As of September 30, 2019, there was $7.8 million of unrecognized compensation costs, net of estimated forfeitures, related to restricted stock unit awards, which is expected to be recognized over a remaining weighted-average period of 2.6 years. Upon vesting, restricted stock units are generally net share-settled to cover the required minimum withholding tax and the remaining amount is converted into an equivalent number of shares of common stock.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1"/>
                <w:szCs w:val="21"/>
                <w:color w:val="auto"/>
              </w:rPr>
            </w:pP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3,406</w:t>
            </w:r>
          </w:p>
        </w:tc>
      </w:tr>
    </w:tbl>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six non-employee directors, in connection with its non-employee director compensation plan,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issued</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12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p>
      <w:pPr>
        <w:spacing w:after="0" w:line="1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71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2"/>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0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equity-classified.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1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2"/>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and September 30, 2018, the Compensation Committee approved the final calculation of the award metrics for calendar year 2018 and calendar year 2017, respectively. As a result, the calendar year 2018 PRSUs decreased by approximately 3,000 units and the calendar year 2017 PRSUs increased by approximately 4,000 units. Calendar year 2019 PRSUs decreased approximately 33,000 units during the nine months ended September 30, 2019 based on forecasted results for calendar year 2019. Calendar year 2018 PRSUs decreased approximately 32,000 units during the nine months ended September 30, 2018 based on forecasted results for calendar year 2018.</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2019, the liability related to Discretionary PRSUs was less than $0.1 million and is classified within Accrued expenses and other current liabilities on the Condensed Consolidated Balance Sheets.</w:t>
      </w:r>
    </w:p>
    <w:p>
      <w:pPr>
        <w:spacing w:after="0" w:line="16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2019 and September 30, 2018, the Company recognized aggregate share-based compensation expense related to the awards described above of approximately $0.5 million and $0.4 million, respectively. For the nine months ended September 30, 2019 and September 30, 2018, the Company recognized aggregate share-based compensation expense related to the awards described above of approximately $1.2 million and $1.0 million, respectively. At September 30, 2019, there was $3.1 million of total unrecognized compensation costs related to approximately 354,000 non-vested PRSUs, which is expected to be recognized over a remaining weighted-average period of 2.3 years.</w:t>
      </w:r>
    </w:p>
    <w:p>
      <w:pPr>
        <w:spacing w:after="0" w:line="200" w:lineRule="exact"/>
        <w:rPr>
          <w:sz w:val="20"/>
          <w:szCs w:val="20"/>
          <w:color w:val="auto"/>
        </w:rPr>
      </w:pPr>
    </w:p>
    <w:p>
      <w:pPr>
        <w:spacing w:after="0" w:line="331"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28,360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Dilutive effect of stock options outstanding</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Dilutive effect of restricted stock units outstanding</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firstLine="8"/>
        <w:spacing w:after="0" w:line="290" w:lineRule="auto"/>
        <w:tabs>
          <w:tab w:leader="none" w:pos="17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For the three months ended September 30, 2018, 805 and 364 shares related to stock options and restricted stock, respectively, were excluded from the calculation of diluted EPS due to the net loss for the period.</w:t>
      </w:r>
    </w:p>
    <w:p>
      <w:pPr>
        <w:spacing w:after="0" w:line="144"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completed one acquisition that provides pipeline integrity management software and services to energy transportation companies. The Company acquired all the equity interest of the acquiree in exchange for aggregate consideration of $4.8 million in cash, contingent consideration of up to $4.3 million to be earned based upon the acquired business achieving specific performance metrics over the initial three years of operations from the acquisition date and working capital adjustments, which have not been finalized. The Company accounted for this transaction in accordance with the acquisition method of accounting for business combinations.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preliminary purchase price to the estimated fair values of the assets acquired and liabilities assumed at the date of acquisition, with the excess recorded as goodwill: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4,843</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r>
      <w:tr>
        <w:trPr>
          <w:trHeight w:val="257"/>
        </w:trPr>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5,924</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54"/>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1,753</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5,924</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assets and liabilities of the business acquired in 2019 are included in the Condensed Consolidated Balance Sheets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acquired and liabilities assumed. Goodwill primarily relates to expected synergies and is generally fully deductible for tax purposes. Intangible assets primarily relate to technology and customer relationships.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business acquired in 2019 have been included in the Services segment within the Unaudited Condensed Consolidated Statements of Income (Loss) from the closing date of this transaction and approximates $0.6 million for revenues and $0.1 million operating loss for the three and nine months ended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2018, the Company did not complete any acquisitions.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completed one acquisition during the fourth quarter of 2018. The acquired company primarily provides services to the midstream area within the oil and gas industry, with headquarters in Canada and a location in the U.S. The Company acquired 100% of the equity interests of the acquiree's Canadian and U.S. entities in exchange for aggregate consideration of $143.1 million in cash. The Company accounted for this transaction in accordance with the acquisition method of accounting for business combinations.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During the three months ended September 30, 2019, the Company adjusted provisional amounts recorded and related effects as follows:</w:t>
      </w:r>
    </w:p>
    <w:p>
      <w:pPr>
        <w:spacing w:after="0" w:line="225" w:lineRule="exact"/>
        <w:rPr>
          <w:sz w:val="20"/>
          <w:szCs w:val="20"/>
          <w:color w:val="auto"/>
        </w:rPr>
      </w:pPr>
    </w:p>
    <w:p>
      <w:pPr>
        <w:ind w:left="660" w:right="2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The Company decreased the $8.5 million provisional fair value of property, plant and equipment by $0.6 million with a corresponding increase to goodwill.</w:t>
      </w:r>
    </w:p>
    <w:p>
      <w:pPr>
        <w:ind w:left="660" w:right="7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The Company increased the $5.0 million provisional fair value of debt and other liabilities by $0.4 million with a corresponding increase to goodwill.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still in the process of completing the remaining valuation of the assets acquired.</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filed a claim with the seller and the Company's insurance carrier through which the Company has representations and warranty insurance with respect to certain matters that may impact the purchase price. This matter is currently being investigated and discussed with the seller and the Company's insurance carrier.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(benefit), net on the Unaudited Condensed Consolidated Statements of Income (Loss) and were as follows for the three and nine months ended September 30, 2019 and 2018: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(1,143)</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third quarter of 2018, substantially all of the assets and liabilities of a subsidiary in the Products and Systems segment were sold for approximately $4.3 million, inclusive of a $0.5 million post-closing adjustment. For the nine months ended September 30, 2018, the Company recognized a gain of approximately $2.4 million related to the sale, which is reported as a Gain on sale of subsidiary on the Unaudited Condensed Consolidated Statement of Income (Loss). The sale also included a three-year agreement to purchase products from the buyer, with a cumulative commitment of $2.3 million (see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20"/>
        </w:trPr>
        <w:tc>
          <w:tcPr>
            <w:tcW w:w="8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152,511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148,324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 had $32.3 million and $16.1 million of unbilled revenues accrued as of September 30, 2019 and December 31, 2018, respectively. These amounts are included in the trade accounts receivable balances above. Unbilled revenues are generally billed in the subsequent quarter to their revenue recognition.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Company recorded a reserve of $0.7 million for a renewable energy industry customer, based in part on the available information about the financial difficulties of the customer. This customer filed for a voluntary insolvency proceeding on April 9, 2019 at which time payments under the previously agreed upon payment plan ceased. As a result, during the first quarter of 2019, the Company recorded an additional charge of $5.7 million to fully reserve for the amount of the exposure related to this customer. During the second quarter of 2019, the Company reversed $1.0 million of this reserve based on additional information obtained during the quarter. There were no changes during the third quarter of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392" w:lineRule="exact"/>
        <w:rPr>
          <w:sz w:val="20"/>
          <w:szCs w:val="20"/>
          <w:color w:val="auto"/>
        </w:rPr>
      </w:pPr>
    </w:p>
    <w:p>
      <w:pPr>
        <w:ind w:left="680" w:hanging="672"/>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3"/>
                <w:szCs w:val="13"/>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3"/>
                <w:szCs w:val="13"/>
                <w:color w:val="auto"/>
              </w:rPr>
            </w:pPr>
          </w:p>
        </w:tc>
        <w:tc>
          <w:tcPr>
            <w:tcW w:w="14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9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24,338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16,170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208,245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251,433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93,895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expense for each of the three months ended September 30, 2019 and September 30, 2018 was approximately $5.8 million and $6.0 million, respectively.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Depreciation expense for each of the nine months ended September 30, 2019 and September 30, 2018 was approximately $18.0 million and $18.2 million, respectively.</w:t>
      </w:r>
    </w:p>
    <w:p>
      <w:pPr>
        <w:spacing w:after="0" w:line="37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35,783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279,259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1,753</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248,982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34,139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283,121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 As of September 30, 2019, the Company did not identify any changes in circumstances that would indicate the carrying value of goodwill may not be recoverable.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cumulative goodwill impairment as of September 30, 2019 and December 31, 2018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51,631</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Software/Technology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53,921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208,251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106,893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111,395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2019 and September 30, 2018 was approximately $3.4 million and $2.5 million, respectively.</w:t>
      </w:r>
    </w:p>
    <w:p>
      <w:pPr>
        <w:spacing w:after="0" w:line="22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Amortization expense for the nine months ended September 30, 2019 and September 30, 2018 was approximately $10.5 million and $7.5 million, respectively.</w:t>
      </w:r>
    </w:p>
    <w:p>
      <w:pPr>
        <w:spacing w:after="0" w:line="374" w:lineRule="exact"/>
        <w:rPr>
          <w:sz w:val="20"/>
          <w:szCs w:val="20"/>
          <w:color w:val="auto"/>
        </w:rPr>
      </w:pPr>
    </w:p>
    <w:p>
      <w:pPr>
        <w:ind w:left="780" w:hanging="772"/>
        <w:spacing w:after="0"/>
        <w:tabs>
          <w:tab w:leader="none" w:pos="7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20"/>
        </w:trPr>
        <w:tc>
          <w:tcPr>
            <w:tcW w:w="60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29,959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accrual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37"/>
        </w:trPr>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5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86,452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73,895</w:t>
            </w: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5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75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 w:type="dxa"/>
            <w:vAlign w:val="bottom"/>
            <w:vMerge w:val="continue"/>
          </w:tcPr>
          <w:p>
            <w:pPr>
              <w:spacing w:after="0"/>
              <w:rPr>
                <w:sz w:val="24"/>
                <w:szCs w:val="24"/>
                <w:color w:val="auto"/>
              </w:rPr>
            </w:pPr>
          </w:p>
        </w:tc>
        <w:tc>
          <w:tcPr>
            <w:tcW w:w="7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20"/>
        </w:trPr>
        <w:tc>
          <w:tcPr>
            <w:tcW w:w="60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181,656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secured term loan, net of debt issuance costs of $0.1 million</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99,897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290,620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283,787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revolving credit agreement with its banking group ("Credit Agreement") provides the Company with a $300 million revolving line of credit, which, under certain circumstances, can be increased to $450 million with the approval of the banks. In addition, the Credit Agreement provides the Company with a $100 million senior secured term loan A facility. Both the revolving line of credit and the term loan A facility under the Credit Agreement have a maturity date of December 12, 2023. The Company may borrow up to $100 million in non-U.S. Dollar currencies and use up to $20 million of the credit limit for the issuance of letters of credit. As of September 30, 2019, the Company had borrowings of $259.4 million and a total of $5.4 million of letters of credit outstanding under the Credit Agreement. The Company has capitalized costs associated with debt modifications of $0.9 million as of September 30, 2019, which is included in Other assets on the Condensed Consolidated Balance Sheets.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Loans under the Credit Agreement bear interest at the London Interbank Offered Rate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certain of our subsidiaries.</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no greater than 4.25 to 1 through December 31, 2018, reducing to a maximum permitted ratio of 4.0 to 1 as of March 31, June 30, and September 30, 2019, a maximum permitted ratio of 3.75 to 1 as of December 31, 2019 and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the Company's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19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was in compliance with the terms of the Credit Agreement and will continuously monitor its compliance with the covenants contained in its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and Other</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local bank financing provided at the local subsidiary level used to support working capital requirements and fund capital expenditures. At September 30, 2019, there was an aggregate of approximately $7.9 million outstanding, payable at various times from 2019 to 2029. Monthly payments range from $1 thousand to $17 thousand and interest rates range from 0.4% to 6.2%.</w:t>
      </w:r>
    </w:p>
    <w:p>
      <w:pPr>
        <w:spacing w:after="0" w:line="172" w:lineRule="exact"/>
        <w:rPr>
          <w:sz w:val="20"/>
          <w:szCs w:val="20"/>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(2,282)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liability</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Revaluation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2,353</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82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our leases include one or more options to renew. When it is reasonably certain that we will exercise the option, we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Condensed Consolidated Balance Sheets includes the following related to operating leases:</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vMerge w:val="restart"/>
          </w:tcPr>
          <w:p>
            <w:pPr>
              <w:spacing w:after="0"/>
              <w:rPr>
                <w:sz w:val="13"/>
                <w:szCs w:val="13"/>
                <w:color w:val="auto"/>
              </w:rPr>
            </w:pPr>
          </w:p>
        </w:tc>
        <w:tc>
          <w:tcPr>
            <w:tcW w:w="5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vMerge w:val="restart"/>
          </w:tcPr>
          <w:p>
            <w:pPr>
              <w:spacing w:after="0"/>
              <w:rPr>
                <w:sz w:val="13"/>
                <w:szCs w:val="13"/>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42,433</w:t>
            </w:r>
          </w:p>
        </w:tc>
        <w:tc>
          <w:tcPr>
            <w:tcW w:w="0" w:type="dxa"/>
            <w:vAlign w:val="bottom"/>
          </w:tcPr>
          <w:p>
            <w:pPr>
              <w:spacing w:after="0"/>
              <w:rPr>
                <w:sz w:val="1"/>
                <w:szCs w:val="1"/>
                <w:color w:val="auto"/>
              </w:rPr>
            </w:pPr>
          </w:p>
        </w:tc>
      </w:tr>
      <w:tr>
        <w:trPr>
          <w:trHeight w:val="43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liability - current</w:t>
            </w:r>
          </w:p>
        </w:tc>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43"/>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Right-of-use liability - long-term</w:t>
            </w: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33,531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right-of-use liabilities</w:t>
            </w:r>
          </w:p>
        </w:tc>
        <w:tc>
          <w:tcPr>
            <w:tcW w:w="5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43,167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Included within the balance of operating leases is a lease for the Company’s headquarters which is with a related party. The ROU liability for this facility is approximately $4.7 million as of September 30, 2019 and total rent payments made during the three and nine months ended September 30, 2019 were approximately $0.2 million and $0.7 million, respectively.</w:t>
      </w:r>
    </w:p>
    <w:p>
      <w:pPr>
        <w:spacing w:after="0" w:line="9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2019, the total ROU assets attributable to finance leases are approximately $16.5 million, which is included in Property, plant, and equipment, net on the Condensed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expense</w:t>
            </w:r>
          </w:p>
        </w:tc>
        <w:tc>
          <w:tcPr>
            <w:tcW w:w="4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3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expense</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expense</w:t>
            </w: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14,482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6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was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finance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3,338</w:t>
            </w:r>
          </w:p>
        </w:tc>
      </w:tr>
      <w:tr>
        <w:trPr>
          <w:trHeight w:val="243"/>
        </w:trPr>
        <w:tc>
          <w:tcPr>
            <w:tcW w:w="8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9,361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5,536</w:t>
            </w:r>
          </w:p>
        </w:tc>
      </w:tr>
      <w:tr>
        <w:trPr>
          <w:trHeight w:val="243"/>
        </w:trPr>
        <w:tc>
          <w:tcPr>
            <w:tcW w:w="8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12,766</w:t>
            </w:r>
          </w:p>
        </w:tc>
      </w:tr>
      <w:tr>
        <w:trPr>
          <w:trHeight w:val="27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8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60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2019 were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35"/>
        </w:trPr>
        <w:tc>
          <w:tcPr>
            <w:tcW w:w="8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8,955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6,877</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15,677</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52,046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14,550</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43,167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2018 Annual Report, the following table presents the Company’s future minimum operating lease commitments as of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7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7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45,762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0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0" w:lineRule="exact"/>
        <w:rPr>
          <w:sz w:val="20"/>
          <w:szCs w:val="20"/>
          <w:color w:val="auto"/>
        </w:rPr>
      </w:pPr>
    </w:p>
    <w:p>
      <w:pPr>
        <w:ind w:left="680" w:hanging="672"/>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Company was a defendant in a lawsuit, </w:t>
      </w:r>
      <w:r>
        <w:rPr>
          <w:rFonts w:ascii="Times New Roman" w:cs="Times New Roman" w:eastAsia="Times New Roman" w:hAnsi="Times New Roman"/>
          <w:sz w:val="18"/>
          <w:szCs w:val="18"/>
          <w:i w:val="1"/>
          <w:iCs w:val="1"/>
          <w:color w:val="auto"/>
        </w:rPr>
        <w:t>Triumph Aerostructures, LLC d/b/a Triumph Aerostructures-Vought Aircraft Division v. Mistras Group, Inc</w:t>
      </w:r>
      <w:r>
        <w:rPr>
          <w:rFonts w:ascii="Times New Roman" w:cs="Times New Roman" w:eastAsia="Times New Roman" w:hAnsi="Times New Roman"/>
          <w:sz w:val="18"/>
          <w:szCs w:val="18"/>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Mistras subsequently obtained ownership of the underlying ultrasonic inspection components. A charge for $1.6 million was recorded in 2017 and payment was made in February 2018.</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Company vehicle was involved in an accident in which individuals were injured, property was damaged, and businesses allegedly impacted by the accident have claimed economic losses. One lawsuit has been filed by one of the injured individuals in the U.S. District Court for the District of Colorado, </w:t>
      </w:r>
      <w:r>
        <w:rPr>
          <w:rFonts w:ascii="Times New Roman" w:cs="Times New Roman" w:eastAsia="Times New Roman" w:hAnsi="Times New Roman"/>
          <w:sz w:val="18"/>
          <w:szCs w:val="18"/>
          <w:i w:val="1"/>
          <w:iCs w:val="1"/>
          <w:color w:val="auto"/>
        </w:rPr>
        <w:t>McAllister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 Mistras Group, Inc. </w:t>
      </w:r>
      <w:r>
        <w:rPr>
          <w:rFonts w:ascii="Times New Roman" w:cs="Times New Roman" w:eastAsia="Times New Roman" w:hAnsi="Times New Roman"/>
          <w:sz w:val="18"/>
          <w:szCs w:val="18"/>
          <w:color w:val="auto"/>
        </w:rPr>
        <w:t>The Company has insurance for these types of matters. Most of the claims have been settled, including the claims covered by the</w:t>
      </w:r>
      <w:r>
        <w:rPr>
          <w:rFonts w:ascii="Times New Roman" w:cs="Times New Roman" w:eastAsia="Times New Roman" w:hAnsi="Times New Roman"/>
          <w:sz w:val="18"/>
          <w:szCs w:val="18"/>
          <w:i w:val="1"/>
          <w:iCs w:val="1"/>
          <w:color w:val="auto"/>
        </w:rPr>
        <w:t xml:space="preserve"> McAllister </w:t>
      </w:r>
      <w:r>
        <w:rPr>
          <w:rFonts w:ascii="Times New Roman" w:cs="Times New Roman" w:eastAsia="Times New Roman" w:hAnsi="Times New Roman"/>
          <w:sz w:val="18"/>
          <w:szCs w:val="18"/>
          <w:color w:val="auto"/>
        </w:rPr>
        <w:t>case, and the two remaining unresolved claims are for economic loss and property damage only, and all of the claims, including the two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been resolved, have been or will be fully covered by the Company's insurance.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Investigations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2015, the Company received a notice from the U.S. Environmental Protection Agency (“EPA”) that it performed a preliminary assessment at a leased facility the Company operates in Cudahy, California and would be investigating the site. The purpose of the investigation was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The Company has not received any further notices from EPA regarding this matter. In addition, in 2018, the California Department of Toxic Substances Control notified the owner of the property that it will be performing an additional investigation at the property. At this time, the Company is unable to determine whether it has any liability in connection with this matter and if so, the amount or range of any such liability, and accordingly, has not established any accruals for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18" w:right="27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nine months ended September 30, 2019 for this potential withdrawal liability. The Company’s subsidiary reached an agreement with one of the pension funds in September 2019, for a final payment of $0.9 million in complete satisfaction of the withdrawal liability of the subsidiary. This payment was subsequently paid in October 2019. The balance of the estimated total amount of this potential liability as of September 30, 2019 is approximately $3.1 million, which includes the $0.9 million paid in October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the Company recorded approximately $1.2 million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September 30, 2019.</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 beginning in 2019. Due to the limit on the length of service allowed under the German Labor Lease Act, employees will have to be transitioned off the customer contracts. It is expected that the German subsidiary then will either terminate these employees, creating a severance obligation to the terminated employees, or transition them to the Company's other customers. As of September 30, 2019, the Company accrued approximately $1.1 million for estimated severance payment obligations, which takes into account the Company's estimate with respect to the employees that would be transitioned to the German subsidiaries' other customers. The $1.1 million of estimated obligations is net of $0.2 million in payments and $0.2 million in reversals due to employees being transitioned to customer contracts.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disposition related contingencies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liable for contingent consideration in connection with certain of its acquisitions. As of September 30, 2019, total potential acquisition-related contingent consideration ranged from zero to approximately $7.9 million and would be payable upon the achievement of specific performance metrics by certain of the acquired companies over the next year. See Note 5–</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these condensed consolidated financial statements for further discussion of the Company’s acquisitions.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the Company sold a subsidiary in the Products and Systems segment. As part of the sale, the Company entered into a three-year agreement to purchase products from the buyer, with a cumulative commitment of $2.3 million, of which $1.6 million is remaining as of September 30, 2019. The agreement is based on third party pricing and the Company's planned purchase requirements over the three year purchase period to meet the minimum contractual purchases.</w:t>
      </w:r>
    </w:p>
    <w:p>
      <w:pPr>
        <w:spacing w:after="0" w:line="176" w:lineRule="exact"/>
        <w:rPr>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1140" w:right="180" w:hanging="484"/>
        <w:spacing w:after="0" w:line="267" w:lineRule="auto"/>
        <w:tabs>
          <w:tab w:leader="none" w:pos="89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by Canada, consisting primarily of NDT and inspection and engineering services that are used to evaluate the safety, structural integrity and reliability of critical energy, industrial and public infrastructure and commercial aerospace components.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32" w:lineRule="exact"/>
        <w:rPr>
          <w:sz w:val="20"/>
          <w:szCs w:val="20"/>
          <w:color w:val="auto"/>
        </w:rPr>
      </w:pPr>
    </w:p>
    <w:p>
      <w:pPr>
        <w:ind w:left="1140" w:right="100" w:hanging="484"/>
        <w:spacing w:after="0" w:line="267" w:lineRule="auto"/>
        <w:tabs>
          <w:tab w:leader="none" w:pos="8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1140" w:right="380" w:hanging="484"/>
        <w:spacing w:after="0" w:line="284" w:lineRule="auto"/>
        <w:tabs>
          <w:tab w:leader="none" w:pos="8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454,079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434,653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116,238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569,595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561,592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7"/>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113,675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34,273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7,707</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166,714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155,559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7"/>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36,892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17,892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59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98,362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11,143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1,438</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111,395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545,863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523,506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146,535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12,264</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11,732</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728,027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694,037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revenues by geographic area for the three and nine months ended September 30, 2019 and 2018.</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Repurchase of Common Stock</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approved a $50 million stock repurchase plan in 2015. The Company retired all its repurchased shares during the fourth quarter of 2017. The Board of Directors approved the termination of the stock repurchase plan effective on April 1, 2019. There were no repurchases of common stock during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includes a narrative explanation and analysis of our results of operations and financial condition for the three and nine months ended September 30, 2019 and September 30, 2018.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2018, dated March 15, 2019 (“2018 Annual Report”). Unless otherwise specified or the context otherwise requires, “Mistras,” “the Company,” “we,” “us” and “our” refer to Mistras Group, Inc. and its consolidated subsidiaries. The MD&amp;A includes disclosure in the following areas:</w:t>
      </w:r>
    </w:p>
    <w:p>
      <w:pPr>
        <w:spacing w:after="0" w:line="215" w:lineRule="exact"/>
        <w:rPr>
          <w:sz w:val="20"/>
          <w:szCs w:val="20"/>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2018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offer our customers “OneSource for Asset Protection Solutions®” and are a leading global provider of technology-enabled asset protection solutions used to evaluate the safety, structural integrity and reliability of critical energy, industrial and public infrastructure, and commercial aerospace components.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 We deliver value through a comprehensive “OneSource” portfolio of customized solutions, utilizing a proven systematic method that creates a closed-loop lifecycle for addressing continuous asset protection and improvement.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specialized asset protection solutions include:</w:t>
      </w:r>
    </w:p>
    <w:p>
      <w:pPr>
        <w:spacing w:after="0" w:line="225"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Inspections</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Quality Assurance/Control (QA/QC)</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OneSource model emphasizes the integration of these solutions to service our customers throughout their assets’ lifetimes. Under this business model, many customers outsource their inspection and other asset protection needs to us on a “run-and maintain” basis to ensure the continued safety and structural and operational integrity of their assets.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established long-term relationships as a critical solutions provider to many of the leading companies with asset intensive infrastructure in our target markets. These markets include:</w:t>
      </w:r>
    </w:p>
    <w:p>
      <w:pPr>
        <w:spacing w:after="0" w:line="162"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&amp; Gas (Downstream, Midstream, Upstream and Petrochemical)</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&amp; Defense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Transmission (including nuclear and renewable)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Infrastructure, Research and Engineering</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Industries</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8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Due to these trends, we believe those vendors offering integrated solutions, scalable operations, skilled personnel and a global footprint have a distinct competitive advantage. We believe these trends also enable us to be opportunistic as we consider strategic acquisitions of smaller providers of inspection services.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Services, International and Products and Systems.</w:t>
      </w:r>
    </w:p>
    <w:p>
      <w:pPr>
        <w:spacing w:after="0" w:line="223" w:lineRule="exact"/>
        <w:rPr>
          <w:sz w:val="20"/>
          <w:szCs w:val="20"/>
          <w:color w:val="auto"/>
        </w:rPr>
      </w:pPr>
    </w:p>
    <w:p>
      <w:pPr>
        <w:ind w:left="740" w:right="340" w:hanging="246"/>
        <w:spacing w:after="0" w:line="267" w:lineRule="auto"/>
        <w:tabs>
          <w:tab w:leader="none" w:pos="7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consisting primarily of NDT and inspection, mechanical and engineering services that are used to evaluate the structural integrity and reliability of critical energy, industrial and materials, public infrastructure and commercial aerospace components.</w:t>
      </w:r>
    </w:p>
    <w:p>
      <w:pPr>
        <w:spacing w:after="0" w:line="173" w:lineRule="exact"/>
        <w:rPr>
          <w:rFonts w:ascii="Times New Roman" w:cs="Times New Roman" w:eastAsia="Times New Roman" w:hAnsi="Times New Roman"/>
          <w:sz w:val="18"/>
          <w:szCs w:val="18"/>
          <w:i w:val="1"/>
          <w:iCs w:val="1"/>
          <w:color w:val="auto"/>
        </w:rPr>
      </w:pPr>
    </w:p>
    <w:p>
      <w:pPr>
        <w:jc w:val="both"/>
        <w:ind w:left="740" w:right="180" w:hanging="246"/>
        <w:spacing w:after="0" w:line="267" w:lineRule="auto"/>
        <w:tabs>
          <w:tab w:leader="none" w:pos="7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our Services and Products and Systems segments to select markets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the 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i w:val="1"/>
          <w:iCs w:val="1"/>
          <w:color w:val="auto"/>
        </w:rPr>
      </w:pPr>
    </w:p>
    <w:p>
      <w:pPr>
        <w:ind w:left="740" w:right="500" w:hanging="246"/>
        <w:spacing w:after="0" w:line="284" w:lineRule="auto"/>
        <w:tabs>
          <w:tab w:leader="none" w:pos="7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our asset protection products and systems, including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instrumentation, predominantly in the United States.</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Most of our revenues are generated by deploying technicians at our customers' locations. However, the majority of our revenues from aerospace and certain manufacturing clients are generated by performing inspections and testing at our various in-house laboratories.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20"/>
          </w:cols>
          <w:pgMar w:left="24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We believe these actions, including the acquisitions made will enhance our advantages over our competition.</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Onstream acquisition, which was completed in December 2018, helps support many of our Corporate initiatives. Onstream's strong presence in inline inspection provides us with a strong foundation within the midstream oil and gas market, which is an important piece of our overall growth strategy. We have already generated new business opportunities through introduction of our inline inspection capabilities to existing midstream customers. The acquisition of Onstream also provides us with an additional digital solution for our customers, the Streamview™ software, which is an innovative application of advanced digital technology.</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the following represent key dynamics of the asset protection industry, and that the market available to us will continue to grow as these macro-market trends continue to develop:</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Extending the Useful Life of Aging Infrastructure While Increasing Utilization</w:t>
      </w:r>
      <w:r>
        <w:rPr>
          <w:rFonts w:ascii="Times New Roman" w:cs="Times New Roman" w:eastAsia="Times New Roman" w:hAnsi="Times New Roman"/>
          <w:sz w:val="18"/>
          <w:szCs w:val="18"/>
          <w:color w:val="auto"/>
        </w:rPr>
        <w:t>. Due to the prohibitive costs and challenges of building new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have chosen to extend the useful life of existing assets through enhancements, rather than replacing these assets. This has resulted in the significant aging and increased utilization of existing infrastructure in our target markets. Increasing demand for refined petroleum products, combined with high plant-utilization rates, are driving refineries to upgrade facilities to make them more efficient and expand capacities. Aging infrastructure requires more frequent inspection and maintenance in comparison to new infrastructure,thereby requiring companies and public authorities to continue to spend on asset protection to ensure their aging infrastructure assets continue to operate effectively.</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Outsourcing of Non-Core Activities and Technical Resource Constraints</w:t>
      </w:r>
      <w:r>
        <w:rPr>
          <w:rFonts w:ascii="Times New Roman" w:cs="Times New Roman" w:eastAsia="Times New Roman" w:hAnsi="Times New Roman"/>
          <w:sz w:val="18"/>
          <w:szCs w:val="18"/>
          <w:color w:val="auto"/>
        </w:rPr>
        <w:t>. Due to the increasing sophistication and automation of NDT programs, a decreasing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skilled professionals and increasing governmental regulations, companies are increasingly outsourcing NDT to third-party providers with advanced solution portfolios, engineering expertise and trained workforces.</w:t>
      </w:r>
    </w:p>
    <w:p>
      <w:pPr>
        <w:spacing w:after="0" w:line="17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i w:val="1"/>
          <w:iCs w:val="1"/>
          <w:color w:val="auto"/>
        </w:rPr>
        <w:t>Increasing Corrosion from Low-Quality Inputs</w:t>
      </w:r>
      <w:r>
        <w:rPr>
          <w:rFonts w:ascii="Times New Roman" w:cs="Times New Roman" w:eastAsia="Times New Roman" w:hAnsi="Times New Roman"/>
          <w:sz w:val="17"/>
          <w:szCs w:val="17"/>
          <w:color w:val="auto"/>
        </w:rPr>
        <w:t>. The increased availability and low cost of crude oil from areas such as shale plays and oil sands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led to the use of lower-grade raw materials and feedstock. This leads to higher rates of corrosion, especially in refining processes involving petroleum with higher sulfur content, which in turn increases the need for asset protection solutions to detect and/or proactively prevent corrosion-related issues.</w:t>
      </w:r>
    </w:p>
    <w:p>
      <w:pPr>
        <w:spacing w:after="0" w:line="1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Increasing Use of Advanced Materials</w:t>
      </w:r>
      <w:r>
        <w:rPr>
          <w:rFonts w:ascii="Times New Roman" w:cs="Times New Roman" w:eastAsia="Times New Roman" w:hAnsi="Times New Roman"/>
          <w:sz w:val="18"/>
          <w:szCs w:val="18"/>
          <w:color w:val="auto"/>
        </w:rPr>
        <w:t>. Customers in various of our target markets, particularly aerospace and defense, are increasingly utilizing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demand for these advanced materials during the design, manufacturing, operating and quality control phases.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Meeting Safety Regulations</w:t>
      </w:r>
      <w:r>
        <w:rPr>
          <w:rFonts w:ascii="Times New Roman" w:cs="Times New Roman" w:eastAsia="Times New Roman" w:hAnsi="Times New Roman"/>
          <w:sz w:val="18"/>
          <w:szCs w:val="18"/>
          <w:color w:val="auto"/>
        </w:rPr>
        <w:t>. Owners and operators of refineries, pipelines and petrochemical and chemical plants increasingly face strict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 reliable asset protection suppliers with a track record of assisting organizations in meeting increasingly stringent regulations. Our customers benefit from MISTRAS’ extensive engineering consulting base that supports them in devising mechanical integrity programs that both meet regulatory compliance standards and enable enhanced safety and uptime at their facilities.</w:t>
      </w:r>
    </w:p>
    <w:p>
      <w:pPr>
        <w:spacing w:after="0" w:line="18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Expanding Addressable End-Markets</w:t>
      </w:r>
      <w:r>
        <w:rPr>
          <w:rFonts w:ascii="Times New Roman" w:cs="Times New Roman" w:eastAsia="Times New Roman" w:hAnsi="Times New Roman"/>
          <w:sz w:val="18"/>
          <w:szCs w:val="18"/>
          <w:color w:val="auto"/>
        </w:rPr>
        <w:t>. The continued emergence of and advances in asset protection technologies and software based systems are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demand for asset protection solutions in applications where existing techniques were previously ineffective.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118" w:right="29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Expanding Aerospace Industry</w:t>
      </w:r>
      <w:r>
        <w:rPr>
          <w:rFonts w:ascii="Times New Roman" w:cs="Times New Roman" w:eastAsia="Times New Roman" w:hAnsi="Times New Roman"/>
          <w:sz w:val="18"/>
          <w:szCs w:val="18"/>
          <w:color w:val="auto"/>
        </w:rPr>
        <w:t>. We believe that increased demand will continue to come from the aerospace industry due to the approximately decade-long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for next-generation commercial aircraft to be built, driving the need for advanced solutions that drive cost and quality efficiencies.</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Crude Oil Prices. </w:t>
      </w:r>
      <w:r>
        <w:rPr>
          <w:rFonts w:ascii="Times New Roman" w:cs="Times New Roman" w:eastAsia="Times New Roman" w:hAnsi="Times New Roman"/>
          <w:sz w:val="18"/>
          <w:szCs w:val="18"/>
          <w:color w:val="auto"/>
        </w:rPr>
        <w:t>We believe that this present range for crude oil prices is expected to persist for the foreseeable future. With the prices lower, we have seen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reductions in NDT and maintenance spending, but not to the extent as in recent years due to the price stabilization. We do believe customers will defer inspection or maintenance spending from time to time, which we will see occurring in later 2019 into early 2020.</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More Effective NDT Services</w:t>
      </w:r>
      <w:r>
        <w:rPr>
          <w:rFonts w:ascii="Times New Roman" w:cs="Times New Roman" w:eastAsia="Times New Roman" w:hAnsi="Times New Roman"/>
          <w:sz w:val="18"/>
          <w:szCs w:val="18"/>
          <w:color w:val="auto"/>
        </w:rPr>
        <w:t>. We believe customers are constantly looking for ways to reduce their overall inspection and maintenance spending,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the reliability and safety of their operations. Accordingly, we believe providers of NDT and inspection services that utilize data analytics, risk-based inspection planning and other advanced tools and platforms that can provide customers with effective inspections at an overall lower cost will be more successful and gain market share.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the non-GAAP financial measures of other companies.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118" w:right="3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nine months ended September 30, 2019 and September 30,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4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182,169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569,595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561,592</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166,714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155,559</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144,912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135,839</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21,802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19,720</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5,581</w:t>
            </w:r>
          </w:p>
        </w:tc>
      </w:tr>
      <w:tr>
        <w:trPr>
          <w:trHeight w:val="27"/>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14,139</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6,229</w:t>
            </w:r>
          </w:p>
        </w:tc>
      </w:tr>
      <w:tr>
        <w:trPr>
          <w:trHeight w:val="27"/>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7,910</w:t>
            </w:r>
          </w:p>
        </w:tc>
      </w:tr>
      <w:tr>
        <w:trPr>
          <w:trHeight w:val="225"/>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net of taxes</w:t>
            </w:r>
          </w:p>
        </w:tc>
        <w:tc>
          <w:tcPr>
            <w:tcW w:w="180" w:type="dxa"/>
            <w:vAlign w:val="bottom"/>
          </w:tcPr>
          <w:p>
            <w:pPr>
              <w:spacing w:after="0"/>
              <w:rPr>
                <w:sz w:val="20"/>
                <w:szCs w:val="20"/>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7,897</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September 30, 2019 were $192.2 million, an increase of $10.0 million, or 6%, compared with the three months ended September 30, 2018. Revenues for the nine months ended September 30, 2019 were $569.6 million, an increase of $8.0 million, or 1%, compared with the nine months ended September 30,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segment for the three and nine months ended September 30, 2019 and September 30,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454,079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434,653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116,238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569,595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561,592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color w:val="auto"/>
        </w:rPr>
        <w:t>In the three months ended September 30, 2019, total revenues increased 6% due to a combination of mid-single-digit acquisition growth and a low single-digit organic growth, partially offset by the unfavorable impact of foreign exchange rates. Services segment revenues increased 8%, driven by mid-single-digit acquisition growth and low single-digit organic growth, partially offset by the low-single digit unfavorable impact of foreign exchange rates.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International segment revenues increased 1%, driven by mid-single-digit organic growth, partially offset by the mid-single-digit unfavorable impact of foreign exchange rates. Products and Systems segment revenues decreased by 3%, due primarily to the sale of a subsidiary within the segment during the third quarter of 2018.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Oil and gas customer revenues comprised approximately 59% and 55% of total revenues for the three months ended September 30, 2019 and 2018, respectively. Aerospace and defense customer revenues comprised approximately 12% and 14% of total revenues for the three months ended September 30, 2019 and 2018, respectively. This decrease in aerospace and defense customer revenues is attributed to the run-off of the German staff leasing contracts in the International segment, as more fully described in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 this Quarterly Report, and the increase in volume in the oil and gas market is due to the Onstream acquisition completed in the fourth quarter of 2018. The Company’s top ten customers comprised approximately 34% of total revenues for the three months ended September 30, 2019, as compared to 32% for the three months ended September 30, 2018, with no customer accounting for 10% or more of total revenues in either three-month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2019, total revenues increased 1% due to a combination of mid-single-digit acquisition growth, partially offset by low single-digit organic decline and low single-digit unfavorable impact of foreign exchange rates. Services segment revenues increased 5%, driven by mid-single-digit acquisition growth, partially offset by low single-digit organic decline and the unfavorable impact of foreign exchange rates. International segment revenues decreased 6%, driven by the unfavorable impact of foreign exchange rates. Products and Systems segment revenues decreased by 24% driven by lower sales volume and by the sale of a subsidiary in this segment during the third quarter of 2018.</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Oil and gas customer revenues comprised approximately 59% and 56% of total revenues for the nine months ended September 30, 2019 and 2018, respectively. Aerospace and defense customer revenues comprised approximately 13% and 15% of total revenues for the nine months ended September 30, 2019 and 2018, respectively. This decrease in aerospace and defense customer revenues is attributed to the run-off of the German staff leasing contracts in the International segment, as more fully described in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 this Quarterly Report, and the increased volume in the oil and gas market is due to the Onstream acquisition completed in the fourth quarter of 2018. The Company’s top ten customers comprised approximately 35% of total revenues for both the nine months ended September 30, 2019 and the nine months ended September 30, 2018, with no customer accounting for 10% or more of total revenues in either nine-month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increased by $5.4 million, or 10%, in the three months ended September 30, 2019, on an increase in sales of 6%. Gross profit increased by $11.2 million, or 7%, in the nine months ended September 30, 2019, on an increase in sales of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nine months ended September 30, 2019 and September 30, 2018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127,903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113,675</w:t>
            </w:r>
          </w:p>
        </w:tc>
      </w:tr>
      <w:tr>
        <w:trPr>
          <w:trHeight w:val="243"/>
        </w:trPr>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26.2%</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34,273</w:t>
            </w:r>
          </w:p>
        </w:tc>
      </w:tr>
      <w:tr>
        <w:trPr>
          <w:trHeight w:val="243"/>
        </w:trPr>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29.5%</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7,707</w:t>
            </w:r>
          </w:p>
        </w:tc>
      </w:tr>
      <w:tr>
        <w:trPr>
          <w:trHeight w:val="243"/>
        </w:trPr>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44.6%</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37"/>
        </w:trPr>
        <w:tc>
          <w:tcPr>
            <w:tcW w:w="45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166,714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155,559</w:t>
            </w:r>
          </w:p>
        </w:tc>
      </w:tr>
      <w:tr>
        <w:trPr>
          <w:trHeight w:val="67"/>
        </w:trPr>
        <w:tc>
          <w:tcPr>
            <w:tcW w:w="45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4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r>
      <w:tr>
        <w:trPr>
          <w:trHeight w:val="675"/>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Gross profit margin was 30.1% and 28.7% for the three month periods ended September 30, 2019 and 2018, respectively. Services segment gross profit margins had a year-on-year increase of 90 basis points to 28.4% during the three months ended September 30, 2019, due primarily to mix of sales, increase in sales volume related to the acquisition completed in the fourth quarter of 2018 and favorable operating leverage. International segment gross margins had a year-on-year increase of 190 basis points to 31.6% during the three months ended September 30, 2019, due primarily to favorable sales mix and improved labor utilization. Products and Systems segment gross margin had a year-on-year increase of 400 basis points to 49.6% during the three months ended September 30, 2019 due to a favorable sales mix.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Gross profit margin was 29.3% and 27.7% for the nine months ended September 30, 2019 and 2018, respectively. Services segment gross profit margins had a year-on-year increase of 200 basis points to 28.2% during the nine months ended September 30, 2019, due primarily to favorable operating leverage and service mix, and increase in sales volume related the acquisition completed in the fourth quarter of 2018. International segment gross margins had a year-on-year increase of 80 basis points to 30.3% during the nine months ended September 30, 2019 due to a favorable sales mix. Products and Systems segment gross margin had a year-on-year decline of 70 basis points to 43.9% in the nine months ended September 30, 2019. This decrease was primarily driven by a lower sales volume and less favorable sales mix.</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before special items for each of the Company's three segments and for the Company in total:</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36,892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withdrawal expense (benefit)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42,261</w:t>
            </w: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special items (non-GAAP)</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31"/>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19,720</w:t>
            </w: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5,886</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5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26,249</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17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For the three months ended September 30, 2019, income from operations (GAAP) increased $7.8 million, or 257%, compared with the three months ended September 30, 2018, while income before special items (non-GAAP) increased $1.0 million, or 10%. As a percentage of revenues, income before special items increased by 20 basis points to 5.8% in the three months ended September 30, 2019 from 5.6% in the three months ended September 30, 2018.</w:t>
      </w:r>
    </w:p>
    <w:p>
      <w:pPr>
        <w:sectPr>
          <w:pgSz w:w="11900" w:h="16838" w:orient="portrait"/>
          <w:cols w:equalWidth="0" w:num="1">
            <w:col w:w="11420"/>
          </w:cols>
          <w:pgMar w:left="240" w:top="118"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expenses (GAAP), as a percentage of revenue, decreased to 24% for the three months ended September 30, 2019 from 27% for the three months ended September 30, 2018. Operating expenses, excluding special items, (non-GAAP), as a percentage of revenues, was 24% of revenue for the three months ended September 30, 2019 compared to 23% for the three months ended September 30, 2018. The table above highlights the special expense items that resulted in a lower GAAP operating expense percentage for 2019 compared to 2018. In addition to the special items, for both GAAP and non-GAAP comparisons, there was $3.3 million of operating expenses relating to the Onstream acquisition, inclusive of depreciation and amortization of $1.3 million for the three months ended September 30, 2019.</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nine months ended September 30, 2019 for this potential withdrawal liability. The Company’s subsidiary reached an agreement with one of the pension funds in September 2019, for a final payment of $0.9 million in complete satisfaction of the withdrawal liability of the subsidiary. This payment was subsequently paid in October 2019. The balance of the estimated total amount of this potential liability as of September 30, 2019 is approximately $3.1 million, which includes the $0.9 million paid in October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income from operations (GAAP) increased $2.1 million, compared with the nine months ended September 30, 2018, while income before special items (non-GAAP) increased $0.7 million, or 3%. As a percentage of revenues, income before special items was consistent at 4.7% for the nine months ended September 30, 2019 and nine months ended September 30, 2018, respectively.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expenses (GAAP), as a percentage of revenue, increased to 25% for the nine months ended September 30, 2019 from 24% for the nine months ended September 30, 2018. Operating expenses, excluding special items (non-GAAP), as a percentage of revenues, increased to 25% of revenues for the nine months ended September 30, 2019 from 23% for the nine months ended September 30, 2018. The chart above highlights the special expense items that resulted in a higher GAAP operating expense percentage for 2019 compared to 2018. In addition to the special items, for both GAAP and non-GAAP comparisons, there was $9.6 million of operating expenses for the Onstream acquisition, inclusive of depreciation and amortization of $3.9 million for the nine months ended September 30, 2019.</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Company recorded a reserve of $0.7 million for a renewable energy industry customer, based in part on the available information about the financial difficulties of the customer. This customer filed for a voluntary insolvency proceeding on April 9, 2019 at which time payments under the previously agreed upon payment plan ceased. As a result, during the first quarter of 2019, the Company recorded an additional charge of $5.7 million to fully reserve for the amount of the exposure related to this customer. During the second quarter of 2019, the Company reversed $1.0 million of this reserve based on additional information obtained during the quarter. There was no change during the third quarter of 2019.</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2019, the Company sold to an unaffiliated third party, without recourse, its remaining outstanding receivables from a customer which filed a voluntary bankruptcy proceeding, which the Company had initially recorded as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expense was approximately $3.0 million and $1.9 million for the three months ended September 30, 2019 and 2018, respectively. Interest expense was approximately $10.1 million and $5.6 million for the nine months ended September 30, 2019 and 2018, respectively. The increases were due to higher average levels of borrowing on the Company's Credit Agreement attributable primarily to borrowings for the acquisition completed during the fourth quarter of 2018, and to a lesser extent, from an increase in the base borrowing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approximately 61% and 190% for the three months ended September 30, 2019 and 2018, respectively. The Company's effective income tax rate was approximately 55% and 44% for the nine months ended September 30, 2019 and 2018, respectively. The effective income tax rate for the three and nine months ended September 30, 2019 and 2018 was higher than the statutory rate due to the impact of discrete items, GILTI and executive compensation, and other provisions resulting from the passage of the Tax Act and foreign tax rates different than statutory rates in the U.S. The discrete items had an impact on our effective tax rate of approximately 17% and 15% for the three and nine months ended September 30, 2019, respectively, and approximately 119% and 12% for the three and nine months ended September 30, 2018, respectively.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2"/>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24,184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cash provided by operating activities was $40.5 million, representing a year-on-year increase of $16.3 million, or 67%. The increase was primarily attributable to movements in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investing activities was $21.6 million, compared with $9.8 million in 2018. Capital expenditures were $18.0 million for the first nine months of 2019, compared with $15.8 million in the comparable 2018 period. During the nine months ended September 30, 2019, the Company paid $4.8 million for an acquisition. During the nine months ended September 30, 2018, the Company received $4.8 million from the sale of a subsidiary in the Products segment. (see Note 5</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 condensed consolidated financial statements in this Quarterly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$29.5 million for the nine months ended September 30, 2019. The Company paid down $21.8 million, net, on its Credit Agreement, inclusive of quarterly payments of the Term Loan, as well as payments of $4.1 million of finance lease obligations and other debt. For the comparable period in 2018, net cash used in financing activities was $23.9 million. The Company paid down $15.9 million, net, on its Credit Agreement, inclusive of quarterly payments of the Term Loan, as well as $4.6 million payments of capital lease obligations and other debt.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net impact of $0.5 million in the first nine months of 2019, compared to a net impact of $0.9 million for the first nine months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terms of our Credit Agreement have not changed from those set forth in Part II, Item 7 of our 2018 Annual Report under the Section “Liquidity and Capital Resources”, under the heading “Cash Balance and Credit Facility Borrowings,” and in Note 11–</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these condensed consolidated financial statements in this Quarterly Report, under the heading “Senior Credit Facility.”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2019, we had cash and cash equivalents totaling $14.4 million and available borrowing capacity of $131.4 million under our Credit Agreement with borrowings of $259.4 million and $5.4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was in compliance with the terms of the Credit Agreement and will continuously monitor its compliance with the covenants contained in its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2018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2018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7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quantitative and qualitative disclosures about market risk as discussed in Part II, Item 7A “Quantitative and Qualitative Disclosures About Market Risk,” included in the 2018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2019,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Company’s quarter ended September 30, 2019 that has materially affected, or is reasonably likely to materially affect, such internal control over financial reporting.</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240" w:top="118" w:right="4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6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2018 Annual Report, except as disclosed in such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2018 Annual Report. There have been no material changes to the risk factors previously disclosed in the 2018 Annual Report.</w:t>
      </w:r>
    </w:p>
    <w:p>
      <w:pPr>
        <w:spacing w:after="0" w:line="37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66" w:lineRule="exact"/>
        <w:rPr>
          <w:sz w:val="20"/>
          <w:szCs w:val="20"/>
          <w:color w:val="auto"/>
        </w:rPr>
      </w:pPr>
    </w:p>
    <w:p>
      <w:pPr>
        <w:ind w:left="660" w:right="8800" w:hanging="652"/>
        <w:spacing w:after="0" w:line="501" w:lineRule="auto"/>
        <w:tabs>
          <w:tab w:leader="none" w:pos="267"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660" w:right="6980" w:hanging="652"/>
        <w:spacing w:after="0" w:line="501" w:lineRule="auto"/>
        <w:tabs>
          <w:tab w:leader="none" w:pos="267"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220" w:type="dxa"/>
            <w:vAlign w:val="bottom"/>
          </w:tcPr>
          <w:p>
            <w:pPr>
              <w:spacing w:after="0"/>
              <w:rPr>
                <w:sz w:val="13"/>
                <w:szCs w:val="13"/>
                <w:color w:val="auto"/>
              </w:rPr>
            </w:pPr>
          </w:p>
        </w:tc>
        <w:tc>
          <w:tcPr>
            <w:tcW w:w="18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95"/>
        </w:trPr>
        <w:tc>
          <w:tcPr>
            <w:tcW w:w="1880" w:type="dxa"/>
            <w:vAlign w:val="bottom"/>
            <w:vMerge w:val="continue"/>
          </w:tcPr>
          <w:p>
            <w:pPr>
              <w:spacing w:after="0"/>
              <w:rPr>
                <w:sz w:val="16"/>
                <w:szCs w:val="16"/>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1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31, 2019</w:t>
            </w:r>
          </w:p>
        </w:tc>
        <w:tc>
          <w:tcPr>
            <w:tcW w:w="2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15.02</w:t>
            </w:r>
          </w:p>
        </w:tc>
        <w:tc>
          <w:tcPr>
            <w:tcW w:w="2380" w:type="dxa"/>
            <w:vAlign w:val="bottom"/>
            <w:tcBorders>
              <w:top w:val="single" w:sz="8" w:color="auto"/>
              <w:bottom w:val="single" w:sz="8" w:color="CCEEFF"/>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31, 2019</w:t>
            </w:r>
          </w:p>
        </w:tc>
        <w:tc>
          <w:tcPr>
            <w:tcW w:w="2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140,680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15.65</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2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8"/>
        <w:spacing w:after="0" w:line="266"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On October 7, 2015, the Company announced that its Board of Directors approved a share repurchase plan, which authorized the expenditure of up to $50.0 million for the purchase of the Company's common stock. Effective April 1, 2019, the Company's Board of Directors terminated its share repurchase plan, of which $25.1 million was remaining before the aforementioned termination of the plan.</w:t>
      </w:r>
    </w:p>
    <w:p>
      <w:pPr>
        <w:spacing w:after="0" w:line="1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89"/>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25"/>
        </w:trPr>
        <w:tc>
          <w:tcPr>
            <w:tcW w:w="360" w:type="dxa"/>
            <w:vAlign w:val="bottom"/>
            <w:tcBorders>
              <w:top w:val="single" w:sz="8" w:color="auto"/>
            </w:tcBorders>
            <w:gridSpan w:val="2"/>
          </w:tcPr>
          <w:p>
            <w:pPr>
              <w:ind w:left="40"/>
              <w:spacing w:after="0"/>
              <w:rPr>
                <w:rFonts w:ascii="Times New Roman" w:cs="Times New Roman" w:eastAsia="Times New Roman" w:hAnsi="Times New Roman"/>
                <w:sz w:val="18"/>
                <w:szCs w:val="18"/>
                <w:color w:val="0000FF"/>
                <w:w w:val="95"/>
              </w:rPr>
            </w:pPr>
            <w:hyperlink w:anchor="page45">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Times New Roman" w:cs="Times New Roman" w:eastAsia="Times New Roman" w:hAnsi="Times New Roman"/>
                <w:sz w:val="18"/>
                <w:szCs w:val="18"/>
                <w:color w:val="0000FF"/>
                <w:w w:val="95"/>
              </w:rPr>
            </w:pPr>
            <w:hyperlink w:anchor="page46">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Times New Roman" w:cs="Times New Roman" w:eastAsia="Times New Roman" w:hAnsi="Times New Roman"/>
                <w:sz w:val="18"/>
                <w:szCs w:val="18"/>
                <w:color w:val="0000FF"/>
                <w:w w:val="95"/>
              </w:rPr>
            </w:pPr>
            <w:hyperlink w:anchor="page47">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40</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240" w:top="118" w:right="7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5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2019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2019</w:t>
      </w: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1."/>
      <w:numFmt w:val="decimal"/>
      <w:start w:val="15"/>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2019-12-28T02:26:25Z</dcterms:created>
  <dcterms:modified xsi:type="dcterms:W3CDTF">2019-12-28T02:26:25Z</dcterms:modified>
</cp:coreProperties>
</file>