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20"/>
        <w:spacing w:after="0"/>
        <w:rPr>
          <w:sz w:val="20"/>
          <w:szCs w:val="20"/>
          <w:color w:val="auto"/>
        </w:rPr>
      </w:pPr>
      <w:r>
        <w:rPr>
          <w:rFonts w:ascii="Arial" w:cs="Arial" w:eastAsia="Arial" w:hAnsi="Arial"/>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4773295</wp:posOffset>
            </wp:positionH>
            <wp:positionV relativeFrom="paragraph">
              <wp:posOffset>-143510</wp:posOffset>
            </wp:positionV>
            <wp:extent cx="2478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20"/>
          <w:szCs w:val="20"/>
          <w:color w:val="auto"/>
        </w:rPr>
        <w:t>OMB Number: 3235-0287</w:t>
      </w:r>
    </w:p>
    <w:p>
      <w:pPr>
        <w:ind w:left="7520"/>
        <w:spacing w:after="0"/>
        <w:rPr>
          <w:sz w:val="20"/>
          <w:szCs w:val="20"/>
          <w:color w:val="auto"/>
        </w:rPr>
      </w:pPr>
      <w:r>
        <w:rPr>
          <w:rFonts w:ascii="Arial" w:cs="Arial" w:eastAsia="Arial" w:hAnsi="Arial"/>
          <w:sz w:val="20"/>
          <w:szCs w:val="20"/>
          <w:color w:val="auto"/>
        </w:rPr>
        <w:t>Expires: February 28, 2011</w:t>
      </w:r>
    </w:p>
    <w:p>
      <w:pPr>
        <w:ind w:left="7520"/>
        <w:spacing w:after="0"/>
        <w:rPr>
          <w:sz w:val="20"/>
          <w:szCs w:val="20"/>
          <w:color w:val="auto"/>
        </w:rPr>
      </w:pPr>
      <w:r>
        <w:rPr>
          <w:rFonts w:ascii="Arial" w:cs="Arial" w:eastAsia="Arial" w:hAnsi="Arial"/>
          <w:sz w:val="20"/>
          <w:szCs w:val="20"/>
          <w:color w:val="auto"/>
        </w:rPr>
        <w:t>Estimated average burden</w:t>
      </w:r>
    </w:p>
    <w:p>
      <w:pPr>
        <w:ind w:left="7520"/>
        <w:spacing w:after="0"/>
        <w:rPr>
          <w:sz w:val="20"/>
          <w:szCs w:val="20"/>
          <w:color w:val="auto"/>
        </w:rPr>
      </w:pPr>
      <w:r>
        <w:rPr>
          <w:rFonts w:ascii="Arial" w:cs="Arial" w:eastAsia="Arial" w:hAnsi="Arial"/>
          <w:sz w:val="20"/>
          <w:szCs w:val="20"/>
          <w:color w:val="auto"/>
        </w:rPr>
        <w:t>hours per response………11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4773295</wp:posOffset>
            </wp:positionH>
            <wp:positionV relativeFrom="paragraph">
              <wp:posOffset>0</wp:posOffset>
            </wp:positionV>
            <wp:extent cx="24784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8405"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4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w:t>
      </w:r>
    </w:p>
    <w:p>
      <w:pPr>
        <w:spacing w:after="0" w:line="200" w:lineRule="exact"/>
        <w:rPr>
          <w:sz w:val="24"/>
          <w:szCs w:val="24"/>
          <w:color w:val="auto"/>
        </w:rPr>
      </w:pP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Mistras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8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8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60649T107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8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October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8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43" w:lineRule="exact"/>
        <w:rPr>
          <w:sz w:val="24"/>
          <w:szCs w:val="24"/>
          <w:color w:val="auto"/>
        </w:rPr>
      </w:pPr>
    </w:p>
    <w:p>
      <w:pPr>
        <w:jc w:val="both"/>
        <w:ind w:left="1300" w:right="8460" w:firstLine="5"/>
        <w:spacing w:after="0" w:line="548" w:lineRule="auto"/>
        <w:tabs>
          <w:tab w:leader="none" w:pos="167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 [_] Rule 13d-1(d)</w:t>
      </w:r>
    </w:p>
    <w:p>
      <w:pPr>
        <w:spacing w:after="0"/>
        <w:rPr>
          <w:sz w:val="20"/>
          <w:szCs w:val="20"/>
          <w:color w:val="auto"/>
        </w:rPr>
      </w:pPr>
      <w:r>
        <w:rPr>
          <w:rFonts w:ascii="Arial" w:cs="Arial" w:eastAsia="Arial" w:hAnsi="Arial"/>
          <w:sz w:val="20"/>
          <w:szCs w:val="20"/>
          <w:color w:val="auto"/>
        </w:rPr>
        <w:t>__________</w:t>
      </w:r>
    </w:p>
    <w:p>
      <w:pPr>
        <w:spacing w:after="0" w:line="16"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2" w:lineRule="exact"/>
        <w:rPr>
          <w:sz w:val="24"/>
          <w:szCs w:val="24"/>
          <w:color w:val="auto"/>
        </w:rPr>
      </w:pPr>
    </w:p>
    <w:p>
      <w:pPr>
        <w:ind w:right="26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87"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0"/>
                <w:szCs w:val="20"/>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60649T107</w:t>
            </w:r>
          </w:p>
        </w:tc>
      </w:tr>
    </w:tbl>
    <w:p>
      <w:pPr>
        <w:spacing w:after="0" w:line="213" w:lineRule="exact"/>
        <w:rPr>
          <w:sz w:val="20"/>
          <w:szCs w:val="20"/>
          <w:color w:val="auto"/>
        </w:rPr>
      </w:pPr>
    </w:p>
    <w:p>
      <w:pPr>
        <w:ind w:left="940" w:hanging="932"/>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40" w:right="37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Newland Capital Management, LLC</w:t>
      </w:r>
    </w:p>
    <w:p>
      <w:pPr>
        <w:spacing w:after="0" w:line="1" w:lineRule="exact"/>
        <w:rPr>
          <w:rFonts w:ascii="Arial" w:cs="Arial" w:eastAsia="Arial" w:hAnsi="Arial"/>
          <w:sz w:val="20"/>
          <w:szCs w:val="20"/>
          <w:color w:val="auto"/>
        </w:rPr>
      </w:pPr>
    </w:p>
    <w:p>
      <w:pPr>
        <w:ind w:left="940" w:hanging="932"/>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40" w:hanging="932"/>
        <w:spacing w:after="0"/>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940" w:right="5820" w:hanging="932"/>
        <w:spacing w:after="0" w:line="500" w:lineRule="auto"/>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19" w:lineRule="exact"/>
        <w:rPr>
          <w:sz w:val="20"/>
          <w:szCs w:val="20"/>
          <w:color w:val="auto"/>
        </w:rPr>
      </w:pPr>
    </w:p>
    <w:p>
      <w:pPr>
        <w:ind w:left="940" w:right="7820" w:hanging="932"/>
        <w:spacing w:after="0" w:line="479"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VOTING POWER 0</w:t>
      </w:r>
    </w:p>
    <w:p>
      <w:pPr>
        <w:ind w:left="940" w:right="7520" w:hanging="932"/>
        <w:spacing w:after="0" w:line="479"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VOTING POWER 1,434,909</w:t>
      </w:r>
    </w:p>
    <w:p>
      <w:pPr>
        <w:ind w:left="940" w:right="7380" w:hanging="932"/>
        <w:spacing w:after="0" w:line="479"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40" w:right="7080" w:hanging="932"/>
        <w:spacing w:after="0" w:line="479"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DISPOSITIVE POWER 1,434,909</w:t>
      </w:r>
    </w:p>
    <w:p>
      <w:pPr>
        <w:ind w:left="940" w:right="2660" w:hanging="932"/>
        <w:spacing w:after="0" w:line="479"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1,434,909</w:t>
      </w:r>
    </w:p>
    <w:p>
      <w:pPr>
        <w:ind w:left="940" w:right="2900" w:hanging="932"/>
        <w:spacing w:after="0" w:line="247" w:lineRule="auto"/>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[_]</w:t>
      </w:r>
    </w:p>
    <w:p>
      <w:pPr>
        <w:spacing w:after="0" w:line="200" w:lineRule="exact"/>
        <w:rPr>
          <w:sz w:val="20"/>
          <w:szCs w:val="20"/>
          <w:color w:val="auto"/>
        </w:rPr>
      </w:pPr>
    </w:p>
    <w:p>
      <w:pPr>
        <w:spacing w:after="0" w:line="243" w:lineRule="exact"/>
        <w:rPr>
          <w:sz w:val="20"/>
          <w:szCs w:val="20"/>
          <w:color w:val="auto"/>
        </w:rPr>
      </w:pPr>
    </w:p>
    <w:p>
      <w:pPr>
        <w:ind w:left="940" w:right="4300" w:hanging="932"/>
        <w:spacing w:after="0" w:line="479" w:lineRule="auto"/>
        <w:tabs>
          <w:tab w:leader="none" w:pos="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 5.4%</w:t>
      </w:r>
    </w:p>
    <w:p>
      <w:pPr>
        <w:ind w:left="940" w:right="5100" w:hanging="932"/>
        <w:spacing w:after="0" w:line="486" w:lineRule="auto"/>
        <w:tabs>
          <w:tab w:leader="none" w:pos="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852"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0"/>
                <w:szCs w:val="20"/>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60649T107</w:t>
            </w:r>
          </w:p>
        </w:tc>
      </w:tr>
    </w:tbl>
    <w:p>
      <w:pPr>
        <w:spacing w:after="0" w:line="213" w:lineRule="exact"/>
        <w:rPr>
          <w:sz w:val="20"/>
          <w:szCs w:val="20"/>
          <w:color w:val="auto"/>
        </w:rPr>
      </w:pPr>
    </w:p>
    <w:p>
      <w:pPr>
        <w:ind w:left="940" w:hanging="932"/>
        <w:spacing w:after="0"/>
        <w:tabs>
          <w:tab w:leader="none" w:pos="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40" w:right="37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Newland Master Fund, Ltd.</w:t>
      </w:r>
    </w:p>
    <w:p>
      <w:pPr>
        <w:spacing w:after="0" w:line="1" w:lineRule="exact"/>
        <w:rPr>
          <w:rFonts w:ascii="Arial" w:cs="Arial" w:eastAsia="Arial" w:hAnsi="Arial"/>
          <w:sz w:val="20"/>
          <w:szCs w:val="20"/>
          <w:color w:val="auto"/>
        </w:rPr>
      </w:pPr>
    </w:p>
    <w:p>
      <w:pPr>
        <w:ind w:left="940" w:hanging="932"/>
        <w:spacing w:after="0"/>
        <w:tabs>
          <w:tab w:leader="none" w:pos="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40" w:hanging="932"/>
        <w:spacing w:after="0"/>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940" w:hanging="932"/>
        <w:spacing w:after="0"/>
        <w:tabs>
          <w:tab w:leader="none" w:pos="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40" w:right="7820" w:hanging="932"/>
        <w:spacing w:after="0" w:line="479"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VOTING POWER 0</w:t>
      </w:r>
    </w:p>
    <w:p>
      <w:pPr>
        <w:ind w:left="940" w:right="7520" w:hanging="932"/>
        <w:spacing w:after="0" w:line="479"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VOTING POWER 1,434,909</w:t>
      </w:r>
    </w:p>
    <w:p>
      <w:pPr>
        <w:ind w:left="940" w:right="7380" w:hanging="932"/>
        <w:spacing w:after="0" w:line="479"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40" w:right="7080" w:hanging="932"/>
        <w:spacing w:after="0" w:line="479"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DISPOSITIVE POWER 1,434,909</w:t>
      </w:r>
    </w:p>
    <w:p>
      <w:pPr>
        <w:ind w:left="940" w:right="2660" w:hanging="932"/>
        <w:spacing w:after="0" w:line="479"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1,434,909</w:t>
      </w:r>
    </w:p>
    <w:p>
      <w:pPr>
        <w:ind w:left="940" w:right="2900" w:hanging="932"/>
        <w:spacing w:after="0" w:line="247" w:lineRule="auto"/>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40" w:right="4300" w:hanging="932"/>
        <w:spacing w:after="0" w:line="479" w:lineRule="auto"/>
        <w:tabs>
          <w:tab w:leader="none" w:pos="9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 5.4%</w:t>
      </w:r>
    </w:p>
    <w:p>
      <w:pPr>
        <w:ind w:left="940" w:right="5100" w:hanging="932"/>
        <w:spacing w:after="0" w:line="486" w:lineRule="auto"/>
        <w:tabs>
          <w:tab w:leader="none" w:pos="9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609"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0"/>
                <w:szCs w:val="20"/>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60649T107</w:t>
            </w:r>
          </w:p>
        </w:tc>
      </w:tr>
    </w:tbl>
    <w:p>
      <w:pPr>
        <w:spacing w:after="0" w:line="213"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40" w:right="37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Ken Brodkowitz</w:t>
      </w:r>
    </w:p>
    <w:p>
      <w:pPr>
        <w:spacing w:after="0" w:line="1" w:lineRule="exact"/>
        <w:rPr>
          <w:rFonts w:ascii="Arial" w:cs="Arial" w:eastAsia="Arial" w:hAnsi="Arial"/>
          <w:sz w:val="20"/>
          <w:szCs w:val="20"/>
          <w:color w:val="auto"/>
        </w:rPr>
      </w:pPr>
    </w:p>
    <w:p>
      <w:pPr>
        <w:ind w:left="940" w:hanging="932"/>
        <w:spacing w:after="0"/>
        <w:tabs>
          <w:tab w:leader="none" w:pos="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40" w:hanging="932"/>
        <w:spacing w:after="0"/>
        <w:tabs>
          <w:tab w:leader="none" w:pos="9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940" w:right="5820" w:hanging="932"/>
        <w:spacing w:after="0" w:line="500" w:lineRule="auto"/>
        <w:tabs>
          <w:tab w:leader="none" w:pos="9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w:t>
      </w:r>
    </w:p>
    <w:p>
      <w:pPr>
        <w:spacing w:after="0" w:line="200" w:lineRule="exact"/>
        <w:rPr>
          <w:sz w:val="20"/>
          <w:szCs w:val="20"/>
          <w:color w:val="auto"/>
        </w:rPr>
      </w:pPr>
    </w:p>
    <w:p>
      <w:pPr>
        <w:spacing w:after="0" w:line="219" w:lineRule="exact"/>
        <w:rPr>
          <w:sz w:val="20"/>
          <w:szCs w:val="20"/>
          <w:color w:val="auto"/>
        </w:rPr>
      </w:pPr>
    </w:p>
    <w:p>
      <w:pPr>
        <w:ind w:left="940" w:right="7820" w:hanging="932"/>
        <w:spacing w:after="0" w:line="479"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VOTING POWER 0</w:t>
      </w:r>
    </w:p>
    <w:p>
      <w:pPr>
        <w:ind w:left="940" w:right="7520" w:hanging="932"/>
        <w:spacing w:after="0" w:line="479"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VOTING POWER 1,434,909</w:t>
      </w:r>
    </w:p>
    <w:p>
      <w:pPr>
        <w:ind w:left="940" w:right="7380" w:hanging="932"/>
        <w:spacing w:after="0" w:line="479"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40" w:right="7080" w:hanging="932"/>
        <w:spacing w:after="0" w:line="479"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SHARED DISPOSITIVE POWER 1,434,909</w:t>
      </w:r>
    </w:p>
    <w:p>
      <w:pPr>
        <w:ind w:left="940" w:right="2660" w:hanging="932"/>
        <w:spacing w:after="0" w:line="479"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1,434,909</w:t>
      </w:r>
    </w:p>
    <w:p>
      <w:pPr>
        <w:ind w:left="940" w:right="2900" w:hanging="932"/>
        <w:spacing w:after="0" w:line="247" w:lineRule="auto"/>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40" w:right="4300" w:hanging="932"/>
        <w:spacing w:after="0" w:line="479" w:lineRule="auto"/>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(9) 5.4%</w:t>
      </w:r>
    </w:p>
    <w:p>
      <w:pPr>
        <w:ind w:left="940" w:right="5100" w:hanging="932"/>
        <w:spacing w:after="0" w:line="486" w:lineRule="auto"/>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609"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0"/>
                <w:szCs w:val="20"/>
                <w:color w:val="auto"/>
              </w:rPr>
              <w:t>CUSIP No</w:t>
            </w:r>
          </w:p>
        </w:tc>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60649T107</w:t>
            </w:r>
          </w:p>
        </w:tc>
      </w:tr>
    </w:tbl>
    <w:p>
      <w:pPr>
        <w:spacing w:after="0" w:line="213" w:lineRule="exact"/>
        <w:rPr>
          <w:sz w:val="20"/>
          <w:szCs w:val="20"/>
          <w:color w:val="auto"/>
        </w:rPr>
      </w:pPr>
    </w:p>
    <w:p>
      <w:pPr>
        <w:ind w:left="940" w:hanging="932"/>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40" w:right="372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Michael Vermut</w:t>
      </w:r>
    </w:p>
    <w:p>
      <w:pPr>
        <w:spacing w:after="0" w:line="1" w:lineRule="exact"/>
        <w:rPr>
          <w:rFonts w:ascii="Arial" w:cs="Arial" w:eastAsia="Arial" w:hAnsi="Arial"/>
          <w:sz w:val="20"/>
          <w:szCs w:val="20"/>
          <w:color w:val="auto"/>
        </w:rPr>
      </w:pPr>
    </w:p>
    <w:p>
      <w:pPr>
        <w:ind w:left="940" w:hanging="932"/>
        <w:spacing w:after="0"/>
        <w:tabs>
          <w:tab w:leader="none" w:pos="9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[X]</w:t>
      </w:r>
    </w:p>
    <w:p>
      <w:pPr>
        <w:spacing w:after="0" w:line="213" w:lineRule="exact"/>
        <w:rPr>
          <w:sz w:val="20"/>
          <w:szCs w:val="20"/>
          <w:color w:val="auto"/>
        </w:rPr>
      </w:pPr>
    </w:p>
    <w:p>
      <w:pPr>
        <w:ind w:left="940" w:hanging="932"/>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940" w:hanging="932"/>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40" w:right="7820" w:hanging="932"/>
        <w:spacing w:after="0" w:line="479"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SOLE VOTING POWER 0</w:t>
      </w:r>
    </w:p>
    <w:p>
      <w:pPr>
        <w:ind w:left="940" w:right="7520" w:hanging="932"/>
        <w:spacing w:after="0" w:line="479"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SHARED VOTING POWER 1,434,909</w:t>
      </w:r>
    </w:p>
    <w:p>
      <w:pPr>
        <w:ind w:left="940" w:right="7380" w:hanging="932"/>
        <w:spacing w:after="0" w:line="479"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40" w:right="7080" w:hanging="932"/>
        <w:spacing w:after="0" w:line="479"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SHARED DISPOSITIVE POWER 1,434,909</w:t>
      </w:r>
    </w:p>
    <w:p>
      <w:pPr>
        <w:ind w:left="940" w:right="2660" w:hanging="932"/>
        <w:spacing w:after="0" w:line="479"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1,434,909</w:t>
      </w:r>
    </w:p>
    <w:p>
      <w:pPr>
        <w:ind w:left="940" w:right="2900" w:hanging="932"/>
        <w:spacing w:after="0" w:line="247" w:lineRule="auto"/>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0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40" w:right="4300" w:hanging="932"/>
        <w:spacing w:after="0" w:line="479" w:lineRule="auto"/>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PERCENT OF CLASS REPRESENTED BY AMOUNT IN ROW (9) 5.4%</w:t>
      </w:r>
    </w:p>
    <w:p>
      <w:pPr>
        <w:ind w:left="940" w:right="5100" w:hanging="932"/>
        <w:spacing w:after="0" w:line="486" w:lineRule="auto"/>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609"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0"/>
                <w:szCs w:val="20"/>
                <w:color w:val="auto"/>
                <w:w w:val="95"/>
              </w:rPr>
              <w:t>CUSIP No</w:t>
            </w:r>
          </w:p>
        </w:tc>
        <w:tc>
          <w:tcPr>
            <w:tcW w:w="720" w:type="dxa"/>
            <w:vAlign w:val="bottom"/>
          </w:tcPr>
          <w:p>
            <w:pPr>
              <w:spacing w:after="0"/>
              <w:rPr>
                <w:sz w:val="22"/>
                <w:szCs w:val="22"/>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60649T107</w:t>
            </w:r>
          </w:p>
        </w:tc>
        <w:tc>
          <w:tcPr>
            <w:tcW w:w="6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63"/>
        </w:trPr>
        <w:tc>
          <w:tcPr>
            <w:tcW w:w="900" w:type="dxa"/>
            <w:vAlign w:val="bottom"/>
          </w:tcPr>
          <w:p>
            <w:pPr>
              <w:spacing w:after="0"/>
              <w:rPr>
                <w:sz w:val="20"/>
                <w:szCs w:val="20"/>
                <w:color w:val="auto"/>
              </w:rPr>
            </w:pPr>
            <w:r>
              <w:rPr>
                <w:rFonts w:ascii="Arial" w:cs="Arial" w:eastAsia="Arial" w:hAnsi="Arial"/>
                <w:sz w:val="20"/>
                <w:szCs w:val="20"/>
                <w:color w:val="auto"/>
              </w:rPr>
              <w:t>Item 1.</w:t>
            </w:r>
          </w:p>
        </w:tc>
        <w:tc>
          <w:tcPr>
            <w:tcW w:w="720" w:type="dxa"/>
            <w:vAlign w:val="bottom"/>
          </w:tcPr>
          <w:p>
            <w:pPr>
              <w:ind w:left="60"/>
              <w:spacing w:after="0"/>
              <w:rPr>
                <w:sz w:val="20"/>
                <w:szCs w:val="20"/>
                <w:color w:val="auto"/>
              </w:rPr>
            </w:pPr>
            <w:r>
              <w:rPr>
                <w:rFonts w:ascii="Arial" w:cs="Arial" w:eastAsia="Arial" w:hAnsi="Arial"/>
                <w:sz w:val="20"/>
                <w:szCs w:val="20"/>
                <w:color w:val="auto"/>
              </w:rPr>
              <w:t>(a).</w:t>
            </w:r>
          </w:p>
        </w:tc>
        <w:tc>
          <w:tcPr>
            <w:tcW w:w="8580" w:type="dxa"/>
            <w:vAlign w:val="bottom"/>
            <w:gridSpan w:val="2"/>
          </w:tcPr>
          <w:p>
            <w:pPr>
              <w:spacing w:after="0"/>
              <w:rPr>
                <w:sz w:val="20"/>
                <w:szCs w:val="20"/>
                <w:color w:val="auto"/>
              </w:rPr>
            </w:pPr>
            <w:r>
              <w:rPr>
                <w:rFonts w:ascii="Arial" w:cs="Arial" w:eastAsia="Arial" w:hAnsi="Arial"/>
                <w:sz w:val="20"/>
                <w:szCs w:val="20"/>
                <w:color w:val="auto"/>
              </w:rPr>
              <w:t>Name of Issuer:</w:t>
            </w:r>
          </w:p>
        </w:tc>
        <w:tc>
          <w:tcPr>
            <w:tcW w:w="1220" w:type="dxa"/>
            <w:vAlign w:val="bottom"/>
          </w:tcPr>
          <w:p>
            <w:pPr>
              <w:spacing w:after="0"/>
              <w:rPr>
                <w:sz w:val="24"/>
                <w:szCs w:val="24"/>
                <w:color w:val="auto"/>
              </w:rPr>
            </w:pPr>
          </w:p>
        </w:tc>
      </w:tr>
      <w:tr>
        <w:trPr>
          <w:trHeight w:val="46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Mistras Group, Inc.</w:t>
            </w:r>
          </w:p>
        </w:tc>
        <w:tc>
          <w:tcPr>
            <w:tcW w:w="1220" w:type="dxa"/>
            <w:vAlign w:val="bottom"/>
          </w:tcPr>
          <w:p>
            <w:pPr>
              <w:spacing w:after="0"/>
              <w:rPr>
                <w:sz w:val="24"/>
                <w:szCs w:val="24"/>
                <w:color w:val="auto"/>
              </w:rPr>
            </w:pPr>
          </w:p>
        </w:tc>
      </w:tr>
      <w:tr>
        <w:trPr>
          <w:trHeight w:val="477"/>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20"/>
                <w:szCs w:val="20"/>
                <w:color w:val="auto"/>
              </w:rPr>
              <w:t>(b).</w:t>
            </w:r>
          </w:p>
        </w:tc>
        <w:tc>
          <w:tcPr>
            <w:tcW w:w="8580" w:type="dxa"/>
            <w:vAlign w:val="bottom"/>
            <w:gridSpan w:val="2"/>
          </w:tcPr>
          <w:p>
            <w:pPr>
              <w:spacing w:after="0"/>
              <w:rPr>
                <w:sz w:val="20"/>
                <w:szCs w:val="20"/>
                <w:color w:val="auto"/>
              </w:rPr>
            </w:pPr>
            <w:r>
              <w:rPr>
                <w:rFonts w:ascii="Arial" w:cs="Arial" w:eastAsia="Arial" w:hAnsi="Arial"/>
                <w:sz w:val="20"/>
                <w:szCs w:val="20"/>
                <w:color w:val="auto"/>
              </w:rPr>
              <w:t>Address of issuer's principal executive offices:</w:t>
            </w:r>
          </w:p>
        </w:tc>
        <w:tc>
          <w:tcPr>
            <w:tcW w:w="122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195 Clarksville Road</w:t>
            </w:r>
          </w:p>
        </w:tc>
        <w:tc>
          <w:tcPr>
            <w:tcW w:w="1220" w:type="dxa"/>
            <w:vAlign w:val="bottom"/>
          </w:tcPr>
          <w:p>
            <w:pPr>
              <w:spacing w:after="0"/>
              <w:rPr>
                <w:sz w:val="24"/>
                <w:szCs w:val="24"/>
                <w:color w:val="auto"/>
              </w:rPr>
            </w:pPr>
          </w:p>
        </w:tc>
      </w:tr>
      <w:tr>
        <w:trPr>
          <w:trHeight w:val="253"/>
        </w:trPr>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Princeton Junction, New Jersey 08550</w:t>
            </w:r>
          </w:p>
        </w:tc>
        <w:tc>
          <w:tcPr>
            <w:tcW w:w="1220" w:type="dxa"/>
            <w:vAlign w:val="bottom"/>
          </w:tcPr>
          <w:p>
            <w:pPr>
              <w:spacing w:after="0"/>
              <w:rPr>
                <w:sz w:val="22"/>
                <w:szCs w:val="22"/>
                <w:color w:val="auto"/>
              </w:rPr>
            </w:pPr>
          </w:p>
        </w:tc>
      </w:tr>
      <w:tr>
        <w:trPr>
          <w:trHeight w:val="477"/>
        </w:trPr>
        <w:tc>
          <w:tcPr>
            <w:tcW w:w="900" w:type="dxa"/>
            <w:vAlign w:val="bottom"/>
          </w:tcPr>
          <w:p>
            <w:pPr>
              <w:spacing w:after="0"/>
              <w:rPr>
                <w:sz w:val="20"/>
                <w:szCs w:val="20"/>
                <w:color w:val="auto"/>
              </w:rPr>
            </w:pPr>
            <w:r>
              <w:rPr>
                <w:rFonts w:ascii="Arial" w:cs="Arial" w:eastAsia="Arial" w:hAnsi="Arial"/>
                <w:sz w:val="20"/>
                <w:szCs w:val="20"/>
                <w:color w:val="auto"/>
              </w:rPr>
              <w:t>Item 2.</w:t>
            </w:r>
          </w:p>
        </w:tc>
        <w:tc>
          <w:tcPr>
            <w:tcW w:w="720" w:type="dxa"/>
            <w:vAlign w:val="bottom"/>
          </w:tcPr>
          <w:p>
            <w:pPr>
              <w:ind w:left="60"/>
              <w:spacing w:after="0"/>
              <w:rPr>
                <w:sz w:val="20"/>
                <w:szCs w:val="20"/>
                <w:color w:val="auto"/>
              </w:rPr>
            </w:pPr>
            <w:r>
              <w:rPr>
                <w:rFonts w:ascii="Arial" w:cs="Arial" w:eastAsia="Arial" w:hAnsi="Arial"/>
                <w:sz w:val="20"/>
                <w:szCs w:val="20"/>
                <w:color w:val="auto"/>
              </w:rPr>
              <w:t>(a).</w:t>
            </w:r>
          </w:p>
        </w:tc>
        <w:tc>
          <w:tcPr>
            <w:tcW w:w="8580" w:type="dxa"/>
            <w:vAlign w:val="bottom"/>
            <w:gridSpan w:val="2"/>
          </w:tcPr>
          <w:p>
            <w:pPr>
              <w:spacing w:after="0"/>
              <w:rPr>
                <w:sz w:val="20"/>
                <w:szCs w:val="20"/>
                <w:color w:val="auto"/>
              </w:rPr>
            </w:pPr>
            <w:r>
              <w:rPr>
                <w:rFonts w:ascii="Arial" w:cs="Arial" w:eastAsia="Arial" w:hAnsi="Arial"/>
                <w:sz w:val="20"/>
                <w:szCs w:val="20"/>
                <w:color w:val="auto"/>
              </w:rPr>
              <w:t>Name of person filing:</w:t>
            </w:r>
          </w:p>
        </w:tc>
        <w:tc>
          <w:tcPr>
            <w:tcW w:w="1220" w:type="dxa"/>
            <w:vAlign w:val="bottom"/>
          </w:tcPr>
          <w:p>
            <w:pPr>
              <w:spacing w:after="0"/>
              <w:rPr>
                <w:sz w:val="24"/>
                <w:szCs w:val="24"/>
                <w:color w:val="auto"/>
              </w:rPr>
            </w:pPr>
          </w:p>
        </w:tc>
      </w:tr>
      <w:tr>
        <w:trPr>
          <w:trHeight w:val="42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Newland Capital Management, LLC</w:t>
            </w:r>
          </w:p>
        </w:tc>
        <w:tc>
          <w:tcPr>
            <w:tcW w:w="122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Newland Master Fund, Ltd.</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Ken Brodkowitz</w:t>
            </w:r>
          </w:p>
        </w:tc>
        <w:tc>
          <w:tcPr>
            <w:tcW w:w="1220" w:type="dxa"/>
            <w:vAlign w:val="bottom"/>
          </w:tcPr>
          <w:p>
            <w:pPr>
              <w:spacing w:after="0"/>
              <w:rPr>
                <w:sz w:val="19"/>
                <w:szCs w:val="19"/>
                <w:color w:val="auto"/>
              </w:rPr>
            </w:pPr>
          </w:p>
        </w:tc>
      </w:tr>
      <w:tr>
        <w:trPr>
          <w:trHeight w:val="253"/>
        </w:trPr>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Michael Vermut</w:t>
            </w:r>
          </w:p>
        </w:tc>
        <w:tc>
          <w:tcPr>
            <w:tcW w:w="1220" w:type="dxa"/>
            <w:vAlign w:val="bottom"/>
          </w:tcPr>
          <w:p>
            <w:pPr>
              <w:spacing w:after="0"/>
              <w:rPr>
                <w:sz w:val="22"/>
                <w:szCs w:val="22"/>
                <w:color w:val="auto"/>
              </w:rPr>
            </w:pPr>
          </w:p>
        </w:tc>
      </w:tr>
      <w:tr>
        <w:trPr>
          <w:trHeight w:val="477"/>
        </w:trPr>
        <w:tc>
          <w:tcPr>
            <w:tcW w:w="9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20"/>
                <w:szCs w:val="20"/>
                <w:color w:val="auto"/>
              </w:rPr>
              <w:t>(b).</w:t>
            </w:r>
          </w:p>
        </w:tc>
        <w:tc>
          <w:tcPr>
            <w:tcW w:w="8580" w:type="dxa"/>
            <w:vAlign w:val="bottom"/>
            <w:gridSpan w:val="2"/>
          </w:tcPr>
          <w:p>
            <w:pPr>
              <w:spacing w:after="0"/>
              <w:rPr>
                <w:sz w:val="20"/>
                <w:szCs w:val="20"/>
                <w:color w:val="auto"/>
              </w:rPr>
            </w:pPr>
            <w:r>
              <w:rPr>
                <w:rFonts w:ascii="Arial" w:cs="Arial" w:eastAsia="Arial" w:hAnsi="Arial"/>
                <w:sz w:val="20"/>
                <w:szCs w:val="20"/>
                <w:color w:val="auto"/>
              </w:rPr>
              <w:t>Address of principal business office, or if none, residence:</w:t>
            </w:r>
          </w:p>
        </w:tc>
        <w:tc>
          <w:tcPr>
            <w:tcW w:w="1220" w:type="dxa"/>
            <w:vAlign w:val="bottom"/>
          </w:tcPr>
          <w:p>
            <w:pPr>
              <w:spacing w:after="0"/>
              <w:rPr>
                <w:sz w:val="24"/>
                <w:szCs w:val="24"/>
                <w:color w:val="auto"/>
              </w:rPr>
            </w:pPr>
          </w:p>
        </w:tc>
      </w:tr>
      <w:tr>
        <w:trPr>
          <w:trHeight w:val="42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Newland Capital Management, LLC</w:t>
            </w:r>
          </w:p>
        </w:tc>
        <w:tc>
          <w:tcPr>
            <w:tcW w:w="122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350 Madison Avenue</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line="230" w:lineRule="exact"/>
              <w:rPr>
                <w:sz w:val="20"/>
                <w:szCs w:val="20"/>
                <w:color w:val="auto"/>
              </w:rPr>
            </w:pPr>
            <w:r>
              <w:rPr>
                <w:rFonts w:ascii="Arial" w:cs="Arial" w:eastAsia="Arial" w:hAnsi="Arial"/>
                <w:sz w:val="19"/>
                <w:szCs w:val="19"/>
                <w:color w:val="auto"/>
              </w:rPr>
              <w:t>11</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Floor</w:t>
            </w:r>
          </w:p>
        </w:tc>
        <w:tc>
          <w:tcPr>
            <w:tcW w:w="122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 York, New York 10017</w:t>
            </w:r>
          </w:p>
        </w:tc>
        <w:tc>
          <w:tcPr>
            <w:tcW w:w="1220" w:type="dxa"/>
            <w:vAlign w:val="bottom"/>
          </w:tcPr>
          <w:p>
            <w:pPr>
              <w:spacing w:after="0"/>
              <w:rPr>
                <w:sz w:val="21"/>
                <w:szCs w:val="21"/>
                <w:color w:val="auto"/>
              </w:rPr>
            </w:pPr>
          </w:p>
        </w:tc>
      </w:tr>
      <w:tr>
        <w:trPr>
          <w:trHeight w:val="42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Newland Master Fund, Ltd.</w:t>
            </w:r>
          </w:p>
        </w:tc>
        <w:tc>
          <w:tcPr>
            <w:tcW w:w="122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c/o Newland Capital Management, LLC</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350 Madison Avenue</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line="230" w:lineRule="exact"/>
              <w:rPr>
                <w:sz w:val="20"/>
                <w:szCs w:val="20"/>
                <w:color w:val="auto"/>
              </w:rPr>
            </w:pPr>
            <w:r>
              <w:rPr>
                <w:rFonts w:ascii="Arial" w:cs="Arial" w:eastAsia="Arial" w:hAnsi="Arial"/>
                <w:sz w:val="19"/>
                <w:szCs w:val="19"/>
                <w:color w:val="auto"/>
              </w:rPr>
              <w:t>11</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Floor</w:t>
            </w:r>
          </w:p>
        </w:tc>
        <w:tc>
          <w:tcPr>
            <w:tcW w:w="122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 York, New York 10017</w:t>
            </w:r>
          </w:p>
        </w:tc>
        <w:tc>
          <w:tcPr>
            <w:tcW w:w="1220" w:type="dxa"/>
            <w:vAlign w:val="bottom"/>
          </w:tcPr>
          <w:p>
            <w:pPr>
              <w:spacing w:after="0"/>
              <w:rPr>
                <w:sz w:val="21"/>
                <w:szCs w:val="21"/>
                <w:color w:val="auto"/>
              </w:rPr>
            </w:pPr>
          </w:p>
        </w:tc>
      </w:tr>
      <w:tr>
        <w:trPr>
          <w:trHeight w:val="42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Ken Brodkowitz</w:t>
            </w:r>
          </w:p>
        </w:tc>
        <w:tc>
          <w:tcPr>
            <w:tcW w:w="122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c/o Newland Capital Management, LLC</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350 Madison Avenue</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line="230" w:lineRule="exact"/>
              <w:rPr>
                <w:sz w:val="20"/>
                <w:szCs w:val="20"/>
                <w:color w:val="auto"/>
              </w:rPr>
            </w:pPr>
            <w:r>
              <w:rPr>
                <w:rFonts w:ascii="Arial" w:cs="Arial" w:eastAsia="Arial" w:hAnsi="Arial"/>
                <w:sz w:val="19"/>
                <w:szCs w:val="19"/>
                <w:color w:val="auto"/>
              </w:rPr>
              <w:t>11</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Floor</w:t>
            </w:r>
          </w:p>
        </w:tc>
        <w:tc>
          <w:tcPr>
            <w:tcW w:w="122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New York, New York 10017</w:t>
            </w:r>
          </w:p>
        </w:tc>
        <w:tc>
          <w:tcPr>
            <w:tcW w:w="1220" w:type="dxa"/>
            <w:vAlign w:val="bottom"/>
          </w:tcPr>
          <w:p>
            <w:pPr>
              <w:spacing w:after="0"/>
              <w:rPr>
                <w:sz w:val="21"/>
                <w:szCs w:val="21"/>
                <w:color w:val="auto"/>
              </w:rPr>
            </w:pPr>
          </w:p>
        </w:tc>
      </w:tr>
      <w:tr>
        <w:trPr>
          <w:trHeight w:val="42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Michael Vermut</w:t>
            </w:r>
          </w:p>
        </w:tc>
        <w:tc>
          <w:tcPr>
            <w:tcW w:w="122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c/o Newland Capital Management, LLC</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20"/>
                <w:szCs w:val="20"/>
                <w:color w:val="auto"/>
              </w:rPr>
              <w:t>350 Madison Avenue</w:t>
            </w:r>
          </w:p>
        </w:tc>
        <w:tc>
          <w:tcPr>
            <w:tcW w:w="1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80" w:type="dxa"/>
            <w:vAlign w:val="bottom"/>
            <w:gridSpan w:val="2"/>
          </w:tcPr>
          <w:p>
            <w:pPr>
              <w:spacing w:after="0" w:line="230" w:lineRule="exact"/>
              <w:rPr>
                <w:sz w:val="20"/>
                <w:szCs w:val="20"/>
                <w:color w:val="auto"/>
              </w:rPr>
            </w:pPr>
            <w:r>
              <w:rPr>
                <w:rFonts w:ascii="Arial" w:cs="Arial" w:eastAsia="Arial" w:hAnsi="Arial"/>
                <w:sz w:val="19"/>
                <w:szCs w:val="19"/>
                <w:color w:val="auto"/>
              </w:rPr>
              <w:t>11</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Floor</w:t>
            </w:r>
          </w:p>
        </w:tc>
        <w:tc>
          <w:tcPr>
            <w:tcW w:w="1220" w:type="dxa"/>
            <w:vAlign w:val="bottom"/>
          </w:tcPr>
          <w:p>
            <w:pPr>
              <w:spacing w:after="0"/>
              <w:rPr>
                <w:sz w:val="19"/>
                <w:szCs w:val="19"/>
                <w:color w:val="auto"/>
              </w:rPr>
            </w:pPr>
          </w:p>
        </w:tc>
      </w:tr>
      <w:tr>
        <w:trPr>
          <w:trHeight w:val="253"/>
        </w:trPr>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New York, New York 10017</w:t>
            </w:r>
          </w:p>
        </w:tc>
        <w:tc>
          <w:tcPr>
            <w:tcW w:w="1220" w:type="dxa"/>
            <w:vAlign w:val="bottom"/>
          </w:tcPr>
          <w:p>
            <w:pPr>
              <w:spacing w:after="0"/>
              <w:rPr>
                <w:sz w:val="22"/>
                <w:szCs w:val="22"/>
                <w:color w:val="auto"/>
              </w:rPr>
            </w:pPr>
          </w:p>
        </w:tc>
      </w:tr>
      <w:tr>
        <w:trPr>
          <w:trHeight w:val="848"/>
        </w:trPr>
        <w:tc>
          <w:tcPr>
            <w:tcW w:w="9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64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6" w:name="page7"/>
    <w:bookmarkEnd w:id="6"/>
    <w:p>
      <w:pPr>
        <w:ind w:left="960"/>
        <w:spacing w:after="0"/>
        <w:tabs>
          <w:tab w:leader="none" w:pos="16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Citizenship:</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Newland Capital Management, LLC – Delaware limited liability company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Newland Master Fund, Ltd. – Cayman Islands exempted company</w:t>
      </w:r>
    </w:p>
    <w:p>
      <w:pPr>
        <w:ind w:left="1620"/>
        <w:spacing w:after="0"/>
        <w:rPr>
          <w:sz w:val="20"/>
          <w:szCs w:val="20"/>
          <w:color w:val="auto"/>
        </w:rPr>
      </w:pPr>
      <w:r>
        <w:rPr>
          <w:rFonts w:ascii="Arial" w:cs="Arial" w:eastAsia="Arial" w:hAnsi="Arial"/>
          <w:sz w:val="20"/>
          <w:szCs w:val="20"/>
          <w:color w:val="auto"/>
        </w:rPr>
        <w:t>Ken Brodkowitz – United States citizen</w:t>
      </w:r>
    </w:p>
    <w:p>
      <w:pPr>
        <w:ind w:left="1620"/>
        <w:spacing w:after="0"/>
        <w:rPr>
          <w:sz w:val="20"/>
          <w:szCs w:val="20"/>
          <w:color w:val="auto"/>
        </w:rPr>
      </w:pPr>
      <w:r>
        <w:rPr>
          <w:rFonts w:ascii="Arial" w:cs="Arial" w:eastAsia="Arial" w:hAnsi="Arial"/>
          <w:sz w:val="20"/>
          <w:szCs w:val="20"/>
          <w:color w:val="auto"/>
        </w:rPr>
        <w:t>Michael Vermut –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0</wp:posOffset>
            </wp:positionV>
            <wp:extent cx="5436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687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960"/>
        <w:spacing w:after="0"/>
        <w:tabs>
          <w:tab w:leader="none" w:pos="16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Title of class of securities: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10160</wp:posOffset>
            </wp:positionV>
            <wp:extent cx="5436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17145"/>
                    </a:xfrm>
                    <a:prstGeom prst="rect">
                      <a:avLst/>
                    </a:prstGeom>
                    <a:noFill/>
                  </pic:spPr>
                </pic:pic>
              </a:graphicData>
            </a:graphic>
          </wp:anchor>
        </w:drawing>
      </w:r>
    </w:p>
    <w:p>
      <w:pPr>
        <w:spacing w:after="0" w:line="250" w:lineRule="exact"/>
        <w:rPr>
          <w:sz w:val="20"/>
          <w:szCs w:val="20"/>
          <w:color w:val="auto"/>
        </w:rPr>
      </w:pPr>
    </w:p>
    <w:p>
      <w:pPr>
        <w:jc w:val="right"/>
        <w:ind w:right="8800"/>
        <w:spacing w:after="0"/>
        <w:tabs>
          <w:tab w:leader="none" w:pos="97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CUSIP No:</w:t>
      </w:r>
    </w:p>
    <w:p>
      <w:pPr>
        <w:spacing w:after="0" w:line="229" w:lineRule="exact"/>
        <w:rPr>
          <w:sz w:val="20"/>
          <w:szCs w:val="20"/>
          <w:color w:val="auto"/>
        </w:rPr>
      </w:pPr>
    </w:p>
    <w:p>
      <w:pPr>
        <w:jc w:val="right"/>
        <w:ind w:right="8800"/>
        <w:spacing w:after="0"/>
        <w:rPr>
          <w:sz w:val="20"/>
          <w:szCs w:val="20"/>
          <w:color w:val="auto"/>
        </w:rPr>
      </w:pPr>
      <w:r>
        <w:rPr>
          <w:rFonts w:ascii="Arial" w:cs="Arial" w:eastAsia="Arial" w:hAnsi="Arial"/>
          <w:sz w:val="20"/>
          <w:szCs w:val="20"/>
          <w:color w:val="auto"/>
        </w:rPr>
        <w:t>60649T107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10160</wp:posOffset>
            </wp:positionV>
            <wp:extent cx="5436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3687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color w:val="auto"/>
        </w:rPr>
        <w:t>If This Statement is filed pursuant to §§.240.13d-1(b) or 240.13d-2(b), or (c), check whether the person filing is a</w:t>
      </w:r>
    </w:p>
    <w:p>
      <w:pPr>
        <w:spacing w:after="0" w:line="243" w:lineRule="exact"/>
        <w:rPr>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Broker or dealer registered under Section 15 of the Act (15 U.S.C. 78o).</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Bank as defined in Section 3(a)(6) of the Act (15 U.S.C. 78c).</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Insurance company as defined in section 3(a)(19) of the Act (15 U.S.C. 78c).</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[_]   Investment company registered under section 8 of the Investment Company Act of 1940 (15 U.S.C. 80a-8).</w:t>
      </w:r>
    </w:p>
    <w:p>
      <w:pPr>
        <w:spacing w:after="0" w:line="254" w:lineRule="exact"/>
        <w:rPr>
          <w:rFonts w:ascii="Arial" w:cs="Arial" w:eastAsia="Arial" w:hAnsi="Arial"/>
          <w:sz w:val="19"/>
          <w:szCs w:val="19"/>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An investment adviser in accordance with § 240.13d-1(b)(1)(ii)(E);</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An employee benefit plan or endowment fund in accordance with § 240.13d-1(b)(1)(ii)(F);</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 parent holding company or control person in accordance with §240.13d-1(b)(1)(ii)(G);</w:t>
      </w:r>
    </w:p>
    <w:p>
      <w:pPr>
        <w:spacing w:after="0" w:line="242"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 savings association as defined in Section 3(b) of the Federal Deposit Insurance Act (12 U.S.C.1813);</w:t>
      </w:r>
    </w:p>
    <w:p>
      <w:pPr>
        <w:spacing w:after="0" w:line="242" w:lineRule="exact"/>
        <w:rPr>
          <w:rFonts w:ascii="Arial" w:cs="Arial" w:eastAsia="Arial" w:hAnsi="Arial"/>
          <w:sz w:val="20"/>
          <w:szCs w:val="20"/>
          <w:color w:val="auto"/>
        </w:rPr>
      </w:pPr>
    </w:p>
    <w:p>
      <w:pPr>
        <w:ind w:left="2180" w:right="700" w:hanging="1213"/>
        <w:spacing w:after="0" w:line="260" w:lineRule="auto"/>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 church plan that is excluded from the definition of an investment company under Section 3(c)(14) of the Investment Company Act of 1940 (15 U.S.C. 80a-3);</w:t>
      </w:r>
    </w:p>
    <w:p>
      <w:pPr>
        <w:spacing w:after="0" w:line="203" w:lineRule="exact"/>
        <w:rPr>
          <w:rFonts w:ascii="Arial" w:cs="Arial" w:eastAsia="Arial" w:hAnsi="Arial"/>
          <w:sz w:val="20"/>
          <w:szCs w:val="20"/>
          <w:color w:val="auto"/>
        </w:rPr>
      </w:pPr>
    </w:p>
    <w:p>
      <w:pPr>
        <w:ind w:left="1640" w:hanging="673"/>
        <w:spacing w:after="0"/>
        <w:tabs>
          <w:tab w:leader="none" w:pos="16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[_]   A non-U.S. institution in accordance with §240.13d-1(b)(1)(ii)(J);</w:t>
      </w:r>
    </w:p>
    <w:p>
      <w:pPr>
        <w:spacing w:after="0" w:line="242" w:lineRule="exact"/>
        <w:rPr>
          <w:rFonts w:ascii="Arial" w:cs="Arial" w:eastAsia="Arial" w:hAnsi="Arial"/>
          <w:sz w:val="20"/>
          <w:szCs w:val="20"/>
          <w:color w:val="auto"/>
        </w:rPr>
      </w:pPr>
    </w:p>
    <w:p>
      <w:pPr>
        <w:ind w:left="1620" w:hanging="69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    Group, in accordance with §240.13d-1(b)(1)(ii)(K). If filing as a non-U.S. institution in accordance with §240.13d-</w:t>
      </w:r>
    </w:p>
    <w:p>
      <w:pPr>
        <w:spacing w:after="0" w:line="38"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20"/>
          <w:szCs w:val="20"/>
          <w:color w:val="auto"/>
        </w:rPr>
        <w:t>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146050</wp:posOffset>
            </wp:positionV>
            <wp:extent cx="62172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728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9" w:right="319" w:bottom="1440" w:gutter="0" w:footer="0" w:header="0"/>
        </w:sectPr>
      </w:pPr>
    </w:p>
    <w:bookmarkStart w:id="7" w:name="page8"/>
    <w:bookmarkEnd w:id="7"/>
    <w:p>
      <w:pPr>
        <w:spacing w:after="0"/>
        <w:tabs>
          <w:tab w:leader="none" w:pos="10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43" w:lineRule="exact"/>
        <w:rPr>
          <w:sz w:val="20"/>
          <w:szCs w:val="20"/>
          <w:color w:val="auto"/>
        </w:rPr>
      </w:pPr>
    </w:p>
    <w:p>
      <w:pPr>
        <w:ind w:left="1080" w:right="4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204" w:lineRule="exact"/>
        <w:rPr>
          <w:sz w:val="20"/>
          <w:szCs w:val="20"/>
          <w:color w:val="auto"/>
        </w:rPr>
      </w:pPr>
    </w:p>
    <w:p>
      <w:pPr>
        <w:ind w:left="1620" w:hanging="532"/>
        <w:spacing w:after="0"/>
        <w:tabs>
          <w:tab w:leader="none" w:pos="1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29"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Newland Capital Management, LLC: 1,434,909</w:t>
      </w:r>
    </w:p>
    <w:p>
      <w:pPr>
        <w:spacing w:after="0" w:line="15"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Newland Master Fund, Ltd.: 1,434,909</w:t>
      </w:r>
    </w:p>
    <w:p>
      <w:pPr>
        <w:ind w:left="1620"/>
        <w:spacing w:after="0"/>
        <w:rPr>
          <w:rFonts w:ascii="Arial" w:cs="Arial" w:eastAsia="Arial" w:hAnsi="Arial"/>
          <w:sz w:val="20"/>
          <w:szCs w:val="20"/>
          <w:color w:val="auto"/>
        </w:rPr>
      </w:pPr>
      <w:r>
        <w:rPr>
          <w:rFonts w:ascii="Arial" w:cs="Arial" w:eastAsia="Arial" w:hAnsi="Arial"/>
          <w:sz w:val="20"/>
          <w:szCs w:val="20"/>
          <w:color w:val="auto"/>
        </w:rPr>
        <w:t>Ken Brodkowitz: 1,434,909</w:t>
      </w:r>
    </w:p>
    <w:p>
      <w:pPr>
        <w:ind w:left="1620"/>
        <w:spacing w:after="0"/>
        <w:rPr>
          <w:rFonts w:ascii="Arial" w:cs="Arial" w:eastAsia="Arial" w:hAnsi="Arial"/>
          <w:sz w:val="20"/>
          <w:szCs w:val="20"/>
          <w:color w:val="auto"/>
        </w:rPr>
      </w:pPr>
      <w:r>
        <w:rPr>
          <w:rFonts w:ascii="Arial" w:cs="Arial" w:eastAsia="Arial" w:hAnsi="Arial"/>
          <w:sz w:val="20"/>
          <w:szCs w:val="20"/>
          <w:color w:val="auto"/>
        </w:rPr>
        <w:t>Michael Vermut: 1,434,909</w:t>
      </w:r>
    </w:p>
    <w:p>
      <w:pPr>
        <w:spacing w:after="0" w:line="253" w:lineRule="exact"/>
        <w:rPr>
          <w:rFonts w:ascii="Arial" w:cs="Arial" w:eastAsia="Arial" w:hAnsi="Arial"/>
          <w:sz w:val="20"/>
          <w:szCs w:val="20"/>
          <w:color w:val="auto"/>
        </w:rPr>
      </w:pPr>
    </w:p>
    <w:p>
      <w:pPr>
        <w:ind w:left="1620" w:hanging="532"/>
        <w:spacing w:after="0"/>
        <w:tabs>
          <w:tab w:leader="none" w:pos="1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Newland Capital Management, LLC: 5.4%</w:t>
      </w:r>
    </w:p>
    <w:p>
      <w:pPr>
        <w:spacing w:after="0" w:line="15"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Newland Master Fund, Ltd.: 5.4%</w:t>
      </w:r>
    </w:p>
    <w:p>
      <w:pPr>
        <w:ind w:left="1620"/>
        <w:spacing w:after="0"/>
        <w:rPr>
          <w:rFonts w:ascii="Arial" w:cs="Arial" w:eastAsia="Arial" w:hAnsi="Arial"/>
          <w:sz w:val="20"/>
          <w:szCs w:val="20"/>
          <w:color w:val="auto"/>
        </w:rPr>
      </w:pPr>
      <w:r>
        <w:rPr>
          <w:rFonts w:ascii="Arial" w:cs="Arial" w:eastAsia="Arial" w:hAnsi="Arial"/>
          <w:sz w:val="20"/>
          <w:szCs w:val="20"/>
          <w:color w:val="auto"/>
        </w:rPr>
        <w:t>Ken Brodkowitz: 5.4%</w:t>
      </w:r>
    </w:p>
    <w:p>
      <w:pPr>
        <w:ind w:left="1620"/>
        <w:spacing w:after="0"/>
        <w:rPr>
          <w:rFonts w:ascii="Arial" w:cs="Arial" w:eastAsia="Arial" w:hAnsi="Arial"/>
          <w:sz w:val="20"/>
          <w:szCs w:val="20"/>
          <w:color w:val="auto"/>
        </w:rPr>
      </w:pPr>
      <w:r>
        <w:rPr>
          <w:rFonts w:ascii="Arial" w:cs="Arial" w:eastAsia="Arial" w:hAnsi="Arial"/>
          <w:sz w:val="20"/>
          <w:szCs w:val="20"/>
          <w:color w:val="auto"/>
        </w:rPr>
        <w:t>Michael Vermut: 5.4%</w:t>
      </w:r>
    </w:p>
    <w:p>
      <w:pPr>
        <w:spacing w:after="0" w:line="253" w:lineRule="exact"/>
        <w:rPr>
          <w:rFonts w:ascii="Arial" w:cs="Arial" w:eastAsia="Arial" w:hAnsi="Arial"/>
          <w:sz w:val="20"/>
          <w:szCs w:val="20"/>
          <w:color w:val="auto"/>
        </w:rPr>
      </w:pPr>
    </w:p>
    <w:p>
      <w:pPr>
        <w:ind w:left="1620" w:hanging="532"/>
        <w:spacing w:after="0"/>
        <w:tabs>
          <w:tab w:leader="none" w:pos="1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Number of shares as to which Newland Capital Management, LLC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-1352550</wp:posOffset>
            </wp:positionV>
            <wp:extent cx="62261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-306070</wp:posOffset>
            </wp:positionV>
            <wp:extent cx="62261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ind w:left="1540"/>
              <w:spacing w:after="0"/>
              <w:rPr>
                <w:sz w:val="20"/>
                <w:szCs w:val="20"/>
                <w:color w:val="auto"/>
              </w:rPr>
            </w:pPr>
            <w:r>
              <w:rPr>
                <w:rFonts w:ascii="Arial" w:cs="Arial" w:eastAsia="Arial" w:hAnsi="Arial"/>
                <w:sz w:val="20"/>
                <w:szCs w:val="20"/>
                <w:color w:val="auto"/>
              </w:rPr>
              <w:t>(i)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66"/>
        </w:trPr>
        <w:tc>
          <w:tcPr>
            <w:tcW w:w="2000" w:type="dxa"/>
            <w:vAlign w:val="bottom"/>
          </w:tcPr>
          <w:p>
            <w:pPr>
              <w:ind w:left="1540"/>
              <w:spacing w:after="0"/>
              <w:rPr>
                <w:sz w:val="20"/>
                <w:szCs w:val="20"/>
                <w:color w:val="auto"/>
              </w:rPr>
            </w:pPr>
            <w:r>
              <w:rPr>
                <w:rFonts w:ascii="Arial" w:cs="Arial" w:eastAsia="Arial" w:hAnsi="Arial"/>
                <w:sz w:val="20"/>
                <w:szCs w:val="20"/>
                <w:color w:val="auto"/>
              </w:rPr>
              <w:t>(ii)</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66"/>
        </w:trPr>
        <w:tc>
          <w:tcPr>
            <w:tcW w:w="2000" w:type="dxa"/>
            <w:vAlign w:val="bottom"/>
          </w:tcPr>
          <w:p>
            <w:pPr>
              <w:ind w:left="1540"/>
              <w:spacing w:after="0"/>
              <w:rPr>
                <w:sz w:val="20"/>
                <w:szCs w:val="20"/>
                <w:color w:val="auto"/>
              </w:rPr>
            </w:pPr>
            <w:r>
              <w:rPr>
                <w:rFonts w:ascii="Arial" w:cs="Arial" w:eastAsia="Arial" w:hAnsi="Arial"/>
                <w:sz w:val="20"/>
                <w:szCs w:val="20"/>
                <w:color w:val="auto"/>
              </w:rPr>
              <w:t>(iii)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66"/>
        </w:trPr>
        <w:tc>
          <w:tcPr>
            <w:tcW w:w="2000" w:type="dxa"/>
            <w:vAlign w:val="bottom"/>
          </w:tcPr>
          <w:p>
            <w:pPr>
              <w:ind w:left="1540"/>
              <w:spacing w:after="0"/>
              <w:rPr>
                <w:sz w:val="20"/>
                <w:szCs w:val="20"/>
                <w:color w:val="auto"/>
              </w:rPr>
            </w:pPr>
            <w:r>
              <w:rPr>
                <w:rFonts w:ascii="Arial" w:cs="Arial" w:eastAsia="Arial" w:hAnsi="Arial"/>
                <w:sz w:val="20"/>
                <w:szCs w:val="20"/>
                <w:color w:val="auto"/>
              </w:rPr>
              <w:t>(iv)</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50"/>
        </w:trPr>
        <w:tc>
          <w:tcPr>
            <w:tcW w:w="8280" w:type="dxa"/>
            <w:vAlign w:val="bottom"/>
            <w:gridSpan w:val="2"/>
          </w:tcPr>
          <w:p>
            <w:pPr>
              <w:ind w:left="1040"/>
              <w:spacing w:after="0"/>
              <w:rPr>
                <w:sz w:val="20"/>
                <w:szCs w:val="20"/>
                <w:color w:val="auto"/>
              </w:rPr>
            </w:pPr>
            <w:r>
              <w:rPr>
                <w:rFonts w:ascii="Arial" w:cs="Arial" w:eastAsia="Arial" w:hAnsi="Arial"/>
                <w:sz w:val="20"/>
                <w:szCs w:val="20"/>
                <w:color w:val="auto"/>
              </w:rPr>
              <w:t>Number of shares as to which Newland Master Fund, Ltd. has:</w:t>
            </w:r>
          </w:p>
        </w:tc>
        <w:tc>
          <w:tcPr>
            <w:tcW w:w="27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9"/>
        </w:trPr>
        <w:tc>
          <w:tcPr>
            <w:tcW w:w="2000" w:type="dxa"/>
            <w:vAlign w:val="bottom"/>
          </w:tcPr>
          <w:p>
            <w:pPr>
              <w:ind w:left="1540"/>
              <w:spacing w:after="0"/>
              <w:rPr>
                <w:sz w:val="20"/>
                <w:szCs w:val="20"/>
                <w:color w:val="auto"/>
              </w:rPr>
            </w:pPr>
            <w:r>
              <w:rPr>
                <w:rFonts w:ascii="Arial" w:cs="Arial" w:eastAsia="Arial" w:hAnsi="Arial"/>
                <w:sz w:val="20"/>
                <w:szCs w:val="20"/>
                <w:color w:val="auto"/>
              </w:rPr>
              <w:t>(i)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53"/>
        </w:trPr>
        <w:tc>
          <w:tcPr>
            <w:tcW w:w="2000" w:type="dxa"/>
            <w:vAlign w:val="bottom"/>
          </w:tcPr>
          <w:p>
            <w:pPr>
              <w:ind w:left="1540"/>
              <w:spacing w:after="0"/>
              <w:rPr>
                <w:sz w:val="20"/>
                <w:szCs w:val="20"/>
                <w:color w:val="auto"/>
              </w:rPr>
            </w:pPr>
            <w:r>
              <w:rPr>
                <w:rFonts w:ascii="Arial" w:cs="Arial" w:eastAsia="Arial" w:hAnsi="Arial"/>
                <w:sz w:val="20"/>
                <w:szCs w:val="20"/>
                <w:color w:val="auto"/>
              </w:rPr>
              <w:t>(ii)</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53"/>
        </w:trPr>
        <w:tc>
          <w:tcPr>
            <w:tcW w:w="2000" w:type="dxa"/>
            <w:vAlign w:val="bottom"/>
          </w:tcPr>
          <w:p>
            <w:pPr>
              <w:ind w:left="1540"/>
              <w:spacing w:after="0"/>
              <w:rPr>
                <w:sz w:val="20"/>
                <w:szCs w:val="20"/>
                <w:color w:val="auto"/>
              </w:rPr>
            </w:pPr>
            <w:r>
              <w:rPr>
                <w:rFonts w:ascii="Arial" w:cs="Arial" w:eastAsia="Arial" w:hAnsi="Arial"/>
                <w:sz w:val="20"/>
                <w:szCs w:val="20"/>
                <w:color w:val="auto"/>
              </w:rPr>
              <w:t>(iii)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453"/>
        </w:trPr>
        <w:tc>
          <w:tcPr>
            <w:tcW w:w="2000" w:type="dxa"/>
            <w:vAlign w:val="bottom"/>
          </w:tcPr>
          <w:p>
            <w:pPr>
              <w:ind w:left="1540"/>
              <w:spacing w:after="0"/>
              <w:rPr>
                <w:sz w:val="20"/>
                <w:szCs w:val="20"/>
                <w:color w:val="auto"/>
              </w:rPr>
            </w:pPr>
            <w:r>
              <w:rPr>
                <w:rFonts w:ascii="Arial" w:cs="Arial" w:eastAsia="Arial" w:hAnsi="Arial"/>
                <w:sz w:val="20"/>
                <w:szCs w:val="20"/>
                <w:color w:val="auto"/>
              </w:rPr>
              <w:t>(iv)</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40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r>
      <w:tr>
        <w:trPr>
          <w:trHeight w:val="834"/>
        </w:trPr>
        <w:tc>
          <w:tcPr>
            <w:tcW w:w="200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8" w:right="239" w:bottom="1440" w:gutter="0" w:footer="0" w:header="0"/>
        </w:sectPr>
      </w:pPr>
    </w:p>
    <w:bookmarkStart w:id="8" w:name="page9"/>
    <w:bookmarkEnd w:id="8"/>
    <w:p>
      <w:pPr>
        <w:ind w:left="1080"/>
        <w:spacing w:after="0"/>
        <w:rPr>
          <w:sz w:val="20"/>
          <w:szCs w:val="20"/>
          <w:color w:val="auto"/>
        </w:rPr>
      </w:pPr>
      <w:r>
        <w:rPr>
          <w:rFonts w:ascii="Arial" w:cs="Arial" w:eastAsia="Arial" w:hAnsi="Arial"/>
          <w:sz w:val="20"/>
          <w:szCs w:val="20"/>
          <w:color w:val="auto"/>
        </w:rPr>
        <w:t>Number of shares as to which Ken Brodkowitz has:</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Arial" w:cs="Arial" w:eastAsia="Arial" w:hAnsi="Arial"/>
                <w:sz w:val="20"/>
                <w:szCs w:val="20"/>
                <w:color w:val="auto"/>
              </w:rPr>
              <w:t>(i)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60" w:type="dxa"/>
            <w:vAlign w:val="bottom"/>
          </w:tcPr>
          <w:p>
            <w:pPr>
              <w:spacing w:after="0"/>
              <w:rPr>
                <w:sz w:val="20"/>
                <w:szCs w:val="20"/>
                <w:color w:val="auto"/>
              </w:rPr>
            </w:pPr>
            <w:r>
              <w:rPr>
                <w:rFonts w:ascii="Arial" w:cs="Arial" w:eastAsia="Arial" w:hAnsi="Arial"/>
                <w:sz w:val="20"/>
                <w:szCs w:val="20"/>
                <w:color w:val="auto"/>
              </w:rPr>
              <w:t>(ii)</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vote or to direct the vote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60" w:type="dxa"/>
            <w:vAlign w:val="bottom"/>
          </w:tcPr>
          <w:p>
            <w:pPr>
              <w:spacing w:after="0"/>
              <w:rPr>
                <w:sz w:val="20"/>
                <w:szCs w:val="20"/>
                <w:color w:val="auto"/>
              </w:rPr>
            </w:pPr>
            <w:r>
              <w:rPr>
                <w:rFonts w:ascii="Arial" w:cs="Arial" w:eastAsia="Arial" w:hAnsi="Arial"/>
                <w:sz w:val="20"/>
                <w:szCs w:val="20"/>
                <w:color w:val="auto"/>
              </w:rPr>
              <w:t>(iii)</w:t>
            </w:r>
          </w:p>
        </w:tc>
        <w:tc>
          <w:tcPr>
            <w:tcW w:w="6280" w:type="dxa"/>
            <w:vAlign w:val="bottom"/>
          </w:tcPr>
          <w:p>
            <w:pPr>
              <w:ind w:left="160"/>
              <w:spacing w:after="0"/>
              <w:rPr>
                <w:sz w:val="20"/>
                <w:szCs w:val="20"/>
                <w:color w:val="auto"/>
              </w:rPr>
            </w:pPr>
            <w:r>
              <w:rPr>
                <w:rFonts w:ascii="Arial" w:cs="Arial" w:eastAsia="Arial" w:hAnsi="Arial"/>
                <w:sz w:val="20"/>
                <w:szCs w:val="20"/>
                <w:color w:val="auto"/>
              </w:rPr>
              <w:t>Sole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60" w:type="dxa"/>
            <w:vAlign w:val="bottom"/>
          </w:tcPr>
          <w:p>
            <w:pPr>
              <w:spacing w:after="0"/>
              <w:rPr>
                <w:sz w:val="20"/>
                <w:szCs w:val="20"/>
                <w:color w:val="auto"/>
              </w:rPr>
            </w:pPr>
            <w:r>
              <w:rPr>
                <w:rFonts w:ascii="Arial" w:cs="Arial" w:eastAsia="Arial" w:hAnsi="Arial"/>
                <w:sz w:val="20"/>
                <w:szCs w:val="20"/>
                <w:color w:val="auto"/>
              </w:rPr>
              <w:t>(iv)</w:t>
            </w:r>
          </w:p>
        </w:tc>
        <w:tc>
          <w:tcPr>
            <w:tcW w:w="6280" w:type="dxa"/>
            <w:vAlign w:val="bottom"/>
          </w:tcPr>
          <w:p>
            <w:pPr>
              <w:ind w:left="160"/>
              <w:spacing w:after="0"/>
              <w:rPr>
                <w:sz w:val="20"/>
                <w:szCs w:val="20"/>
                <w:color w:val="auto"/>
              </w:rPr>
            </w:pPr>
            <w:r>
              <w:rPr>
                <w:rFonts w:ascii="Arial" w:cs="Arial" w:eastAsia="Arial" w:hAnsi="Arial"/>
                <w:sz w:val="20"/>
                <w:szCs w:val="20"/>
                <w:color w:val="auto"/>
              </w:rPr>
              <w:t>Shared power to dispose or to direct the disposition of</w:t>
            </w:r>
          </w:p>
        </w:tc>
        <w:tc>
          <w:tcPr>
            <w:tcW w:w="2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bl>
    <w:p>
      <w:pPr>
        <w:spacing w:after="0" w:line="19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Number of shares as to which Michael Vermut has:</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0"/>
                <w:szCs w:val="20"/>
                <w:color w:val="auto"/>
              </w:rPr>
              <w:t>(i)</w:t>
            </w:r>
          </w:p>
        </w:tc>
        <w:tc>
          <w:tcPr>
            <w:tcW w:w="6600" w:type="dxa"/>
            <w:vAlign w:val="bottom"/>
          </w:tcPr>
          <w:p>
            <w:pPr>
              <w:ind w:left="200"/>
              <w:spacing w:after="0"/>
              <w:rPr>
                <w:sz w:val="20"/>
                <w:szCs w:val="20"/>
                <w:color w:val="auto"/>
              </w:rPr>
            </w:pPr>
            <w:r>
              <w:rPr>
                <w:rFonts w:ascii="Arial" w:cs="Arial" w:eastAsia="Arial" w:hAnsi="Arial"/>
                <w:sz w:val="20"/>
                <w:szCs w:val="20"/>
                <w:color w:val="auto"/>
              </w:rPr>
              <w:t>Sole power to vote or to direct the vote</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80" w:type="dxa"/>
            <w:vAlign w:val="bottom"/>
          </w:tcPr>
          <w:p>
            <w:pPr>
              <w:spacing w:after="0"/>
              <w:rPr>
                <w:sz w:val="20"/>
                <w:szCs w:val="20"/>
                <w:color w:val="auto"/>
              </w:rPr>
            </w:pPr>
            <w:r>
              <w:rPr>
                <w:rFonts w:ascii="Arial" w:cs="Arial" w:eastAsia="Arial" w:hAnsi="Arial"/>
                <w:sz w:val="20"/>
                <w:szCs w:val="20"/>
                <w:color w:val="auto"/>
              </w:rPr>
              <w:t>(ii)</w:t>
            </w:r>
          </w:p>
        </w:tc>
        <w:tc>
          <w:tcPr>
            <w:tcW w:w="6600" w:type="dxa"/>
            <w:vAlign w:val="bottom"/>
          </w:tcPr>
          <w:p>
            <w:pPr>
              <w:ind w:left="200"/>
              <w:spacing w:after="0"/>
              <w:rPr>
                <w:sz w:val="20"/>
                <w:szCs w:val="20"/>
                <w:color w:val="auto"/>
              </w:rPr>
            </w:pPr>
            <w:r>
              <w:rPr>
                <w:rFonts w:ascii="Arial" w:cs="Arial" w:eastAsia="Arial" w:hAnsi="Arial"/>
                <w:sz w:val="20"/>
                <w:szCs w:val="20"/>
                <w:color w:val="auto"/>
              </w:rPr>
              <w:t>Shared power to vote or to direct the vote</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80" w:type="dxa"/>
            <w:vAlign w:val="bottom"/>
          </w:tcPr>
          <w:p>
            <w:pPr>
              <w:spacing w:after="0"/>
              <w:rPr>
                <w:sz w:val="20"/>
                <w:szCs w:val="20"/>
                <w:color w:val="auto"/>
              </w:rPr>
            </w:pPr>
            <w:r>
              <w:rPr>
                <w:rFonts w:ascii="Arial" w:cs="Arial" w:eastAsia="Arial" w:hAnsi="Arial"/>
                <w:sz w:val="20"/>
                <w:szCs w:val="20"/>
                <w:color w:val="auto"/>
              </w:rPr>
              <w:t>(iii)</w:t>
            </w:r>
          </w:p>
        </w:tc>
        <w:tc>
          <w:tcPr>
            <w:tcW w:w="6600" w:type="dxa"/>
            <w:vAlign w:val="bottom"/>
          </w:tcPr>
          <w:p>
            <w:pPr>
              <w:ind w:left="200"/>
              <w:spacing w:after="0"/>
              <w:rPr>
                <w:sz w:val="20"/>
                <w:szCs w:val="20"/>
                <w:color w:val="auto"/>
              </w:rPr>
            </w:pPr>
            <w:r>
              <w:rPr>
                <w:rFonts w:ascii="Arial" w:cs="Arial" w:eastAsia="Arial" w:hAnsi="Arial"/>
                <w:sz w:val="20"/>
                <w:szCs w:val="20"/>
                <w:color w:val="auto"/>
              </w:rPr>
              <w:t>Sole power to dispose or to direct the disposition of</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r>
        <w:trPr>
          <w:trHeight w:val="466"/>
        </w:trPr>
        <w:tc>
          <w:tcPr>
            <w:tcW w:w="480" w:type="dxa"/>
            <w:vAlign w:val="bottom"/>
          </w:tcPr>
          <w:p>
            <w:pPr>
              <w:spacing w:after="0"/>
              <w:rPr>
                <w:sz w:val="20"/>
                <w:szCs w:val="20"/>
                <w:color w:val="auto"/>
              </w:rPr>
            </w:pPr>
            <w:r>
              <w:rPr>
                <w:rFonts w:ascii="Arial" w:cs="Arial" w:eastAsia="Arial" w:hAnsi="Arial"/>
                <w:sz w:val="20"/>
                <w:szCs w:val="20"/>
                <w:color w:val="auto"/>
              </w:rPr>
              <w:t>(iv)</w:t>
            </w:r>
          </w:p>
        </w:tc>
        <w:tc>
          <w:tcPr>
            <w:tcW w:w="6600" w:type="dxa"/>
            <w:vAlign w:val="bottom"/>
          </w:tcPr>
          <w:p>
            <w:pPr>
              <w:ind w:left="200"/>
              <w:spacing w:after="0"/>
              <w:rPr>
                <w:sz w:val="20"/>
                <w:szCs w:val="20"/>
                <w:color w:val="auto"/>
              </w:rPr>
            </w:pPr>
            <w:r>
              <w:rPr>
                <w:rFonts w:ascii="Arial" w:cs="Arial" w:eastAsia="Arial" w:hAnsi="Arial"/>
                <w:sz w:val="20"/>
                <w:szCs w:val="20"/>
                <w:color w:val="auto"/>
              </w:rPr>
              <w:t>Shared power to dispose or to direct the disposition of</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1,434,909</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43" w:lineRule="exact"/>
        <w:rPr>
          <w:sz w:val="20"/>
          <w:szCs w:val="20"/>
          <w:color w:val="auto"/>
        </w:rPr>
      </w:pPr>
    </w:p>
    <w:p>
      <w:pPr>
        <w:ind w:left="1080" w:right="46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43" w:lineRule="exact"/>
        <w:rPr>
          <w:sz w:val="20"/>
          <w:szCs w:val="20"/>
          <w:color w:val="auto"/>
        </w:rPr>
      </w:pPr>
    </w:p>
    <w:p>
      <w:pPr>
        <w:ind w:left="108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280035</wp:posOffset>
            </wp:positionV>
            <wp:extent cx="65690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907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52" w:right="299" w:bottom="1440" w:gutter="0" w:footer="0" w:header="0"/>
        </w:sectPr>
      </w:pPr>
    </w:p>
    <w:bookmarkStart w:id="9" w:name="page10"/>
    <w:bookmarkEnd w:id="9"/>
    <w:p>
      <w:pPr>
        <w:ind w:left="1340" w:right="360" w:hanging="1323"/>
        <w:spacing w:after="0" w:line="260" w:lineRule="auto"/>
        <w:tabs>
          <w:tab w:leader="none" w:pos="13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204" w:lineRule="exact"/>
        <w:rPr>
          <w:sz w:val="20"/>
          <w:szCs w:val="20"/>
          <w:color w:val="auto"/>
        </w:rPr>
      </w:pPr>
    </w:p>
    <w:p>
      <w:pPr>
        <w:jc w:val="both"/>
        <w:ind w:left="1080"/>
        <w:spacing w:after="0" w:line="246" w:lineRule="auto"/>
        <w:rPr>
          <w:sz w:val="20"/>
          <w:szCs w:val="20"/>
          <w:color w:val="auto"/>
        </w:rPr>
      </w:pPr>
      <w:r>
        <w:rPr>
          <w:rFonts w:ascii="Arial" w:cs="Arial" w:eastAsia="Arial" w:hAnsi="Arial"/>
          <w:sz w:val="20"/>
          <w:szCs w:val="20"/>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278130</wp:posOffset>
            </wp:positionV>
            <wp:extent cx="65690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43" w:lineRule="exact"/>
        <w:rPr>
          <w:sz w:val="20"/>
          <w:szCs w:val="20"/>
          <w:color w:val="auto"/>
        </w:rPr>
      </w:pPr>
    </w:p>
    <w:p>
      <w:pPr>
        <w:ind w:left="1080" w:right="120"/>
        <w:spacing w:after="0" w:line="250" w:lineRule="auto"/>
        <w:rPr>
          <w:sz w:val="20"/>
          <w:szCs w:val="20"/>
          <w:color w:val="auto"/>
        </w:rPr>
      </w:pPr>
      <w:r>
        <w:rPr>
          <w:rFonts w:ascii="Arial" w:cs="Arial" w:eastAsia="Arial" w:hAnsi="Arial"/>
          <w:sz w:val="20"/>
          <w:szCs w:val="20"/>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137795</wp:posOffset>
            </wp:positionV>
            <wp:extent cx="65690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43" w:lineRule="exact"/>
        <w:rPr>
          <w:sz w:val="20"/>
          <w:szCs w:val="20"/>
          <w:color w:val="auto"/>
        </w:rPr>
      </w:pPr>
    </w:p>
    <w:p>
      <w:pPr>
        <w:ind w:left="1080" w:right="120"/>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274955</wp:posOffset>
            </wp:positionV>
            <wp:extent cx="65690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43" w:lineRule="exact"/>
        <w:rPr>
          <w:sz w:val="20"/>
          <w:szCs w:val="20"/>
          <w:color w:val="auto"/>
        </w:rPr>
      </w:pPr>
    </w:p>
    <w:p>
      <w:pPr>
        <w:ind w:left="1620" w:right="12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52" w:right="319" w:bottom="1440" w:gutter="0" w:footer="0" w:header="0"/>
        </w:sectPr>
      </w:pPr>
    </w:p>
    <w:bookmarkStart w:id="10" w:name="page11"/>
    <w:bookmarkEnd w:id="10"/>
    <w:p>
      <w:pPr>
        <w:jc w:val="center"/>
        <w:ind w:right="-379"/>
        <w:spacing w:after="0"/>
        <w:rPr>
          <w:sz w:val="20"/>
          <w:szCs w:val="20"/>
          <w:color w:val="auto"/>
        </w:rPr>
      </w:pPr>
      <w:r>
        <w:rPr>
          <w:rFonts w:ascii="Arial" w:cs="Arial" w:eastAsia="Arial" w:hAnsi="Arial"/>
          <w:sz w:val="20"/>
          <w:szCs w:val="20"/>
          <w:color w:val="auto"/>
        </w:rPr>
        <w:t>SIGNATURE</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November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Date</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NEWLAND CAPITAL MANAGEMENT,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Ken Brodkowitz</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NEWLAND MASTER FUND,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Ken Brodkowitz</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KEN BRODKOWITZ*</w:t>
      </w:r>
    </w:p>
    <w:p>
      <w:pPr>
        <w:spacing w:after="0" w:line="2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MICHAEL VERMUT*</w:t>
      </w:r>
    </w:p>
    <w:p>
      <w:pPr>
        <w:spacing w:after="0" w:line="2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Vermut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Reporting Persons disclaim beneficial ownership over the securities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095" w:right="59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agree that this Schedule 13G dated November 9, 2009 relating to the Common Stock, par value $0.01 per share, of Mistras Group, Inc. shall be filed on behalf of the undersigned.</w:t>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NEWLAND CAPITAL MANAGEMENT,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Ken Brodkowitz</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NEWLAND MASTER FUND, LTD.</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Ken Brodkowitz</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KEN BRODKOWITZ</w:t>
      </w:r>
    </w:p>
    <w:p>
      <w:pPr>
        <w:spacing w:after="0" w:line="2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Ken Brodkowitz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MICHAEL VERMUT</w:t>
      </w:r>
    </w:p>
    <w:p>
      <w:pPr>
        <w:spacing w:after="0" w:line="2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Vermut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10160</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SK 25958 0003 1044887</w:t>
      </w:r>
    </w:p>
    <w:sectPr>
      <w:pgSz w:w="11900" w:h="16838" w:orient="portrait"/>
      <w:cols w:equalWidth="0" w:num="1">
        <w:col w:w="11420"/>
      </w:cols>
      <w:pgMar w:left="240" w:top="8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1"/>
    </w:lvl>
    <w:lvl w:ilvl="1">
      <w:lvlJc w:val="left"/>
      <w:lvlText w:val="%2"/>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2019-12-11T04:27:51Z</dcterms:created>
  <dcterms:modified xsi:type="dcterms:W3CDTF">2019-12-11T04:27:51Z</dcterms:modified>
</cp:coreProperties>
</file>