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1" w:lineRule="exact"/>
        <w:rPr>
          <w:sz w:val="24"/>
          <w:szCs w:val="24"/>
          <w:color w:val="auto"/>
        </w:rPr>
      </w:pPr>
    </w:p>
    <w:p>
      <w:pPr>
        <w:ind w:left="3740" w:right="1880" w:hanging="3637"/>
        <w:spacing w:after="0" w:line="516"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right="1880" w:hanging="4525"/>
        <w:spacing w:after="0" w:line="516" w:lineRule="auto"/>
        <w:tabs>
          <w:tab w:leader="none" w:pos="360" w:val="left"/>
        </w:tabs>
        <w:rPr>
          <w:sz w:val="20"/>
          <w:szCs w:val="20"/>
          <w:color w:val="auto"/>
        </w:rPr>
      </w:pPr>
      <w:r>
        <w:rPr>
          <w:rFonts w:ascii="Arial" w:cs="Arial" w:eastAsia="Arial" w:hAnsi="Arial"/>
          <w:sz w:val="18"/>
          <w:szCs w:val="18"/>
          <w:b w:val="1"/>
          <w:bCs w:val="1"/>
          <w:color w:val="auto"/>
        </w:rPr>
        <w:t>o</w:t>
        <w:tab/>
        <w:t>TRANSITION REPORT PURSUANT TO SECTION 13 OR 15(d) OF THE SECURITIES EXCHANGE ACT OF 1934 For the transition period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102870</wp:posOffset>
            </wp:positionV>
            <wp:extent cx="32156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167640</wp:posOffset>
            </wp:positionV>
            <wp:extent cx="32156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3"/>
              </w:rPr>
              <w:t>Delaware</w:t>
            </w:r>
          </w:p>
        </w:tc>
        <w:tc>
          <w:tcPr>
            <w:tcW w:w="454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56"/>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(State or other jurisdiction of</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2"/>
              </w:rPr>
              <w:t>(I.R.S. Employer</w:t>
            </w:r>
          </w:p>
        </w:tc>
      </w:tr>
      <w:tr>
        <w:trPr>
          <w:trHeight w:val="23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3"/>
              </w:rPr>
              <w:t>incorporation or organization)</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5"/>
              </w:rPr>
              <w:t>Identification No.)</w:t>
            </w:r>
          </w:p>
        </w:tc>
      </w:tr>
      <w:tr>
        <w:trPr>
          <w:trHeight w:val="522"/>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195 Clarksville Road</w:t>
            </w:r>
          </w:p>
        </w:tc>
        <w:tc>
          <w:tcPr>
            <w:tcW w:w="4540" w:type="dxa"/>
            <w:vAlign w:val="bottom"/>
          </w:tcPr>
          <w:p>
            <w:pPr>
              <w:spacing w:after="0"/>
              <w:rPr>
                <w:sz w:val="24"/>
                <w:szCs w:val="24"/>
                <w:color w:val="auto"/>
              </w:rPr>
            </w:pPr>
          </w:p>
        </w:tc>
      </w:tr>
      <w:tr>
        <w:trPr>
          <w:trHeight w:val="234"/>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Princeton Junction, New Jersey</w:t>
            </w:r>
          </w:p>
        </w:tc>
        <w:tc>
          <w:tcPr>
            <w:tcW w:w="4540" w:type="dxa"/>
            <w:vAlign w:val="bottom"/>
          </w:tcPr>
          <w:p>
            <w:pPr>
              <w:jc w:val="right"/>
              <w:ind w:right="350"/>
              <w:spacing w:after="0"/>
              <w:rPr>
                <w:sz w:val="20"/>
                <w:szCs w:val="20"/>
                <w:color w:val="auto"/>
              </w:rPr>
            </w:pPr>
            <w:r>
              <w:rPr>
                <w:rFonts w:ascii="Arial" w:cs="Arial" w:eastAsia="Arial" w:hAnsi="Arial"/>
                <w:sz w:val="18"/>
                <w:szCs w:val="18"/>
                <w:b w:val="1"/>
                <w:bCs w:val="1"/>
                <w:color w:val="auto"/>
              </w:rPr>
              <w:t>08550</w:t>
            </w:r>
          </w:p>
        </w:tc>
      </w:tr>
      <w:tr>
        <w:trPr>
          <w:trHeight w:val="27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2"/>
              </w:rPr>
              <w:t>(Address of principal executive offices)</w:t>
            </w:r>
          </w:p>
        </w:tc>
        <w:tc>
          <w:tcPr>
            <w:tcW w:w="4540" w:type="dxa"/>
            <w:vAlign w:val="bottom"/>
          </w:tcPr>
          <w:p>
            <w:pPr>
              <w:jc w:val="center"/>
              <w:ind w:left="3110"/>
              <w:spacing w:after="0"/>
              <w:rPr>
                <w:sz w:val="20"/>
                <w:szCs w:val="20"/>
                <w:color w:val="auto"/>
              </w:rPr>
            </w:pPr>
            <w:r>
              <w:rPr>
                <w:rFonts w:ascii="Arial" w:cs="Arial" w:eastAsia="Arial" w:hAnsi="Arial"/>
                <w:sz w:val="18"/>
                <w:szCs w:val="18"/>
                <w:color w:val="auto"/>
                <w:w w:val="91"/>
              </w:rPr>
              <w:t>(Zip Code)</w:t>
            </w:r>
          </w:p>
        </w:tc>
      </w:tr>
      <w:tr>
        <w:trPr>
          <w:trHeight w:val="459"/>
        </w:trPr>
        <w:tc>
          <w:tcPr>
            <w:tcW w:w="3320" w:type="dxa"/>
            <w:vAlign w:val="bottom"/>
          </w:tcPr>
          <w:p>
            <w:pPr>
              <w:spacing w:after="0"/>
              <w:rPr>
                <w:sz w:val="24"/>
                <w:szCs w:val="24"/>
                <w:color w:val="auto"/>
              </w:rPr>
            </w:pPr>
          </w:p>
        </w:tc>
        <w:tc>
          <w:tcPr>
            <w:tcW w:w="4540" w:type="dxa"/>
            <w:vAlign w:val="bottom"/>
          </w:tcPr>
          <w:p>
            <w:pPr>
              <w:jc w:val="right"/>
              <w:ind w:right="2870"/>
              <w:spacing w:after="0"/>
              <w:rPr>
                <w:sz w:val="20"/>
                <w:szCs w:val="20"/>
                <w:color w:val="auto"/>
              </w:rPr>
            </w:pPr>
            <w:r>
              <w:rPr>
                <w:rFonts w:ascii="Arial" w:cs="Arial" w:eastAsia="Arial" w:hAnsi="Arial"/>
                <w:sz w:val="18"/>
                <w:szCs w:val="18"/>
                <w:b w:val="1"/>
                <w:bCs w:val="1"/>
                <w:color w:val="auto"/>
              </w:rPr>
              <w:t>(609) 716-4000</w:t>
            </w:r>
          </w:p>
        </w:tc>
      </w:tr>
    </w:tbl>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177800</wp:posOffset>
            </wp:positionV>
            <wp:extent cx="32156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jc w:val="both"/>
        <w:ind w:right="240" w:firstLine="648"/>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239" w:lineRule="exact"/>
        <w:rPr>
          <w:sz w:val="24"/>
          <w:szCs w:val="24"/>
          <w:color w:val="auto"/>
        </w:rPr>
      </w:pPr>
    </w:p>
    <w:p>
      <w:pPr>
        <w:ind w:right="8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29" w:right="239" w:bottom="451" w:gutter="0" w:footer="0" w:header="0"/>
        </w:sectPr>
      </w:pPr>
    </w:p>
    <w:p>
      <w:pPr>
        <w:spacing w:after="0" w:line="127" w:lineRule="exact"/>
        <w:rPr>
          <w:sz w:val="24"/>
          <w:szCs w:val="24"/>
          <w:color w:val="auto"/>
        </w:rPr>
      </w:pPr>
    </w:p>
    <w:p>
      <w:pPr>
        <w:ind w:left="25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86" w:lineRule="exact"/>
        <w:rPr>
          <w:sz w:val="24"/>
          <w:szCs w:val="24"/>
          <w:color w:val="auto"/>
        </w:rPr>
      </w:pPr>
    </w:p>
    <w:p>
      <w:pPr>
        <w:sectPr>
          <w:pgSz w:w="11900" w:h="16838" w:orient="portrait"/>
          <w:cols w:equalWidth="0" w:num="2">
            <w:col w:w="7660" w:space="720"/>
            <w:col w:w="3040"/>
          </w:cols>
          <w:pgMar w:left="240" w:top="229" w:right="239" w:bottom="451" w:gutter="0" w:footer="0" w:header="0"/>
          <w:type w:val="continuous"/>
        </w:sectPr>
      </w:pPr>
    </w:p>
    <w:p>
      <w:pPr>
        <w:ind w:left="26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7280" w:space="720"/>
            <w:col w:w="3420"/>
          </w:cols>
          <w:pgMar w:left="240" w:top="229" w:right="239" w:bottom="451" w:gutter="0" w:footer="0" w:header="0"/>
          <w:type w:val="continuous"/>
        </w:sectPr>
      </w:pPr>
    </w:p>
    <w:p>
      <w:pPr>
        <w:ind w:left="11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2">
            <w:col w:w="7240" w:space="720"/>
            <w:col w:w="3460"/>
          </w:cols>
          <w:pgMar w:left="240" w:top="229" w:right="239" w:bottom="451" w:gutter="0" w:footer="0" w:header="0"/>
          <w:type w:val="continuous"/>
        </w:sectPr>
      </w:pPr>
    </w:p>
    <w:p>
      <w:pPr>
        <w:spacing w:after="0" w:line="75"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November 2, 2017, the registrant had 28,290,709 shares of common stock outstanding and 1,146,249 shares of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451"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PAGE</w:t>
            </w:r>
          </w:p>
        </w:tc>
      </w:tr>
      <w:tr>
        <w:trPr>
          <w:trHeight w:val="189"/>
        </w:trPr>
        <w:tc>
          <w:tcPr>
            <w:tcW w:w="10700" w:type="dxa"/>
            <w:vAlign w:val="bottom"/>
            <w:gridSpan w:val="25"/>
          </w:tcPr>
          <w:p>
            <w:pPr>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6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2017 (unaudited) and December 31, 2016</w:t>
              </w:r>
            </w:hyperlink>
          </w:p>
        </w:tc>
        <w:tc>
          <w:tcPr>
            <w:tcW w:w="164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Income (Loss) for the three and nine months ended September 30, 2017</w:t>
              </w:r>
            </w:hyperlink>
          </w:p>
        </w:tc>
        <w:tc>
          <w:tcPr>
            <w:tcW w:w="26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and September 30, 2016</w:t>
              </w:r>
            </w:hyperlink>
          </w:p>
        </w:tc>
        <w:tc>
          <w:tcPr>
            <w:tcW w:w="7340" w:type="dxa"/>
            <w:vAlign w:val="bottom"/>
            <w:gridSpan w:val="12"/>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9"/>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Unaudited Condensed Consolidated Statements of Comprehensive Income (Loss) for the three and nine months ended</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5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2017 and September 30, 2016</w:t>
              </w:r>
            </w:hyperlink>
          </w:p>
        </w:tc>
        <w:tc>
          <w:tcPr>
            <w:tcW w:w="580" w:type="dxa"/>
            <w:vAlign w:val="bottom"/>
            <w:gridSpan w:val="3"/>
          </w:tcPr>
          <w:p>
            <w:pPr>
              <w:spacing w:after="0"/>
              <w:rPr>
                <w:sz w:val="17"/>
                <w:szCs w:val="17"/>
                <w:color w:val="auto"/>
              </w:rPr>
            </w:pPr>
          </w:p>
        </w:tc>
        <w:tc>
          <w:tcPr>
            <w:tcW w:w="680" w:type="dxa"/>
            <w:vAlign w:val="bottom"/>
            <w:gridSpan w:val="4"/>
          </w:tcPr>
          <w:p>
            <w:pPr>
              <w:jc w:val="right"/>
              <w:ind w:righ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Statements of Cash Flows for the nine months ended September 30, 2017 and September</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30, 2016</w:t>
              </w:r>
            </w:hyperlink>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430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ITEM 2.</w:t>
              </w:r>
            </w:hyperlink>
          </w:p>
        </w:tc>
        <w:tc>
          <w:tcPr>
            <w:tcW w:w="500" w:type="dxa"/>
            <w:vAlign w:val="bottom"/>
            <w:gridSpan w:val="2"/>
          </w:tcPr>
          <w:p>
            <w:pPr>
              <w:spacing w:after="0"/>
              <w:rPr>
                <w:sz w:val="24"/>
                <w:szCs w:val="24"/>
                <w:color w:val="auto"/>
              </w:rPr>
            </w:pPr>
          </w:p>
        </w:tc>
        <w:tc>
          <w:tcPr>
            <w:tcW w:w="910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82"/>
              </w:rPr>
            </w:pPr>
            <w:hyperlink w:anchor="page29">
              <w:r>
                <w:rPr>
                  <w:rFonts w:ascii="Arial" w:cs="Arial" w:eastAsia="Arial" w:hAnsi="Arial"/>
                  <w:sz w:val="18"/>
                  <w:szCs w:val="18"/>
                  <w:color w:val="0000EE"/>
                  <w:w w:val="82"/>
                </w:rPr>
                <w:t>ITEM 3.</w:t>
              </w:r>
            </w:hyperlink>
          </w:p>
        </w:tc>
        <w:tc>
          <w:tcPr>
            <w:tcW w:w="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4320" w:type="dxa"/>
            <w:vAlign w:val="bottom"/>
            <w:gridSpan w:val="11"/>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264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4</w:t>
              </w:r>
            </w:hyperlink>
          </w:p>
        </w:tc>
        <w:tc>
          <w:tcPr>
            <w:tcW w:w="580" w:type="dxa"/>
            <w:vAlign w:val="bottom"/>
            <w:gridSpan w:val="3"/>
          </w:tcPr>
          <w:p>
            <w:pPr>
              <w:spacing w:after="0"/>
              <w:rPr>
                <w:sz w:val="24"/>
                <w:szCs w:val="24"/>
                <w:color w:val="auto"/>
              </w:rPr>
            </w:pPr>
          </w:p>
        </w:tc>
        <w:tc>
          <w:tcPr>
            <w:tcW w:w="4320" w:type="dxa"/>
            <w:vAlign w:val="bottom"/>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478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20"/>
        </w:trPr>
        <w:tc>
          <w:tcPr>
            <w:tcW w:w="48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66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PART II—OTHER INFORMATION</w:t>
              </w:r>
            </w:hyperlink>
          </w:p>
        </w:tc>
        <w:tc>
          <w:tcPr>
            <w:tcW w:w="8040" w:type="dxa"/>
            <w:vAlign w:val="bottom"/>
            <w:gridSpan w:val="15"/>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1.</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Legal Proceedings</w:t>
              </w:r>
            </w:hyperlink>
          </w:p>
        </w:tc>
        <w:tc>
          <w:tcPr>
            <w:tcW w:w="7780" w:type="dxa"/>
            <w:vAlign w:val="bottom"/>
            <w:gridSpan w:val="1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910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2.</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gridSpan w:val="12"/>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Unregistered Sales of Equity Securities and Use of Proceeds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3.</w:t>
              </w:r>
            </w:hyperlink>
          </w:p>
        </w:tc>
        <w:tc>
          <w:tcPr>
            <w:tcW w:w="500" w:type="dxa"/>
            <w:vAlign w:val="bottom"/>
            <w:gridSpan w:val="2"/>
          </w:tcPr>
          <w:p>
            <w:pPr>
              <w:spacing w:after="0"/>
              <w:rPr>
                <w:sz w:val="24"/>
                <w:szCs w:val="24"/>
                <w:color w:val="auto"/>
              </w:rPr>
            </w:pPr>
          </w:p>
        </w:tc>
        <w:tc>
          <w:tcPr>
            <w:tcW w:w="4360" w:type="dxa"/>
            <w:vAlign w:val="bottom"/>
            <w:gridSpan w:val="1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474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678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0">
              <w:r>
                <w:rPr>
                  <w:rFonts w:ascii="Arial" w:cs="Arial" w:eastAsia="Arial" w:hAnsi="Arial"/>
                  <w:sz w:val="18"/>
                  <w:szCs w:val="18"/>
                  <w:color w:val="0000EE"/>
                  <w:w w:val="98"/>
                </w:rPr>
                <w:t>ITEM 4.</w:t>
              </w:r>
            </w:hyperlink>
          </w:p>
        </w:tc>
        <w:tc>
          <w:tcPr>
            <w:tcW w:w="500" w:type="dxa"/>
            <w:vAlign w:val="bottom"/>
            <w:gridSpan w:val="2"/>
          </w:tcPr>
          <w:p>
            <w:pPr>
              <w:spacing w:after="0"/>
              <w:rPr>
                <w:sz w:val="24"/>
                <w:szCs w:val="24"/>
                <w:color w:val="auto"/>
              </w:rPr>
            </w:pPr>
          </w:p>
        </w:tc>
        <w:tc>
          <w:tcPr>
            <w:tcW w:w="1780" w:type="dxa"/>
            <w:vAlign w:val="bottom"/>
            <w:gridSpan w:val="8"/>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Mine Safety Disclosures</w:t>
              </w:r>
            </w:hyperlink>
          </w:p>
        </w:tc>
        <w:tc>
          <w:tcPr>
            <w:tcW w:w="540" w:type="dxa"/>
            <w:vAlign w:val="bottom"/>
          </w:tcPr>
          <w:p>
            <w:pPr>
              <w:spacing w:after="0"/>
              <w:rPr>
                <w:sz w:val="24"/>
                <w:szCs w:val="24"/>
                <w:color w:val="auto"/>
              </w:rPr>
            </w:pPr>
          </w:p>
        </w:tc>
        <w:tc>
          <w:tcPr>
            <w:tcW w:w="6780" w:type="dxa"/>
            <w:vAlign w:val="bottom"/>
            <w:gridSpan w:val="10"/>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732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ITEM 5.</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Other Information</w:t>
              </w:r>
            </w:hyperlink>
          </w:p>
        </w:tc>
        <w:tc>
          <w:tcPr>
            <w:tcW w:w="460" w:type="dxa"/>
            <w:vAlign w:val="bottom"/>
            <w:gridSpan w:val="3"/>
          </w:tcPr>
          <w:p>
            <w:pPr>
              <w:spacing w:after="0"/>
              <w:rPr>
                <w:sz w:val="24"/>
                <w:szCs w:val="24"/>
                <w:color w:val="auto"/>
              </w:rPr>
            </w:pPr>
          </w:p>
        </w:tc>
        <w:tc>
          <w:tcPr>
            <w:tcW w:w="732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78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ITEM 6.</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7780" w:type="dxa"/>
            <w:vAlign w:val="bottom"/>
            <w:gridSpan w:val="1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00" w:type="dxa"/>
            <w:vAlign w:val="bottom"/>
            <w:gridSpan w:val="4"/>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SIGNATURES</w:t>
              </w:r>
            </w:hyperlink>
          </w:p>
        </w:tc>
        <w:tc>
          <w:tcPr>
            <w:tcW w:w="50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rPr>
              <w:t>PART I—FINANCIAL INFORMATION</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87"/>
        </w:trPr>
        <w:tc>
          <w:tcPr>
            <w:tcW w:w="1020" w:type="dxa"/>
            <w:vAlign w:val="bottom"/>
          </w:tcPr>
          <w:p>
            <w:pPr>
              <w:spacing w:after="0"/>
              <w:rPr>
                <w:sz w:val="24"/>
                <w:szCs w:val="24"/>
                <w:color w:val="auto"/>
              </w:rPr>
            </w:pPr>
          </w:p>
        </w:tc>
        <w:tc>
          <w:tcPr>
            <w:tcW w:w="7100" w:type="dxa"/>
            <w:vAlign w:val="bottom"/>
          </w:tcPr>
          <w:p>
            <w:pPr>
              <w:jc w:val="center"/>
              <w:ind w:left="2210"/>
              <w:spacing w:after="0"/>
              <w:rPr>
                <w:sz w:val="20"/>
                <w:szCs w:val="20"/>
                <w:color w:val="auto"/>
              </w:rPr>
            </w:pPr>
            <w:r>
              <w:rPr>
                <w:rFonts w:ascii="Arial" w:cs="Arial" w:eastAsia="Arial" w:hAnsi="Arial"/>
                <w:sz w:val="18"/>
                <w:szCs w:val="18"/>
                <w:b w:val="1"/>
                <w:bCs w:val="1"/>
                <w:color w:val="auto"/>
                <w:w w:val="90"/>
              </w:rPr>
              <w:t>Mistras Group, Inc. and Subsidiaries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100" w:type="dxa"/>
            <w:vAlign w:val="bottom"/>
          </w:tcPr>
          <w:p>
            <w:pPr>
              <w:jc w:val="center"/>
              <w:ind w:left="21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50"/>
        </w:trPr>
        <w:tc>
          <w:tcPr>
            <w:tcW w:w="102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2017</w:t>
            </w:r>
          </w:p>
        </w:tc>
        <w:tc>
          <w:tcPr>
            <w:tcW w:w="18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2016</w:t>
            </w:r>
          </w:p>
        </w:tc>
      </w:tr>
      <w:tr>
        <w:trPr>
          <w:trHeight w:val="236"/>
        </w:trPr>
        <w:tc>
          <w:tcPr>
            <w:tcW w:w="1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19,154</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140,189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130,852</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Inventories</w:t>
            </w:r>
          </w:p>
        </w:tc>
        <w:tc>
          <w:tcPr>
            <w:tcW w:w="7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10,017</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6,230</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16,399</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194,366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182,652</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73,149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42,242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40,007</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169,940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1,086</w:t>
            </w: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Other assets</w:t>
            </w:r>
          </w:p>
        </w:tc>
        <w:tc>
          <w:tcPr>
            <w:tcW w:w="7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2,593</w:t>
            </w:r>
          </w:p>
        </w:tc>
      </w:tr>
      <w:tr>
        <w:trPr>
          <w:trHeight w:val="297"/>
        </w:trPr>
        <w:tc>
          <w:tcPr>
            <w:tcW w:w="81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484,422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469,427</w:t>
            </w:r>
          </w:p>
        </w:tc>
      </w:tr>
      <w:tr>
        <w:trPr>
          <w:trHeight w:val="210"/>
        </w:trPr>
        <w:tc>
          <w:tcPr>
            <w:tcW w:w="812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6,805</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65,608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58,697</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6,488</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87,860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77,711</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85,917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8,349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9,682</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17,584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9,510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7,789</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216,760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198,683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7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Preferred stock, 10,000,000 shares authorized</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2"/>
              </w:rPr>
              <w:t>Common stock, $0.01 par value, 200,000,000 shares authorized, 29,434,816 and 29,216,745 shares issued</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221,149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217,211</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at cost, 1,146,249 and 420,258 shares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88,744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91,803</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(29,724)</w:t>
            </w: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Total Mistras Group, Inc. stockholders’ equity</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267,475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270,582</w:t>
            </w:r>
          </w:p>
        </w:tc>
      </w:tr>
      <w:tr>
        <w:trPr>
          <w:trHeight w:val="27"/>
        </w:trPr>
        <w:tc>
          <w:tcPr>
            <w:tcW w:w="8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267,662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270,744</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484,422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469,427</w:t>
            </w: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2016</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b w:val="1"/>
                <w:bCs w:val="1"/>
                <w:color w:val="auto"/>
                <w:w w:val="93"/>
              </w:rPr>
              <w:t>September 30, 2016</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179,570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168,811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513,326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514,606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126,316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112,754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360,144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352,027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16,423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47,897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50,651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137,392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146,156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113,491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107,266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15,810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15,810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engineering</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7,854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8,140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charges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Income (loss) before (benefit) 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20,383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4,083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6,908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13,475</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3"/>
              </w:rPr>
              <w:t>Less: net income attributable to non-controlling interests, net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of taxes</w:t>
            </w:r>
          </w:p>
        </w:tc>
        <w:tc>
          <w:tcPr>
            <w:tcW w:w="16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Mistras Group,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13,446</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Earnings (loss) per common share:</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28,274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29,051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28,465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28,966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28,274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30,231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28,465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30,139</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4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2016</w:t>
            </w:r>
          </w:p>
        </w:tc>
        <w:tc>
          <w:tcPr>
            <w:tcW w:w="14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September 30, 2016</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13,475</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8,897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15,441</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Less: comprehensive income attributable to non-controlling</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Mistras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4,601</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8,872</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15,416</w:t>
            </w:r>
          </w:p>
        </w:tc>
        <w:tc>
          <w:tcPr>
            <w:tcW w:w="0" w:type="dxa"/>
            <w:vAlign w:val="bottom"/>
          </w:tcPr>
          <w:p>
            <w:pPr>
              <w:spacing w:after="0"/>
              <w:rPr>
                <w:sz w:val="1"/>
                <w:szCs w:val="1"/>
                <w:color w:val="auto"/>
              </w:rPr>
            </w:pPr>
          </w:p>
        </w:tc>
      </w:tr>
      <w:tr>
        <w:trPr>
          <w:trHeight w:val="242"/>
        </w:trPr>
        <w:tc>
          <w:tcPr>
            <w:tcW w:w="4640" w:type="dxa"/>
            <w:vAlign w:val="bottom"/>
          </w:tcPr>
          <w:p>
            <w:pPr>
              <w:ind w:left="20"/>
              <w:spacing w:after="0"/>
              <w:rPr>
                <w:sz w:val="20"/>
                <w:szCs w:val="20"/>
                <w:color w:val="auto"/>
              </w:rPr>
            </w:pPr>
            <w:r>
              <w:rPr>
                <w:rFonts w:ascii="Arial" w:cs="Arial" w:eastAsia="Arial" w:hAnsi="Arial"/>
                <w:sz w:val="18"/>
                <w:szCs w:val="18"/>
                <w:color w:val="auto"/>
              </w:rPr>
              <w:t>Group, Inc.</w:t>
            </w:r>
          </w:p>
        </w:tc>
        <w:tc>
          <w:tcPr>
            <w:tcW w:w="160" w:type="dxa"/>
            <w:vAlign w:val="bottom"/>
            <w:tcBorders>
              <w:bottom w:val="single" w:sz="8" w:color="auto"/>
            </w:tcBorders>
            <w:vMerge w:val="continue"/>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2" w:right="27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September 30, 2016</w:t>
            </w:r>
          </w:p>
        </w:tc>
      </w:tr>
      <w:tr>
        <w:trPr>
          <w:trHeight w:val="283"/>
        </w:trPr>
        <w:tc>
          <w:tcPr>
            <w:tcW w:w="75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spacing w:after="0"/>
              <w:rPr>
                <w:sz w:val="24"/>
                <w:szCs w:val="24"/>
                <w:color w:val="auto"/>
              </w:rPr>
            </w:pPr>
          </w:p>
        </w:tc>
        <w:tc>
          <w:tcPr>
            <w:tcW w:w="1480" w:type="dxa"/>
            <w:vAlign w:val="bottom"/>
            <w:tcBorders>
              <w:top w:val="single" w:sz="8" w:color="auto"/>
              <w:bottom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spacing w:after="0"/>
              <w:rPr>
                <w:sz w:val="24"/>
                <w:szCs w:val="24"/>
                <w:color w:val="auto"/>
              </w:rPr>
            </w:pPr>
          </w:p>
        </w:tc>
        <w:tc>
          <w:tcPr>
            <w:tcW w:w="1460" w:type="dxa"/>
            <w:vAlign w:val="bottom"/>
            <w:tcBorders>
              <w:top w:val="single" w:sz="8" w:color="auto"/>
              <w:bottom w:val="single" w:sz="8" w:color="auto"/>
            </w:tcBorders>
            <w:shd w:val="clear" w:color="auto" w:fill="CCEEFF"/>
          </w:tcPr>
          <w:p>
            <w:pPr>
              <w:spacing w:after="0"/>
              <w:rPr>
                <w:sz w:val="24"/>
                <w:szCs w:val="24"/>
                <w:color w:val="auto"/>
              </w:rPr>
            </w:pPr>
          </w:p>
        </w:tc>
      </w:tr>
      <w:tr>
        <w:trPr>
          <w:trHeight w:val="24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13,475</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24,563</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Impairment charges</w:t>
            </w:r>
          </w:p>
        </w:tc>
        <w:tc>
          <w:tcPr>
            <w:tcW w:w="16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15,810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512</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Share-based compensation expense</w:t>
            </w:r>
          </w:p>
        </w:tc>
        <w:tc>
          <w:tcPr>
            <w:tcW w:w="16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5,179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5,161</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Bad debt provision for unexpected customer bankruptcy</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Fair value adjustments to contingent consideration</w:t>
            </w: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(880)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(582)</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 net of effect of acquisitions</w:t>
            </w: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9,968</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Inventories</w:t>
            </w: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200</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(2,777)</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1,466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(1,761)</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 and other liabilities</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5,247</w:t>
            </w:r>
          </w:p>
        </w:tc>
      </w:tr>
      <w:tr>
        <w:trPr>
          <w:trHeight w:val="264"/>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w:t>
            </w:r>
          </w:p>
        </w:tc>
      </w:tr>
      <w:tr>
        <w:trPr>
          <w:trHeight w:val="25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52,109</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property, plant and equipment</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(11,238)</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Purchase of intangible assets</w:t>
            </w: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(1,106)</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businesses, net of cash acquired</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r>
      <w:tr>
        <w:trPr>
          <w:trHeight w:val="264"/>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Proceeds from sale of equipment</w:t>
            </w: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1,057</w:t>
            </w:r>
          </w:p>
        </w:tc>
      </w:tr>
      <w:tr>
        <w:trPr>
          <w:trHeight w:val="25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(12,487)</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 of capital lease obligations</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(6,703)</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Proceeds from borrowings of long-term debt</w:t>
            </w:r>
          </w:p>
        </w:tc>
        <w:tc>
          <w:tcPr>
            <w:tcW w:w="16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5,599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761</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 of long-term debt</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(12,187)</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Proceeds from revolver</w:t>
            </w:r>
          </w:p>
        </w:tc>
        <w:tc>
          <w:tcPr>
            <w:tcW w:w="160" w:type="dxa"/>
            <w:vAlign w:val="bottom"/>
          </w:tcPr>
          <w:p>
            <w:pPr>
              <w:spacing w:after="0"/>
              <w:rPr>
                <w:sz w:val="22"/>
                <w:szCs w:val="22"/>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38,400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38,200</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 of revolver</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(49,000)</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Payment of contingent consideration for business acquisitions</w:t>
            </w: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(2,919)</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treasury stock</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(15,923)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Taxes paid related to net share settlement of share-based awards</w:t>
            </w: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(2,146)</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 from share-based compensation</w:t>
            </w:r>
          </w:p>
        </w:tc>
        <w:tc>
          <w:tcPr>
            <w:tcW w:w="16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646</w:t>
            </w:r>
          </w:p>
        </w:tc>
      </w:tr>
      <w:tr>
        <w:trPr>
          <w:trHeight w:val="264"/>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857</w:t>
            </w:r>
          </w:p>
        </w:tc>
      </w:tr>
      <w:tr>
        <w:trPr>
          <w:trHeight w:val="25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financing activities</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(32,491)</w:t>
            </w:r>
          </w:p>
        </w:tc>
      </w:tr>
      <w:tr>
        <w:trPr>
          <w:trHeight w:val="264"/>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r>
      <w:tr>
        <w:trPr>
          <w:trHeight w:val="25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change in cash and cash equivalents</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6,910</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Cash and cash equivalents</w:t>
            </w: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0"/>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Beginning of period</w:t>
            </w:r>
          </w:p>
        </w:tc>
        <w:tc>
          <w:tcPr>
            <w:tcW w:w="1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19,154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9,599</w:t>
            </w:r>
          </w:p>
        </w:tc>
      </w:tr>
      <w:tr>
        <w:trPr>
          <w:trHeight w:val="250"/>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End of period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26,863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16,509</w:t>
            </w:r>
          </w:p>
        </w:tc>
      </w:tr>
      <w:tr>
        <w:trPr>
          <w:trHeight w:val="25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cash paid</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64"/>
        </w:trPr>
        <w:tc>
          <w:tcPr>
            <w:tcW w:w="7540" w:type="dxa"/>
            <w:vAlign w:val="bottom"/>
          </w:tcPr>
          <w:p>
            <w:pPr>
              <w:ind w:left="180"/>
              <w:spacing w:after="0"/>
              <w:rPr>
                <w:sz w:val="20"/>
                <w:szCs w:val="20"/>
                <w:color w:val="auto"/>
              </w:rPr>
            </w:pPr>
            <w:r>
              <w:rPr>
                <w:rFonts w:ascii="Arial" w:cs="Arial" w:eastAsia="Arial" w:hAnsi="Arial"/>
                <w:sz w:val="14"/>
                <w:szCs w:val="14"/>
                <w:color w:val="auto"/>
              </w:rPr>
              <w:t>Interest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3,031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2,454</w:t>
            </w: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9,562</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Noncash investing and financing</w:t>
            </w: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7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acquired through capital lease obligations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7,408</w:t>
            </w:r>
          </w:p>
        </w:tc>
      </w:tr>
      <w:tr>
        <w:trPr>
          <w:trHeight w:val="258"/>
        </w:trPr>
        <w:tc>
          <w:tcPr>
            <w:tcW w:w="7540" w:type="dxa"/>
            <w:vAlign w:val="bottom"/>
          </w:tcPr>
          <w:p>
            <w:pPr>
              <w:ind w:left="180"/>
              <w:spacing w:after="0"/>
              <w:rPr>
                <w:sz w:val="20"/>
                <w:szCs w:val="20"/>
                <w:color w:val="auto"/>
              </w:rPr>
            </w:pPr>
            <w:r>
              <w:rPr>
                <w:rFonts w:ascii="Arial" w:cs="Arial" w:eastAsia="Arial" w:hAnsi="Arial"/>
                <w:sz w:val="14"/>
                <w:szCs w:val="14"/>
                <w:color w:val="auto"/>
              </w:rPr>
              <w:t>Issuance of notes payable and other debt obligations, primarily related to acquisitions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325</w:t>
            </w:r>
          </w:p>
        </w:tc>
      </w:tr>
    </w:tbl>
    <w:p>
      <w:pPr>
        <w:ind w:left="2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900"/>
          </w:cols>
          <w:pgMar w:left="240" w:top="121" w:right="759" w:bottom="827" w:gutter="0" w:footer="0" w:header="0"/>
        </w:sectPr>
      </w:pPr>
    </w:p>
    <w:p>
      <w:pPr>
        <w:spacing w:after="0" w:line="250"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00"/>
          </w:cols>
          <w:pgMar w:left="240" w:top="121" w:right="759" w:bottom="827"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non-destructive testing (NDT) and mechanical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fossil and nuclear power, alternative and renewable energy, public infrastructure, chemicals, commercial aerospace and defense, transportation, primary metals and metalworking, pharmaceutical/biotechnology and food processing industries and research and engineering institutions.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years ending December 31, 2017 and 2016.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Transition Report on Form 10-K (“2016 Transition Report”) for the transition period ended December 31, 2016, as filed with the Securities and Exchange Commission on March 20,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accompanying unaudited condensed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condensed consolidated balance sheets. The non-controlling interests in net income, net of tax, is classified separately in the accompanying condensed consolidated statements of income. All significant intercompany accounts and transactions have been eliminated in consolidation.</w:t>
      </w:r>
    </w:p>
    <w:p>
      <w:pPr>
        <w:spacing w:after="0" w:line="15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On January 3, 2017, the Company's Board of Directors approved a change in the Company's fiscal year end from May 31 to December 31, effective December 31, 2016. The transition period was for the seven months ended December 31, 2016 ("the transition period"). Prior to this change, the Company's International segment was consolidated on a one month lag. Therefore, for this interim report, the condensed consolidated income statements include a one month lag for the International segment for the three and nine months ended September 30, 2016. Management does not believe that any events occurred during the one-month lag period that would have a material effect on the Company’s condensed consolidated financial statements. The one- month lag was removed with the change in the Company's fiscal year noted above, and accordingly, the condensed consolidated income statements do not include a one month lag for the International segment's results for the three and nine months ended September 30,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One customer, primarily generated from the Services segment, accounted for approximately 10% and 11% of our revenues for the three and nine months ended September 30, 2017. This customer accounted for 8% of accounts receivable as of September 30, 2017. One customer accounted for 14% and 12% of our revenues for the three and nine months ended September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The Company’s significant accounting policies are disclosed in Note 2 —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in the Company's 2016 Transition Report. On an ongoing basis, the Company evaluates its estimates and assumptions, including among other things, those related to revenue recognition, valuations of accounts receivable, long-lived assets, goodwill, deferred tax assets and uncertain tax positions. Since the date of the 2016 Transition Report, there have been no material changes to the Company's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080808"/>
        </w:rPr>
        <w:t xml:space="preserve">In August 2015, the Financial Accounting Standards Board ("FASB") issued Accounting Standards Update ("ASU") 2015-14, </w:t>
      </w:r>
      <w:r>
        <w:rPr>
          <w:rFonts w:ascii="Arial" w:cs="Arial" w:eastAsia="Arial" w:hAnsi="Arial"/>
          <w:sz w:val="17"/>
          <w:szCs w:val="17"/>
          <w:i w:val="1"/>
          <w:iCs w:val="1"/>
          <w:color w:val="080808"/>
        </w:rPr>
        <w:t>Revenue from Contracts with</w:t>
      </w:r>
      <w:r>
        <w:rPr>
          <w:rFonts w:ascii="Arial" w:cs="Arial" w:eastAsia="Arial" w:hAnsi="Arial"/>
          <w:sz w:val="17"/>
          <w:szCs w:val="17"/>
          <w:color w:val="080808"/>
        </w:rPr>
        <w:t xml:space="preserve"> </w:t>
      </w:r>
      <w:r>
        <w:rPr>
          <w:rFonts w:ascii="Arial" w:cs="Arial" w:eastAsia="Arial" w:hAnsi="Arial"/>
          <w:sz w:val="17"/>
          <w:szCs w:val="17"/>
          <w:i w:val="1"/>
          <w:iCs w:val="1"/>
          <w:color w:val="080808"/>
        </w:rPr>
        <w:t xml:space="preserve">Customers (Topic 606): Deferral of the Effective Date, </w:t>
      </w:r>
      <w:r>
        <w:rPr>
          <w:rFonts w:ascii="Arial" w:cs="Arial" w:eastAsia="Arial" w:hAnsi="Arial"/>
          <w:sz w:val="17"/>
          <w:szCs w:val="17"/>
          <w:color w:val="080808"/>
        </w:rPr>
        <w:t>which defers the effective date of ASU 2014-09 for all entities by one year. This update is effective for</w:t>
      </w:r>
      <w:r>
        <w:rPr>
          <w:rFonts w:ascii="Arial" w:cs="Arial" w:eastAsia="Arial" w:hAnsi="Arial"/>
          <w:sz w:val="17"/>
          <w:szCs w:val="17"/>
          <w:i w:val="1"/>
          <w:iCs w:val="1"/>
          <w:color w:val="080808"/>
        </w:rPr>
        <w:t xml:space="preserve"> </w:t>
      </w:r>
      <w:r>
        <w:rPr>
          <w:rFonts w:ascii="Arial" w:cs="Arial" w:eastAsia="Arial" w:hAnsi="Arial"/>
          <w:sz w:val="17"/>
          <w:szCs w:val="17"/>
          <w:color w:val="080808"/>
        </w:rPr>
        <w:t>public business entities for annual reporting periods beginning after December 15, 2017, including interim periods within those reporting periods. Earlier application is permitted only as of annual reporting periods beginning after December 15, 2016, including interim reporting periods within that reporting period. ASU 2014-09 will become effective for us beginning 2018, which is when we plan to adopt this standard. The ASU permits two methods of adoption: retrospectively to each prior reporting period presented (full retrospective method), or retrospectively with the cumulative effect of initially applying the guidance recognized at the date of initial application (the cumulative catch-up transition method). The ASU also requires expanded disclosures relating to the nature, amount, timing, and uncertainty of revenue and cash flows arising from contracts with customers. Additionally, qualitative and quantitative disclosures are required about customer contracts, significant judgments and changes in judgments, and assets recognized from the costs to obtain or fulfill a contract. The Company plans to adopt this guidance using the cumulative catch-up method. We are still in the process of evaluating the effect of adoption on our condensed consolidated financial statements and are currently assessing our contracts with customers across each of its global operating segments. Our assessment is not yet complete and therefore we are unable to quantify the potential impacts. However, as most of our projects are short-term in nature and billed on at time and materials basis, we do not currently anticipate that the adoption of ASU 2014-09 will result in substantial changes to the overall pattern or timing of our revenue recognition.</w:t>
      </w:r>
    </w:p>
    <w:p>
      <w:pPr>
        <w:spacing w:after="0" w:line="18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xml:space="preserve"> This amendment will simplify the presentation of deferred tax assets and liabilities on the balance sheet and require all deferred tax assets and liabilities to be treated as non-current. ASU 2015-17 is effective for fiscal years, and interim periods within those fiscal years beginning after December 15, 2016, with early adoption permitted. The Company adopted this guidance prospectively beginning in the first quarter of 2017, which did not have a material impact on the condensed consolidated financial statements and related disclosures.</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amendment supersedes previous accounting guidance (</w:t>
      </w:r>
      <w:r>
        <w:rPr>
          <w:rFonts w:ascii="Arial" w:cs="Arial" w:eastAsia="Arial" w:hAnsi="Arial"/>
          <w:sz w:val="16"/>
          <w:szCs w:val="16"/>
          <w:i w:val="1"/>
          <w:iCs w:val="1"/>
          <w:color w:val="auto"/>
        </w:rPr>
        <w:t>Topic 840)</w:t>
      </w:r>
      <w:r>
        <w:rPr>
          <w:rFonts w:ascii="Arial" w:cs="Arial" w:eastAsia="Arial" w:hAnsi="Arial"/>
          <w:sz w:val="16"/>
          <w:szCs w:val="16"/>
          <w:color w:val="auto"/>
        </w:rPr>
        <w:t xml:space="preserve"> and requires all leases, with the exception of leases with a term of 12 months or less, to be recorded on the balance sheet as lease assets and lease liabilities. ASU 2016-02 is effective for fiscal years, and interim periods within those fiscal years beginning after December 15, 2018, with early adoption permitted. The standard requires lessees and lessors to recognize and measure leases at the beginning of the earliest period presented using a modified retrospective approach. The Company is evaluating the effect that ASU 2016-02 will have on its condensed consolidated financial statements and related disclosures.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Stock Compensation (Topic 718).</w:t>
      </w:r>
      <w:r>
        <w:rPr>
          <w:rFonts w:ascii="Arial" w:cs="Arial" w:eastAsia="Arial" w:hAnsi="Arial"/>
          <w:sz w:val="18"/>
          <w:szCs w:val="18"/>
          <w:color w:val="auto"/>
        </w:rPr>
        <w:t xml:space="preserve"> This amendment simplifies certain aspects of accounting for share-based payment transactions, which include accounting for income taxes and the related impact on the statement of cash flows, an option to account for forfeitures when they occur in addition to the existing guidance to estimate the forfeitures of awards, classification of awards as either equity or liabilities and classification on the statement of cash flows for employee taxes paid to tax authorities on shares withheld for vesting. ASU 2016-09 is effective for fiscal years, and interim periods within those fiscal years beginning after December 15, 2016, with early adoption permitted. The Company adopted this guidance prospectively beginning in the first quarter of 2017, and accordingly, is recording excess tax benefits and tax deficiencies as a component of income tax expense.</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This amendment will provide guidance on the presentation and classification of specific cash flow items to improve consistency within the statement of cash flows. ASU 2016-15 is effective for fiscal years, and interim periods within those fiscal years beginning after December 15, 2017, with early adoption permitted. The Company is evaluating the impact that ASU 2016-15 will have on its condensed consolidated financial statements and related disclosures.</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w:t>
      </w:r>
      <w:r>
        <w:rPr>
          <w:rFonts w:ascii="Arial" w:cs="Arial" w:eastAsia="Arial" w:hAnsi="Arial"/>
          <w:sz w:val="17"/>
          <w:szCs w:val="17"/>
          <w:color w:val="auto"/>
        </w:rPr>
        <w:t xml:space="preserve"> This amendment will clarify the presentation of restricted cash on the statement of cash flows. Amounts generally described as restricted cash and restricted cash equivalents should be included with cash and cash equivalents when reconciling the beginning and ending cash balances on the statement of cash flows. ASU 2016-18 is effective for fiscal years, and interim periods within those fiscal years beginning after December 15, 2017, with early adoption permitted. The Company does not expect that ASU 2016-18 will have a material impact on its condensed consolidated financial statements and related disclosures.</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w:t>
      </w:r>
      <w:r>
        <w:rPr>
          <w:rFonts w:ascii="Arial" w:cs="Arial" w:eastAsia="Arial" w:hAnsi="Arial"/>
          <w:sz w:val="17"/>
          <w:szCs w:val="17"/>
          <w:color w:val="auto"/>
        </w:rPr>
        <w:t xml:space="preserve"> This amendment eliminates Step Two of the goodwill impairment test. Under the amendments in this update, entities should perform the annual goodwill impairment test by comparing the carrying value of its reporting units to their fair value. An entity should record an impairment charge for the amount by which the carrying amount exceeds the reporting unit’s fair value. Tax deductibility of goodwill should be considered in evaluating any reporting unit's impairment loss to be taken. ASU 2017-04 is effective for fiscal years beginning after December 15, 2019, with early adoption permitted. The Company has early adopted ASU 2017-04 in the third quarter of 2017 for its condensed consolidated financial statements and related disclosures. See Notes 7 and 8 for information on the impairment of assets in the Products and Systems reporting unit during the three months ended September 30, 2017.</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xml:space="preserve"> This amendment provides guidance concerning which changes to the terms or conditions of a share-based payment require an entity to apply modification accounting. Certain changes to stock awards, notably administrative changes, do not require modification accounting. There are three specific criteria that need to be met in order to prove that modification accounting is not required. ASU 2017-09 is effective for fiscal years, and interim period within those fiscal years, beginning after December 15, 2017, with early adoption permitted. The Company is evaluating the impact that ASU 2017-09 will have on its condensed consolidated financial statements and related disclosures.</w:t>
      </w:r>
    </w:p>
    <w:p>
      <w:pPr>
        <w:spacing w:after="0" w:line="200" w:lineRule="exact"/>
        <w:rPr>
          <w:sz w:val="20"/>
          <w:szCs w:val="20"/>
          <w:color w:val="auto"/>
        </w:rPr>
      </w:pPr>
    </w:p>
    <w:p>
      <w:pPr>
        <w:spacing w:after="0" w:line="205"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has share-based incentive awards outstanding to its eligible employees and non-employee directors under three equity incentive plans: (i) the 2007 Stock Option Plan (the 2007 Plan), (ii) the 2009 Long-Term Incentive Plan (the 2009 Plan) and (iii) the 2016 Long-Term Incentive Plan. No further awards may be granted under the 2007 and 2009 Plans, although awards granted under the 2007 and 2009 Plans remain outstanding in accordance with their terms. Awards granted under the 2016 Plan may be in the form of stock options, restricted stock units and other forms of share-based incentives, including performance restricted stock units, stock appreciation rights and deferred stock rights.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three months ended September 30, 2017 and 2016, the Company did not recognize any share-based compensation expense related to stock option awards.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nine months ended September 30, 2017 and 2016, the Company did not recognize any share-based compensation expense and recognized less than $0.1 million, respectively, related to stock option awards.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unrecognized compensation costs remained related to stock option awards as of September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the three and nine months ended September 30, 2017 and September 30, 2016.</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stock option activity, weighted average exercise prices and options outstanding as of September 30, 2017 and 2016 is as follows: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For the nine months ended September 30,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6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Exercise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2,167</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2,265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Expired or forfeited</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2,130</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2,178</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For the three months ended September 30, 2017 and September 30, 2016, the Company recognized share-based compensation expense related to restricted stock unit awards of $1.1 million and $1.2 million, respectively.</w:t>
      </w:r>
    </w:p>
    <w:p>
      <w:pPr>
        <w:spacing w:after="0" w:line="170"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For the nine months ended September 30, 2017 and September 30, 2016, the Company recognized share-based compensation expense related to restricted stock unit awards of $3.4 million for each respective period. As of September 30, 2017, there was $8.1 million of unrecognized compensation costs, net of estimated forfeitures, related to restricted stock unit awards, which are expected to be recognized over a remaining weighted average period of 2.4 years.</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first nine months of 2017 and 2016, the Company granted approximately 21,000 and 22,000 shares, respectively, of fully-vested common stock to its five non-employee directors, as provided for under the Company's non-employee director compensation plan. These shares had grant date fair values of $0.4 million and $0.5 million, respectively, which was recorded as share-based compensation expense during the nine months ended September 30, 2017 and September 30, 2016, respectively.</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During the first nine months of 2017 and 2016, approximately 175,000 and 182,000 restricted stock units vested for each period. The fair value of these units was $3.2 million and $4.5 million for each respective period. Upon vesting, restricted stock units are generally net share-settled to cover the required minimum withholding tax and the remaining amount is converted into an equivalent number of shares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non-vested restricted share units is presented below:</w:t>
      </w:r>
    </w:p>
    <w:p>
      <w:pPr>
        <w:spacing w:after="0" w:line="379"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6"/>
              </w:rPr>
              <w:t>2017</w:t>
            </w:r>
          </w:p>
        </w:tc>
        <w:tc>
          <w:tcPr>
            <w:tcW w:w="11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2016</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Weighted</w:t>
            </w: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80" w:type="dxa"/>
            <w:vAlign w:val="bottom"/>
            <w:vMerge w:val="restart"/>
          </w:tcPr>
          <w:p>
            <w:pPr>
              <w:ind w:left="520"/>
              <w:spacing w:after="0"/>
              <w:rPr>
                <w:sz w:val="20"/>
                <w:szCs w:val="20"/>
                <w:color w:val="auto"/>
              </w:rPr>
            </w:pPr>
            <w:r>
              <w:rPr>
                <w:rFonts w:ascii="Arial" w:cs="Arial" w:eastAsia="Arial" w:hAnsi="Arial"/>
                <w:sz w:val="14"/>
                <w:szCs w:val="14"/>
                <w:b w:val="1"/>
                <w:bCs w:val="1"/>
                <w:color w:val="auto"/>
                <w:w w:val="97"/>
              </w:rPr>
              <w:t>Units</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Grant-Date</w:t>
            </w:r>
          </w:p>
        </w:tc>
        <w:tc>
          <w:tcPr>
            <w:tcW w:w="880" w:type="dxa"/>
            <w:vAlign w:val="bottom"/>
            <w:vMerge w:val="restart"/>
          </w:tcPr>
          <w:p>
            <w:pPr>
              <w:ind w:left="520"/>
              <w:spacing w:after="0"/>
              <w:rPr>
                <w:sz w:val="20"/>
                <w:szCs w:val="20"/>
                <w:color w:val="auto"/>
              </w:rPr>
            </w:pPr>
            <w:r>
              <w:rPr>
                <w:rFonts w:ascii="Arial" w:cs="Arial" w:eastAsia="Arial" w:hAnsi="Arial"/>
                <w:sz w:val="14"/>
                <w:szCs w:val="14"/>
                <w:b w:val="1"/>
                <w:bCs w:val="1"/>
                <w:color w:val="auto"/>
                <w:w w:val="97"/>
              </w:rPr>
              <w:t>Units</w:t>
            </w: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5"/>
        </w:trPr>
        <w:tc>
          <w:tcPr>
            <w:tcW w:w="6040" w:type="dxa"/>
            <w:vAlign w:val="bottom"/>
            <w:gridSpan w:val="2"/>
          </w:tcPr>
          <w:p>
            <w:pPr>
              <w:ind w:left="40"/>
              <w:spacing w:after="0"/>
              <w:rPr>
                <w:sz w:val="20"/>
                <w:szCs w:val="20"/>
                <w:color w:val="auto"/>
              </w:rPr>
            </w:pPr>
            <w:r>
              <w:rPr>
                <w:rFonts w:ascii="Arial" w:cs="Arial" w:eastAsia="Arial" w:hAnsi="Arial"/>
                <w:sz w:val="18"/>
                <w:szCs w:val="18"/>
                <w:color w:val="auto"/>
              </w:rPr>
              <w:t>Outstanding at beginning of period:</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20.81</w:t>
            </w: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595</w:t>
            </w: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21.21</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43"/>
        </w:trPr>
        <w:tc>
          <w:tcPr>
            <w:tcW w:w="6040" w:type="dxa"/>
            <w:vAlign w:val="bottom"/>
            <w:gridSpan w:val="2"/>
          </w:tcPr>
          <w:p>
            <w:pPr>
              <w:ind w:left="180"/>
              <w:spacing w:after="0"/>
              <w:rPr>
                <w:sz w:val="20"/>
                <w:szCs w:val="20"/>
                <w:color w:val="auto"/>
              </w:rPr>
            </w:pPr>
            <w:r>
              <w:rPr>
                <w:rFonts w:ascii="Arial" w:cs="Arial" w:eastAsia="Arial" w:hAnsi="Arial"/>
                <w:sz w:val="18"/>
                <w:szCs w:val="18"/>
                <w:color w:val="auto"/>
              </w:rPr>
              <w:t>Released</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(175)</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20.61</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(182)</w:t>
            </w: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21.21</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Outstanding at end of period:</w:t>
            </w:r>
          </w:p>
        </w:tc>
        <w:tc>
          <w:tcPr>
            <w:tcW w:w="8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488</w:t>
            </w:r>
          </w:p>
        </w:tc>
        <w:tc>
          <w:tcPr>
            <w:tcW w:w="40" w:type="dxa"/>
            <w:vAlign w:val="bottom"/>
            <w:tcBorders>
              <w:top w:val="single" w:sz="8" w:color="auto"/>
              <w:bottom w:val="single" w:sz="8" w:color="auto"/>
            </w:tcBorders>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20.97</w:t>
            </w:r>
          </w:p>
        </w:tc>
        <w:tc>
          <w:tcPr>
            <w:tcW w:w="220" w:type="dxa"/>
            <w:vAlign w:val="bottom"/>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605</w:t>
            </w:r>
          </w:p>
        </w:tc>
        <w:tc>
          <w:tcPr>
            <w:tcW w:w="4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maintains Performance Restricted Stock Units (PRSUs) that have been granted to select executives and senior officers whose ultimate payout is based on the Company’s performance over a one-year period based on three metrics, as defined: (1) Operating Income, (2) Adjusted EBITDAS and (3) Revenue. There also is a discretionary portion of the PRSUs</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based on individual performance, at the discretion of the Compensation Committee (Discretionary PRSUs). PRSUs and Discretionary PRSUs generally vest ratably on each of the first four anniversary dates upon completion of the performance period, for a total requisite service period of up to five years and have no dividend rights.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assuming that the target performance conditions will be achieved. Compensation costs related to the PRSUs are subsequently adjusted for changes in the expected outcomes of the performance conditions.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Discretionary PRSUs are liability-classified and adjusted to fair value (with a corresponding adjustment to compensation expense) based upon the targeted number of shares to be awarded and the fair value of the underlying stock each reporting period until approved by the Compensation Committee, at which point they are classified as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Performance Restricted Stock Unit activity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238125</wp:posOffset>
            </wp:positionV>
            <wp:extent cx="2950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For the 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23495</wp:posOffset>
            </wp:positionV>
            <wp:extent cx="2950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0" w:type="dxa"/>
            <w:vAlign w:val="bottom"/>
          </w:tcPr>
          <w:p>
            <w:pPr>
              <w:jc w:val="center"/>
              <w:ind w:right="257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0" w:type="dxa"/>
            <w:vAlign w:val="bottom"/>
          </w:tcPr>
          <w:p>
            <w:pPr>
              <w:jc w:val="center"/>
              <w:ind w:right="25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56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Units</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0" w:type="dxa"/>
            <w:vAlign w:val="bottom"/>
          </w:tcPr>
          <w:p>
            <w:pPr>
              <w:jc w:val="center"/>
              <w:ind w:right="2597"/>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0" w:type="dxa"/>
            <w:vAlign w:val="bottom"/>
          </w:tcPr>
          <w:p>
            <w:pPr>
              <w:jc w:val="center"/>
              <w:ind w:right="257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6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4000" w:type="dxa"/>
            <w:vAlign w:val="bottom"/>
            <w:tcBorders>
              <w:bottom w:val="single" w:sz="8" w:color="CCEEFF"/>
            </w:tcBorders>
            <w:shd w:val="clear" w:color="auto" w:fill="CCEEFF"/>
          </w:tcPr>
          <w:p>
            <w:pPr>
              <w:jc w:val="right"/>
              <w:ind w:right="2237"/>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000" w:type="dxa"/>
            <w:vAlign w:val="bottom"/>
          </w:tcPr>
          <w:p>
            <w:pPr>
              <w:jc w:val="right"/>
              <w:ind w:right="2237"/>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Performance condition adjustments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4000" w:type="dxa"/>
            <w:vAlign w:val="bottom"/>
            <w:tcBorders>
              <w:bottom w:val="single" w:sz="8" w:color="CCEEFF"/>
            </w:tcBorders>
            <w:shd w:val="clear" w:color="auto" w:fill="CCEEFF"/>
          </w:tcPr>
          <w:p>
            <w:pPr>
              <w:jc w:val="right"/>
              <w:ind w:right="2237"/>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Released</w:t>
            </w: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000" w:type="dxa"/>
            <w:vAlign w:val="bottom"/>
          </w:tcPr>
          <w:p>
            <w:pPr>
              <w:jc w:val="right"/>
              <w:ind w:right="2237"/>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4000" w:type="dxa"/>
            <w:vAlign w:val="bottom"/>
            <w:tcBorders>
              <w:bottom w:val="single" w:sz="8" w:color="CCEEFF"/>
            </w:tcBorders>
            <w:shd w:val="clear" w:color="auto" w:fill="CCEEFF"/>
          </w:tcPr>
          <w:p>
            <w:pPr>
              <w:jc w:val="right"/>
              <w:ind w:right="22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at end of period:</w:t>
            </w:r>
          </w:p>
        </w:tc>
        <w:tc>
          <w:tcPr>
            <w:tcW w:w="15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c>
          <w:tcPr>
            <w:tcW w:w="64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color w:val="auto"/>
              </w:rPr>
              <w:t>$</w:t>
            </w:r>
          </w:p>
        </w:tc>
        <w:tc>
          <w:tcPr>
            <w:tcW w:w="4000" w:type="dxa"/>
            <w:vAlign w:val="bottom"/>
            <w:tcBorders>
              <w:bottom w:val="single" w:sz="8" w:color="CCEEFF"/>
            </w:tcBorders>
          </w:tcPr>
          <w:p>
            <w:pPr>
              <w:jc w:val="right"/>
              <w:ind w:right="2237"/>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311"/>
        </w:trPr>
        <w:tc>
          <w:tcPr>
            <w:tcW w:w="37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nine months ended September 30, 2017, the Compensation Committee modified the awards issued during the transition period ended December 31, 2016 from a one-year performance period to a seven month performance period to align the awards with the change in the Company's fiscal year from May 31 to December 31. Accordingly, for the nine months ended September 30, 2017, the Compensation Committee approved these transition period PRSUs, which resulted in a reduction of approximately 3,000 units. There was a reduction of approximately 64,000 units to the awards granted in 2017 during the nine months ended September 30, 2017.</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September 30, 2017, the liability related to Discretionary PRSUs was less than $0.1 million and is classified within accrued expenses and other current liabilities on the condensed consolidated balance sheet.</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three months ended September 30, 2017 and September 30, 2016, the Company recognized aggregate share-based compensation expense related to the awards described above of approximately $0.4 million and $0.5 million, respectively.</w:t>
      </w:r>
    </w:p>
    <w:p>
      <w:pPr>
        <w:spacing w:after="0" w:line="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nine months ended September 30, 2017 and September 30, 2016, the Company recognized aggregate share-based compensation expense related to the awards described above of approximately $1.3 million for each respective period.</w:t>
      </w:r>
    </w:p>
    <w:p>
      <w:pPr>
        <w:spacing w:after="0" w:line="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September 30, 2017, there was $2.7 million of total unrecognized compensation costs related to approximately 287,000 non-vested performance restricted stock units, which are expected to be recognized over a remaining weighted average period of 2.1 years.</w:t>
      </w:r>
    </w:p>
    <w:p>
      <w:pPr>
        <w:spacing w:after="0" w:line="302"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180" w:firstLine="8"/>
        <w:spacing w:after="0" w:line="277"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103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07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113"/>
              <w:spacing w:after="0"/>
              <w:rPr>
                <w:sz w:val="20"/>
                <w:szCs w:val="20"/>
                <w:color w:val="auto"/>
              </w:rPr>
            </w:pPr>
            <w:r>
              <w:rPr>
                <w:rFonts w:ascii="Arial" w:cs="Arial" w:eastAsia="Arial" w:hAnsi="Arial"/>
                <w:sz w:val="14"/>
                <w:szCs w:val="14"/>
                <w:b w:val="1"/>
                <w:bCs w:val="1"/>
                <w:color w:val="auto"/>
                <w:w w:val="94"/>
              </w:rPr>
              <w:t>September 30, 2017</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2016</w:t>
            </w:r>
          </w:p>
        </w:tc>
        <w:tc>
          <w:tcPr>
            <w:tcW w:w="14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September 30, 2017</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September 30, 2016</w:t>
            </w:r>
          </w:p>
        </w:tc>
      </w:tr>
      <w:tr>
        <w:trPr>
          <w:trHeight w:val="162"/>
        </w:trPr>
        <w:tc>
          <w:tcPr>
            <w:tcW w:w="4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7"/>
              </w:rPr>
              <w:t>Net income (loss) attributable to Mistras Group,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13,446</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28,274</w:t>
            </w: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29,051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28,465</w:t>
            </w:r>
          </w:p>
        </w:tc>
        <w:tc>
          <w:tcPr>
            <w:tcW w:w="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28,966</w:t>
            </w:r>
          </w:p>
        </w:tc>
      </w:tr>
      <w:tr>
        <w:trPr>
          <w:trHeight w:val="297"/>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earnings (loss)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3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3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0.46</w:t>
            </w:r>
          </w:p>
        </w:tc>
      </w:tr>
      <w:tr>
        <w:trPr>
          <w:trHeight w:val="284"/>
        </w:trPr>
        <w:tc>
          <w:tcPr>
            <w:tcW w:w="4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160"/>
              <w:spacing w:after="0"/>
              <w:rPr>
                <w:sz w:val="20"/>
                <w:szCs w:val="20"/>
                <w:color w:val="auto"/>
              </w:rPr>
            </w:pPr>
            <w:r>
              <w:rPr>
                <w:rFonts w:ascii="Arial" w:cs="Arial" w:eastAsia="Arial" w:hAnsi="Arial"/>
                <w:sz w:val="18"/>
                <w:szCs w:val="18"/>
                <w:color w:val="auto"/>
                <w:w w:val="97"/>
              </w:rPr>
              <w:t>Net income (loss) attributable to Mistras Group, Inc.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(6,968)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7,238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(3,059)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13,446</w:t>
            </w: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28,274</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29,051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28,465</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28,966</w:t>
            </w:r>
          </w:p>
        </w:tc>
      </w:tr>
      <w:tr>
        <w:trPr>
          <w:trHeight w:val="27"/>
        </w:trPr>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3"/>
                <w:szCs w:val="13"/>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3"/>
                <w:szCs w:val="13"/>
                <w:color w:val="auto"/>
                <w:w w:val="87"/>
              </w:rPr>
              <w:t>(1)</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810</w:t>
            </w:r>
          </w:p>
        </w:tc>
      </w:tr>
      <w:tr>
        <w:trPr>
          <w:trHeight w:val="243"/>
        </w:trPr>
        <w:tc>
          <w:tcPr>
            <w:tcW w:w="4200" w:type="dxa"/>
            <w:vAlign w:val="bottom"/>
          </w:tcPr>
          <w:p>
            <w:pPr>
              <w:ind w:left="160"/>
              <w:spacing w:after="0"/>
              <w:rPr>
                <w:sz w:val="20"/>
                <w:szCs w:val="20"/>
                <w:color w:val="auto"/>
              </w:rPr>
            </w:pPr>
            <w:r>
              <w:rPr>
                <w:rFonts w:ascii="Arial" w:cs="Arial" w:eastAsia="Arial" w:hAnsi="Arial"/>
                <w:sz w:val="18"/>
                <w:szCs w:val="18"/>
                <w:color w:val="auto"/>
              </w:rPr>
              <w:t>Dilutive effect of restricted stock units outstanding</w:t>
            </w:r>
          </w:p>
        </w:tc>
        <w:tc>
          <w:tcPr>
            <w:tcW w:w="1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83"/>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103"/>
              <w:spacing w:after="0"/>
              <w:rPr>
                <w:sz w:val="20"/>
                <w:szCs w:val="20"/>
                <w:color w:val="auto"/>
              </w:rPr>
            </w:pPr>
            <w:r>
              <w:rPr>
                <w:rFonts w:ascii="Arial" w:cs="Arial" w:eastAsia="Arial" w:hAnsi="Arial"/>
                <w:sz w:val="13"/>
                <w:szCs w:val="13"/>
                <w:color w:val="auto"/>
                <w:w w:val="87"/>
              </w:rPr>
              <w:t>(2)</w:t>
            </w:r>
          </w:p>
        </w:tc>
        <w:tc>
          <w:tcPr>
            <w:tcW w:w="14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363</w:t>
            </w:r>
          </w:p>
        </w:tc>
      </w:tr>
      <w:tr>
        <w:trPr>
          <w:trHeight w:val="27"/>
        </w:trPr>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4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28,274</w:t>
            </w: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28,465</w:t>
            </w: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30,139</w:t>
            </w:r>
          </w:p>
        </w:tc>
      </w:tr>
      <w:tr>
        <w:trPr>
          <w:trHeight w:val="257"/>
        </w:trPr>
        <w:tc>
          <w:tcPr>
            <w:tcW w:w="420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3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3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0.45</w:t>
            </w: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For the three and nine months ended September 30, 2017, 716 and 802 shares, respectively were excluded from the calculation of diluted EPS due to the net loss for the respective periods.</w:t>
      </w:r>
    </w:p>
    <w:p>
      <w:pPr>
        <w:spacing w:after="0" w:line="170" w:lineRule="exact"/>
        <w:rPr>
          <w:rFonts w:ascii="Arial" w:cs="Arial" w:eastAsia="Arial" w:hAnsi="Arial"/>
          <w:sz w:val="18"/>
          <w:szCs w:val="18"/>
          <w:color w:val="auto"/>
        </w:rPr>
      </w:pPr>
    </w:p>
    <w:p>
      <w:pPr>
        <w:ind w:right="20" w:firstLine="8"/>
        <w:spacing w:after="0" w:line="277"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 For the three and nine months ended September 30, 2017, 308 and 337 shares, respectively, were excluded from the calculation of diluted EPS due to the net loss for the respective periods.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During the nine months ended September 30, 2017, the Company completed two acquisitions, one that performs mechanical services at height, located in Canada, and a company located in the U.S. that primarily performs chemical and specialty process services, primarily in the aerospace industry.</w:t>
      </w:r>
    </w:p>
    <w:p>
      <w:pPr>
        <w:spacing w:after="0" w:line="12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these acquisitions, the Company acquired the assets of the U.S. acquiree and 100% of the common stock of the Canada acquiree in exchange for aggregate consideration of $8.5 million in cash, contingent consideration up to $5.9 million to be earned based upon the acquired business achieving specific performance metrics over the initial three years of operations from the acquisition date and $1.6 million for working capital adjustments yet to be finalized. The Company accounted for these transactions in accordance with the acquisition method of accounting for business combinations.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assets and liabilities of the businesses acquired in 2017 were included in the Company's condensed consolidated balance sheet based upon their estimated fair values on the date of acquisition as determined in a preliminary purchase price allocation, using available information and making assumptions management believes are reasonable. The Company is still in the process of completing its valuations of the assets acquired. The results of operations for these acquisitions are included in the Services segment's results from the date of acquisition. Goodwill of $4.3 million primarily relates to expected synergies and assembled workforce, of which $1.8 million is generally deductible for tax purposes. Other intangible assets, primarily related to customer relationships and covenants not to compete, were $8.4 million.</w:t>
      </w:r>
    </w:p>
    <w:p>
      <w:pPr>
        <w:spacing w:after="0" w:line="19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Company's preliminary purchase price allocations are included in the table below, summarizing the estimated fair value of the assets acquired and liabilities assumed at the date of acquisition: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6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Number of Entities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9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 transferred:</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Cash paid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8,509</w:t>
            </w:r>
          </w:p>
        </w:tc>
      </w:tr>
      <w:tr>
        <w:trPr>
          <w:trHeight w:val="27"/>
        </w:trPr>
        <w:tc>
          <w:tcPr>
            <w:tcW w:w="9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 adjustments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1,604</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4,126</w:t>
            </w:r>
          </w:p>
        </w:tc>
      </w:tr>
      <w:tr>
        <w:trPr>
          <w:trHeight w:val="27"/>
        </w:trPr>
        <w:tc>
          <w:tcPr>
            <w:tcW w:w="9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 transferred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14,239</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9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2,443</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1,140</w:t>
            </w:r>
          </w:p>
        </w:tc>
      </w:tr>
      <w:tr>
        <w:trPr>
          <w:trHeight w:val="27"/>
        </w:trPr>
        <w:tc>
          <w:tcPr>
            <w:tcW w:w="9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8,436</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4,271</w:t>
            </w:r>
          </w:p>
        </w:tc>
      </w:tr>
      <w:tr>
        <w:trPr>
          <w:trHeight w:val="27"/>
        </w:trPr>
        <w:tc>
          <w:tcPr>
            <w:tcW w:w="9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Long-term deferred tax liability</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(1,170)</w:t>
            </w:r>
          </w:p>
        </w:tc>
      </w:tr>
      <w:tr>
        <w:trPr>
          <w:trHeight w:val="27"/>
        </w:trPr>
        <w:tc>
          <w:tcPr>
            <w:tcW w:w="9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14,239</w:t>
            </w:r>
          </w:p>
        </w:tc>
      </w:tr>
      <w:tr>
        <w:trPr>
          <w:trHeight w:val="20"/>
        </w:trPr>
        <w:tc>
          <w:tcPr>
            <w:tcW w:w="9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Revenues and operating income included in the condensed consolidated statement of operations for 2017 from these acquisitions for the period subsequent to the closing of this transaction was approximately $9.1 million and $1.1 million, respectively. As these acquisitions were immaterial to the Company's 2017 results, no unaudited pro forma financial information has been included in this report for either acquisition.</w:t>
      </w:r>
    </w:p>
    <w:p>
      <w:pPr>
        <w:spacing w:after="0" w:line="18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The Company completed two acquisitions that provide NDT services, located in Canada, during the nine months ended September 30, 2016. The Company acquired 100% of the common stock of both acquirees in exchange for aggregate</w:t>
      </w:r>
    </w:p>
    <w:p>
      <w:pPr>
        <w:spacing w:after="0" w:line="1" w:lineRule="exact"/>
        <w:rPr>
          <w:sz w:val="20"/>
          <w:szCs w:val="20"/>
          <w:color w:val="auto"/>
        </w:rPr>
      </w:pPr>
    </w:p>
    <w:p>
      <w:pPr>
        <w:jc w:val="both"/>
        <w:ind w:right="2200"/>
        <w:spacing w:after="0" w:line="255" w:lineRule="auto"/>
        <w:rPr>
          <w:sz w:val="20"/>
          <w:szCs w:val="20"/>
          <w:color w:val="auto"/>
        </w:rPr>
      </w:pPr>
      <w:r>
        <w:rPr>
          <w:rFonts w:ascii="Arial" w:cs="Arial" w:eastAsia="Arial" w:hAnsi="Arial"/>
          <w:sz w:val="18"/>
          <w:szCs w:val="18"/>
          <w:color w:val="auto"/>
        </w:rPr>
        <w:t>consideration of $1.2 million in cash, $0.3 million of notes payable and contingent consideration estimated to be $0.4 million to be earned based upon the acquired businesses achieving specific performance metrics over their initial three years of operations from their acquisition dates.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Expense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course of its acquisition activities, the Company incurs costs in connection with due diligence, professional fees, and other expenses. Additionally, the Company adjusts the fair value of acquisition-related contingent consideration liabilities on a quarterly basis. These amounts are recorded as acquisition-related expense (benefit), net, on the condensed consolidated statements of income and were as follows for the three and nine months ended September 30, 2017 and 2016:</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10"/>
          </w:tcPr>
          <w:p>
            <w:pPr>
              <w:jc w:val="right"/>
              <w:ind w:right="5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160" w:type="dxa"/>
            <w:vAlign w:val="bottom"/>
            <w:tcBorders>
              <w:bottom w:val="single" w:sz="8" w:color="CCEEFF"/>
            </w:tcBorders>
          </w:tcPr>
          <w:p>
            <w:pPr>
              <w:spacing w:after="0"/>
              <w:rPr>
                <w:sz w:val="22"/>
                <w:szCs w:val="22"/>
                <w:color w:val="auto"/>
              </w:rPr>
            </w:pPr>
          </w:p>
        </w:tc>
        <w:tc>
          <w:tcPr>
            <w:tcW w:w="45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Due diligence, professional fees and other transaction costs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w w:val="94"/>
              </w:rPr>
              <w:t>Adjustments to fair value of contingent consideration liabilities</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(880)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Acquisition-related expense (benefit), net</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2"/>
              </w:rPr>
              <w:t>5.</w:t>
            </w:r>
          </w:p>
        </w:tc>
        <w:tc>
          <w:tcPr>
            <w:tcW w:w="454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8"/>
                <w:szCs w:val="18"/>
                <w:b w:val="1"/>
                <w:bCs w:val="1"/>
                <w:color w:val="auto"/>
              </w:rPr>
              <w:t>Accounts Receivable, net</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160" w:type="dxa"/>
            <w:vAlign w:val="bottom"/>
            <w:vMerge w:val="continue"/>
          </w:tcPr>
          <w:p>
            <w:pPr>
              <w:spacing w:after="0"/>
              <w:rPr>
                <w:sz w:val="24"/>
                <w:szCs w:val="24"/>
                <w:color w:val="auto"/>
              </w:rPr>
            </w:pPr>
          </w:p>
        </w:tc>
        <w:tc>
          <w:tcPr>
            <w:tcW w:w="45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700" w:type="dxa"/>
            <w:vAlign w:val="bottom"/>
            <w:gridSpan w:val="2"/>
          </w:tcPr>
          <w:p>
            <w:pPr>
              <w:spacing w:after="0"/>
              <w:rPr>
                <w:sz w:val="20"/>
                <w:szCs w:val="20"/>
                <w:color w:val="auto"/>
              </w:rPr>
            </w:pPr>
            <w:r>
              <w:rPr>
                <w:rFonts w:ascii="Arial" w:cs="Arial" w:eastAsia="Arial" w:hAnsi="Arial"/>
                <w:sz w:val="18"/>
                <w:szCs w:val="18"/>
                <w:color w:val="auto"/>
              </w:rPr>
              <w:t>Accounts receivable consisted of the following:</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1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7"/>
              </w:rPr>
              <w:t>September 30, 2017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144,503</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133,704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Allowance for doubtful accounts</w:t>
            </w: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(4,314)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60" w:type="dxa"/>
            <w:vAlign w:val="bottom"/>
            <w:tcBorders>
              <w:bottom w:val="single" w:sz="8" w:color="CCEEFF"/>
            </w:tcBorders>
            <w:shd w:val="clear" w:color="auto" w:fill="CCEEFF"/>
          </w:tcPr>
          <w:p>
            <w:pPr>
              <w:spacing w:after="0"/>
              <w:rPr>
                <w:sz w:val="22"/>
                <w:szCs w:val="22"/>
                <w:color w:val="auto"/>
              </w:rPr>
            </w:pPr>
          </w:p>
        </w:tc>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140,189</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130,852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2"/>
              </w:rPr>
              <w:t>6.</w:t>
            </w:r>
          </w:p>
        </w:tc>
        <w:tc>
          <w:tcPr>
            <w:tcW w:w="454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8"/>
                <w:szCs w:val="18"/>
                <w:b w:val="1"/>
                <w:bCs w:val="1"/>
                <w:color w:val="auto"/>
              </w:rPr>
              <w:t>Property, Plant and Equipment, net</w:t>
            </w:r>
          </w:p>
        </w:tc>
        <w:tc>
          <w:tcPr>
            <w:tcW w:w="1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60" w:type="dxa"/>
            <w:vAlign w:val="bottom"/>
            <w:vMerge w:val="continue"/>
          </w:tcPr>
          <w:p>
            <w:pPr>
              <w:spacing w:after="0"/>
              <w:rPr>
                <w:sz w:val="24"/>
                <w:szCs w:val="24"/>
                <w:color w:val="auto"/>
              </w:rPr>
            </w:pPr>
          </w:p>
        </w:tc>
        <w:tc>
          <w:tcPr>
            <w:tcW w:w="45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70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Useful Life</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September 30, 2017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ind w:left="16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6"/>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Buildings and improvements</w:t>
            </w: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ind w:right="257"/>
              <w:spacing w:after="0"/>
              <w:rPr>
                <w:sz w:val="20"/>
                <w:szCs w:val="20"/>
                <w:color w:val="auto"/>
              </w:rPr>
            </w:pPr>
            <w:r>
              <w:rPr>
                <w:rFonts w:ascii="Arial" w:cs="Arial" w:eastAsia="Arial" w:hAnsi="Arial"/>
                <w:sz w:val="18"/>
                <w:szCs w:val="18"/>
                <w:color w:val="auto"/>
                <w:w w:val="91"/>
              </w:rPr>
              <w:t>30-40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22,735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19,261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277"/>
              <w:spacing w:after="0"/>
              <w:rPr>
                <w:sz w:val="20"/>
                <w:szCs w:val="20"/>
                <w:color w:val="auto"/>
              </w:rPr>
            </w:pPr>
            <w:r>
              <w:rPr>
                <w:rFonts w:ascii="Arial" w:cs="Arial" w:eastAsia="Arial" w:hAnsi="Arial"/>
                <w:sz w:val="18"/>
                <w:szCs w:val="18"/>
                <w:color w:val="auto"/>
                <w:w w:val="92"/>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13,941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Machinery and equipment</w:t>
            </w: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ind w:right="277"/>
              <w:spacing w:after="0"/>
              <w:rPr>
                <w:sz w:val="20"/>
                <w:szCs w:val="20"/>
                <w:color w:val="auto"/>
              </w:rPr>
            </w:pPr>
            <w:r>
              <w:rPr>
                <w:rFonts w:ascii="Arial" w:cs="Arial" w:eastAsia="Arial" w:hAnsi="Arial"/>
                <w:sz w:val="18"/>
                <w:szCs w:val="18"/>
                <w:color w:val="auto"/>
                <w:w w:val="92"/>
              </w:rPr>
              <w:t>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179,681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166,423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218,266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199,972</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(141,093)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(126,823)</w:t>
            </w: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0" w:type="dxa"/>
            <w:vAlign w:val="bottom"/>
            <w:shd w:val="clear" w:color="auto" w:fill="CCEEFF"/>
          </w:tcPr>
          <w:p>
            <w:pPr>
              <w:spacing w:after="0"/>
              <w:rPr>
                <w:sz w:val="22"/>
                <w:szCs w:val="22"/>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0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77,173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73,149</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September 30, 2017 and September 30, 2016 was $5.7 million and $5.8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nine months ended September 30, 2017 and September 30, 2016 was $16.8 million and $17.6 million, respectively.</w:t>
      </w:r>
    </w:p>
    <w:p>
      <w:pPr>
        <w:spacing w:after="0" w:line="200" w:lineRule="exact"/>
        <w:rPr>
          <w:sz w:val="20"/>
          <w:szCs w:val="20"/>
          <w:color w:val="auto"/>
        </w:rPr>
      </w:pPr>
    </w:p>
    <w:p>
      <w:pPr>
        <w:spacing w:after="0" w:line="249"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Products and Systems</w:t>
            </w: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63"/>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123,392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33,351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169,940</w:t>
            </w: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5140" w:type="dxa"/>
            <w:vAlign w:val="bottom"/>
          </w:tcPr>
          <w:p>
            <w:pPr>
              <w:ind w:left="40"/>
              <w:spacing w:after="0"/>
              <w:rPr>
                <w:sz w:val="20"/>
                <w:szCs w:val="20"/>
                <w:color w:val="auto"/>
              </w:rPr>
            </w:pPr>
            <w:r>
              <w:rPr>
                <w:rFonts w:ascii="Arial" w:cs="Arial" w:eastAsia="Arial" w:hAnsi="Arial"/>
                <w:sz w:val="18"/>
                <w:szCs w:val="18"/>
                <w:color w:val="auto"/>
              </w:rPr>
              <w:t>Goodwill acquired during the period</w:t>
            </w:r>
          </w:p>
        </w:tc>
        <w:tc>
          <w:tcPr>
            <w:tcW w:w="32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4,271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4,271</w:t>
            </w: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Adjustments to preliminary purchase price allocations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3,873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4,901</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Balance at September 30, 2017</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128,480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37,224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165,704</w:t>
            </w: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second quarter of 2017, there were pending contract bids which management assessed as having a reasonable chance of success. These contract bids were not awarded to the Company. As a result of this missed opportunity, the annual forecasting process was accelerated, resulting in lower future operating profits and cash flows. As such, there were indicators that the carrying amount of the goodwill for the Products and Systems reporting unit may not be recoverable due to the decline in the projected future cash flows.</w:t>
      </w:r>
    </w:p>
    <w:p>
      <w:pPr>
        <w:spacing w:after="0" w:line="187"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The Company performed an analysis to determine any impairment of long-lived assets (see Note 8) as well as an analysis to determine any impairment of goodwill. For the goodwill analysis, we used income and market approaches to estimate the fair value of the reporting unit, which requires significant judgment in evaluation of economic and industry trends, estimated future cash flows, discount rates and other factors, and compared that fair value to the carrying value, and determined that the fair value of the reporting unit was less than the carrying value. The Company recorded an impairment charge of $13.2 million, based on the difference between the fair value and the carrying value of the reporting unit, which resulted in an impairment of the entire amount of goodwill for the Products and Systems reporting unit.</w:t>
      </w:r>
    </w:p>
    <w:p>
      <w:pPr>
        <w:spacing w:after="0" w:line="17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Company's cumulative goodwill impairment as of September 30, 2017 was $23.1 million, of which $13.2 million related to the Products and Systems segment and $9.9 million related to the International segment. As of December 31, 2016, the cumulative goodwill impairment was $9.9 million, which is within its International segment.</w:t>
      </w:r>
    </w:p>
    <w:p>
      <w:pPr>
        <w:spacing w:after="0" w:line="177"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3"/>
                <w:szCs w:val="13"/>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3"/>
                <w:szCs w:val="13"/>
                <w:color w:val="auto"/>
              </w:rPr>
            </w:pPr>
          </w:p>
        </w:tc>
        <w:tc>
          <w:tcPr>
            <w:tcW w:w="8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3"/>
                <w:szCs w:val="13"/>
                <w:color w:val="auto"/>
              </w:rPr>
            </w:pPr>
          </w:p>
        </w:tc>
        <w:tc>
          <w:tcPr>
            <w:tcW w:w="86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Impairment</w:t>
            </w:r>
          </w:p>
        </w:tc>
        <w:tc>
          <w:tcPr>
            <w:tcW w:w="2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840" w:type="dxa"/>
            <w:vAlign w:val="bottom"/>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6"/>
                <w:szCs w:val="16"/>
                <w:color w:val="auto"/>
              </w:rPr>
            </w:pPr>
          </w:p>
        </w:tc>
        <w:tc>
          <w:tcPr>
            <w:tcW w:w="86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92,488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81,559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31,142</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Software/Technology</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3-15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55"/>
              <w:spacing w:after="0"/>
              <w:rPr>
                <w:sz w:val="20"/>
                <w:szCs w:val="20"/>
                <w:color w:val="auto"/>
              </w:rPr>
            </w:pPr>
            <w:r>
              <w:rPr>
                <w:rFonts w:ascii="Arial" w:cs="Arial" w:eastAsia="Arial" w:hAnsi="Arial"/>
                <w:sz w:val="18"/>
                <w:szCs w:val="18"/>
                <w:color w:val="auto"/>
              </w:rPr>
              <w:t>19,219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(2,411)</w:t>
            </w:r>
          </w:p>
        </w:tc>
        <w:tc>
          <w:tcPr>
            <w:tcW w:w="20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3,004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18,128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Covenants not to compete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11,687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2-12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55"/>
              <w:spacing w:after="0"/>
              <w:rPr>
                <w:sz w:val="20"/>
                <w:szCs w:val="20"/>
                <w:color w:val="auto"/>
              </w:rPr>
            </w:pPr>
            <w:r>
              <w:rPr>
                <w:rFonts w:ascii="Arial" w:cs="Arial" w:eastAsia="Arial" w:hAnsi="Arial"/>
                <w:sz w:val="18"/>
                <w:szCs w:val="18"/>
                <w:color w:val="auto"/>
              </w:rPr>
              <w:t>8,262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2,042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7,266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5"/>
              </w:rPr>
              <w:t>131,656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42,242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118,096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40,007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three months ended September 30, 2017 and September 30, 2016 was $2.4 million and $2.1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nine months ended September 30, 2017 and September 30, 2016 was $6.8 million and $6.9 million, respectively.</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described in Note 7, the Company performed an analysis to determine whether there was any impairment of long-lived assets for the Products and Systems reporting unit. We used income and market approaches to estimate the fair value of the long-lived assets, which requires significant judgment in evaluation of the useful lives of the assets, economic and industry trends, estimated future cash flows, discount rates, and other factors. The result of the analysis was an impairment of $2.4 million to software/technology, $0.2 million to customer relationships and less than $0.1 million to other intangibles, which are included in the impairment charges line on the condensed consolidated statements of income for the three and nine months ended September 30, 2017.</w:t>
      </w:r>
    </w:p>
    <w:p>
      <w:pPr>
        <w:spacing w:after="0" w:line="154" w:lineRule="exact"/>
        <w:rPr>
          <w:sz w:val="20"/>
          <w:szCs w:val="20"/>
          <w:color w:val="auto"/>
        </w:rPr>
      </w:pPr>
    </w:p>
    <w:p>
      <w:pPr>
        <w:ind w:left="680" w:hanging="672"/>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172"/>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wages and related employee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23,442</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 current portion</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workers’ compensation and health benefits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3,743</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Litigation accrual</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20,466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17,015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accrued expenses and other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58,697</w:t>
            </w:r>
          </w:p>
        </w:tc>
        <w:tc>
          <w:tcPr>
            <w:tcW w:w="0" w:type="dxa"/>
            <w:vAlign w:val="bottom"/>
          </w:tcPr>
          <w:p>
            <w:pPr>
              <w:spacing w:after="0"/>
              <w:rPr>
                <w:sz w:val="1"/>
                <w:szCs w:val="1"/>
                <w:color w:val="auto"/>
              </w:rPr>
            </w:pPr>
          </w:p>
        </w:tc>
      </w:tr>
      <w:tr>
        <w:trPr>
          <w:trHeight w:val="20"/>
        </w:trPr>
        <w:tc>
          <w:tcPr>
            <w:tcW w:w="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w:t>
            </w:r>
          </w:p>
        </w:tc>
        <w:tc>
          <w:tcPr>
            <w:tcW w:w="734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 w:type="dxa"/>
            <w:vAlign w:val="bottom"/>
            <w:vMerge w:val="continue"/>
          </w:tcPr>
          <w:p>
            <w:pPr>
              <w:spacing w:after="0"/>
              <w:rPr>
                <w:sz w:val="24"/>
                <w:szCs w:val="24"/>
                <w:color w:val="auto"/>
              </w:rPr>
            </w:pPr>
          </w:p>
        </w:tc>
        <w:tc>
          <w:tcPr>
            <w:tcW w:w="7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900" w:type="dxa"/>
            <w:vAlign w:val="bottom"/>
            <w:gridSpan w:val="2"/>
          </w:tcPr>
          <w:p>
            <w:pPr>
              <w:spacing w:after="0"/>
              <w:rPr>
                <w:sz w:val="20"/>
                <w:szCs w:val="20"/>
                <w:color w:val="auto"/>
              </w:rPr>
            </w:pPr>
            <w:r>
              <w:rPr>
                <w:rFonts w:ascii="Arial" w:cs="Arial" w:eastAsia="Arial" w:hAnsi="Arial"/>
                <w:sz w:val="18"/>
                <w:szCs w:val="18"/>
                <w:color w:val="auto"/>
              </w:rPr>
              <w:t>Long-term debt consisted of the following:</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3"/>
              </w:rPr>
              <w:t>September 30, 2017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3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95,050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82,776</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37"/>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104,293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87,296</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57"/>
        </w:trPr>
        <w:tc>
          <w:tcPr>
            <w:tcW w:w="7900" w:type="dxa"/>
            <w:vAlign w:val="bottom"/>
            <w:gridSpan w:val="2"/>
          </w:tcPr>
          <w:p>
            <w:pPr>
              <w:ind w:left="18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101,803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85,917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Company's revolving credit agreement with its banking group ("Credit Agreement") provides the Company with a $175.0 million revolving line of credit, which, under certain circumstances, can be increased to $225.0 million. The Company may borrow up to $30.0 million in non-U.S. Dollar currencies and use up to $10.0 million of the credit limit for the issuance of letters of credit. The Credit Agreement has a maturity date of October 30, 2019. As of September 30, 2017, the Company had borrowings of $95.1 million and a total of $5.0 million of letters of credit outstanding under the Credit Agreement.</w:t>
      </w:r>
    </w:p>
    <w:p>
      <w:pPr>
        <w:spacing w:after="0" w:line="15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Loans under the Credit Agreement bear interest at LIBOR plus an applicable LIBOR margin ranging from 1% to 1.75%, or a base rate less a margin of 1.25% to 0.375%, at the option of the Company, based upon the Company’s Funded Debt Leverage Ratio. Funded Debt Leverage Ratio is defined as the ratio of</w:t>
      </w:r>
    </w:p>
    <w:p>
      <w:pPr>
        <w:ind w:right="120" w:firstLine="8"/>
        <w:spacing w:after="0" w:line="281"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spacing w:after="0" w:line="1" w:lineRule="exact"/>
        <w:rPr>
          <w:rFonts w:ascii="Arial" w:cs="Arial" w:eastAsia="Arial" w:hAnsi="Arial"/>
          <w:sz w:val="16"/>
          <w:szCs w:val="16"/>
          <w:color w:val="auto"/>
        </w:rPr>
      </w:pPr>
    </w:p>
    <w:p>
      <w:pPr>
        <w:ind w:right="60"/>
        <w:spacing w:after="0" w:line="271" w:lineRule="auto"/>
        <w:rPr>
          <w:rFonts w:ascii="Arial" w:cs="Arial" w:eastAsia="Arial" w:hAnsi="Arial"/>
          <w:sz w:val="16"/>
          <w:szCs w:val="16"/>
          <w:color w:val="auto"/>
        </w:rPr>
      </w:pPr>
      <w:r>
        <w:rPr>
          <w:rFonts w:ascii="Arial" w:cs="Arial" w:eastAsia="Arial" w:hAnsi="Arial"/>
          <w:sz w:val="17"/>
          <w:szCs w:val="17"/>
          <w:color w:val="auto"/>
        </w:rPr>
        <w:t>(e) 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2.0 to 1. The Company will also bear additional costs for market disruption, regulatory changes effecting the lenders’ funding costs, and default pricing of an additional 2% interest rate margin on any</w:t>
      </w:r>
    </w:p>
    <w:p>
      <w:pPr>
        <w:sectPr>
          <w:pgSz w:w="11900" w:h="16838" w:orient="portrait"/>
          <w:cols w:equalWidth="0" w:num="1">
            <w:col w:w="11420"/>
          </w:cols>
          <w:pgMar w:left="240" w:top="122"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amounts not paid when due. Amounts borrowed under the Credit Agreement are secured by liens on substantially all of the assets of the Company.</w:t>
      </w:r>
    </w:p>
    <w:p>
      <w:pPr>
        <w:spacing w:after="0" w:line="23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Credit Agreement contains financial covenants requiring that the Company maintain a Funded Debt Leverage Ratio of no greater than 3.25 to 1 and an Interest Coverage Ratio of at least 3.0 to 1. Interest Coverage Ratio is defined as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September 30, 2017, the Company was in compliance with the terms of the Credit Agreement, and will continuously monitor its compliance with the covenants contained in its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certain of its acquisitions, the Company issued subordinated notes payable to the sellers. The maturity of the notes that remain outstanding are three years from the date of acquisition and bear interest at the prime rate for the Bank of Canada, currently 3.2% as of September 30, 2017. Interest expense is recorded in the condensed consolidated statements of income.</w:t>
      </w:r>
    </w:p>
    <w:p>
      <w:pPr>
        <w:spacing w:after="0" w:line="393" w:lineRule="exact"/>
        <w:rPr>
          <w:sz w:val="20"/>
          <w:szCs w:val="20"/>
          <w:color w:val="auto"/>
        </w:rPr>
      </w:pPr>
    </w:p>
    <w:p>
      <w:pPr>
        <w:ind w:left="680" w:hanging="672"/>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39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9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September 30, 2017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3,094</w:t>
            </w:r>
          </w:p>
        </w:tc>
      </w:tr>
      <w:tr>
        <w:trPr>
          <w:trHeight w:val="27"/>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7"/>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Revaluation</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(1,078)</w:t>
            </w:r>
          </w:p>
        </w:tc>
      </w:tr>
      <w:tr>
        <w:trPr>
          <w:trHeight w:val="27"/>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5,814</w:t>
            </w: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25" w:lineRule="exact"/>
        <w:rPr>
          <w:sz w:val="20"/>
          <w:szCs w:val="20"/>
          <w:color w:val="auto"/>
        </w:rPr>
      </w:pPr>
    </w:p>
    <w:p>
      <w:pPr>
        <w:jc w:val="both"/>
        <w:ind w:right="820"/>
        <w:spacing w:after="0" w:line="312"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issuances of debt.</w:t>
      </w:r>
    </w:p>
    <w:p>
      <w:pPr>
        <w:spacing w:after="0" w:line="359"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66"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Company is subject to periodic lawsuits, investigations and claims that arise in the ordinary course of business. The Company cannot predict with certainty the ultimate resolution of lawsuits, investigations and claims asserted against it. Except possibly for certain of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 The Company has accrued an aggregate of approximately $1.6 million for losses related to the matters described below, net of insurance, for which the Company has stated that an accrual has been established. This $1.6 million accrual does not include the California class action matter, described below, as to which the settlement amount has been fully paid.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settled a consolidated purported class and collective action that resulted from the consolidation of two cases originally filed in California state court in April 2015. In connection with the settlement, the Company recorded a pre-tax charge of $6.3 million during the three months ended June 30, 2016 and paid the settlement in February 2017.</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The Company is a defendant in the lawsuit </w:t>
      </w:r>
      <w:r>
        <w:rPr>
          <w:rFonts w:ascii="Arial" w:cs="Arial" w:eastAsia="Arial" w:hAnsi="Arial"/>
          <w:sz w:val="16"/>
          <w:szCs w:val="16"/>
          <w:i w:val="1"/>
          <w:iCs w:val="1"/>
          <w:color w:val="auto"/>
        </w:rPr>
        <w:t>AGL Services Company v. Mistras Group, Inc.,</w:t>
      </w:r>
      <w:r>
        <w:rPr>
          <w:rFonts w:ascii="Arial" w:cs="Arial" w:eastAsia="Arial" w:hAnsi="Arial"/>
          <w:sz w:val="16"/>
          <w:szCs w:val="16"/>
          <w:color w:val="auto"/>
        </w:rPr>
        <w:t xml:space="preserve"> pending in U.S. District Court for the Northern District of Georgia, filed November 2016. The case involves radiography work performed by the Company in 2013 on the construction of a pipeline project in the U.S. The owner of the pipeline project has claimed damages of approximately $5.8 million and contends that certain of the radiography images the Company’s technicians prepared regarding the project did not meet the code quality interpretation standards required by the American Petroleum Institute. At a trial concluded on October 26, 2017, the jury awarded the plaintiff damages plus interest, which the Company believes is fully covered by insurance.</w:t>
      </w:r>
    </w:p>
    <w:p>
      <w:pPr>
        <w:spacing w:after="0" w:line="15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Company’s subsidiary in France has been involved in a dispute with a former owner of a business purchased by the Company’s French subsidiary. The judgment is being appealed, but the Company recorded an accrual for the judgment during the three months ended June 30, 2016. The loss for this matter is included in the accrual set forth above.</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Company is a defendant in a lawsuit, </w:t>
      </w:r>
      <w:r>
        <w:rPr>
          <w:rFonts w:ascii="Arial" w:cs="Arial" w:eastAsia="Arial" w:hAnsi="Arial"/>
          <w:sz w:val="18"/>
          <w:szCs w:val="18"/>
          <w:i w:val="1"/>
          <w:iCs w:val="1"/>
          <w:color w:val="auto"/>
        </w:rPr>
        <w:t>Triumph Aerostructures, LLC d/b/a Triumph Aerostructures-Vought Aircraft Division v. Mistras Group, Inc</w:t>
      </w:r>
      <w:r>
        <w:rPr>
          <w:rFonts w:ascii="Arial" w:cs="Arial" w:eastAsia="Arial" w:hAnsi="Arial"/>
          <w:sz w:val="18"/>
          <w:szCs w:val="18"/>
          <w:color w:val="auto"/>
        </w:rPr>
        <w:t>., pending in Texas State district court, 193rd Judicial District, Dallas County, Texas, filed September 2016. The plaintiff alleges Mistras delivered a defective Ultrasonic inspection system in 2014 and is alleging damages of approximately $2.3 million. The Company has established an accrual for this matter, which is included in the amount set forth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Investigations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May 2015, the Company received a notice from the U.S. Environmental Protection Agency (“EPA”) that it performed a preliminary assessment at a leased facility the Company operates in Cudahy, California. Based upon the preliminary assessment, the EPA is conducting an investigation of the site, which includes taking groundwater and soil samples. The purpose of the investigation is to determine whether any hazardous materials were released from the facility. The Company has been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the Cudahy facility should be examined, along with numerous other sites in the vicinity. At this time, the Company is unable to determine whether it has any liability in connection with this matter and if so, the amount or range of any such liability, and accordingly, has not established any accruals for this matter.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contingencies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is liable for contingent consideration in connection with certain of its acquisitions. As of September 30, 2017, total potential acquisition-related contingent consideration ranged from zero to approximately $8.6 million and would be payable upon the achievement of specific performance metrics by certain of the acquired companies over the next 2.8 years of operations.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to these condensed consolidated financial statements for further discussion of the Company’s acquisitions.</w:t>
      </w:r>
    </w:p>
    <w:p>
      <w:pPr>
        <w:spacing w:after="0" w:line="183"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1140" w:right="80" w:hanging="484"/>
        <w:spacing w:after="0" w:line="312" w:lineRule="auto"/>
        <w:tabs>
          <w:tab w:leader="none" w:pos="897"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This segment provides asset protection solutions primarily in North America with the largest concentration in the United States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Canadian services business, consisting primarily of non-destructive testing and inspection, mechanical and engineering services that are used to evaluate and maintain the structural integrity and reliability of critical energy, industrial and public infrastructure.</w:t>
      </w:r>
    </w:p>
    <w:p>
      <w:pPr>
        <w:spacing w:after="0" w:line="146" w:lineRule="exact"/>
        <w:rPr>
          <w:rFonts w:ascii="Arial" w:cs="Arial" w:eastAsia="Arial" w:hAnsi="Arial"/>
          <w:sz w:val="16"/>
          <w:szCs w:val="16"/>
          <w:i w:val="1"/>
          <w:iCs w:val="1"/>
          <w:color w:val="auto"/>
        </w:rPr>
      </w:pPr>
    </w:p>
    <w:p>
      <w:pPr>
        <w:ind w:left="1140" w:right="80" w:hanging="484"/>
        <w:spacing w:after="0" w:line="264" w:lineRule="auto"/>
        <w:tabs>
          <w:tab w:leader="none" w:pos="897"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Company’s other two segments to global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in Europe, the Middle East, Africa, Asia and South America, but not to customers in China and South Korea, which are served by the Products and Systems segment.</w:t>
      </w:r>
    </w:p>
    <w:p>
      <w:pPr>
        <w:spacing w:after="0" w:line="181" w:lineRule="exact"/>
        <w:rPr>
          <w:rFonts w:ascii="Arial" w:cs="Arial" w:eastAsia="Arial" w:hAnsi="Arial"/>
          <w:sz w:val="18"/>
          <w:szCs w:val="18"/>
          <w:color w:val="auto"/>
        </w:rPr>
      </w:pPr>
    </w:p>
    <w:p>
      <w:pPr>
        <w:ind w:left="1140" w:right="360" w:hanging="484"/>
        <w:spacing w:after="0" w:line="277" w:lineRule="auto"/>
        <w:tabs>
          <w:tab w:leader="none" w:pos="897"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Selected consolidated financial information by segment for the periods shown was as follows (intercompany transactions are eliminated in Corporate and eliminations):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2016</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September 30, 2016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397,565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395,089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38,200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37,922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106,360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105,275</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19,955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(5,713)</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179,570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168,811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513,326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514,606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96"/>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2016</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September 30, 2016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34,729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102,652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10,432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13,133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29,720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33,673</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9,475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356</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47,897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50,651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137,392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146,156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96"/>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2016</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September 30, 2016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30,932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5,751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3,866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8,925</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(20,287)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(17,816)</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22,601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(loss) by operating segment includes intercompany transactions, which are eliminated in Corporate and eliminations.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2016</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September 30, 2016</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17,224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5,736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5,881</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23,644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24,563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2016</w:t>
            </w:r>
          </w:p>
        </w:tc>
      </w:tr>
      <w:tr>
        <w:trPr>
          <w:trHeight w:val="230"/>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Intangible assets, net</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19,550</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14,228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14,139</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5,482</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836</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42,242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811"/>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4"/>
                <w:szCs w:val="24"/>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2016</w:t>
            </w:r>
          </w:p>
        </w:tc>
      </w:tr>
      <w:tr>
        <w:trPr>
          <w:trHeight w:val="230"/>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291,539</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150,555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130,427</w:t>
            </w:r>
          </w:p>
        </w:tc>
      </w:tr>
      <w:tr>
        <w:trPr>
          <w:trHeight w:val="27"/>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28,964</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13,600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18,497</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484,422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469,427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Revenues by geographic area for the three and nine months ended September 30, 2017 and 2016, respectively,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2016</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September 30, 2016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344,808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358,343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26,084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16,940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59,452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48,828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36,264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93,265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1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5,336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11,436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14,170</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179,570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168,811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513,326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514,606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43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Repurchase of Common Stock</w:t>
      </w:r>
    </w:p>
    <w:p>
      <w:pPr>
        <w:spacing w:after="0" w:line="229" w:lineRule="exact"/>
        <w:rPr>
          <w:sz w:val="20"/>
          <w:szCs w:val="20"/>
          <w:color w:val="auto"/>
        </w:rPr>
      </w:pPr>
    </w:p>
    <w:p>
      <w:pPr>
        <w:jc w:val="both"/>
        <w:ind w:right="2260"/>
        <w:spacing w:after="0" w:line="288" w:lineRule="auto"/>
        <w:rPr>
          <w:sz w:val="20"/>
          <w:szCs w:val="20"/>
          <w:color w:val="auto"/>
        </w:rPr>
      </w:pPr>
      <w:r>
        <w:rPr>
          <w:rFonts w:ascii="Arial" w:cs="Arial" w:eastAsia="Arial" w:hAnsi="Arial"/>
          <w:sz w:val="16"/>
          <w:szCs w:val="16"/>
          <w:color w:val="auto"/>
        </w:rPr>
        <w:t>On October 7, 2015, the Company's Board of Directors approved a $50 million stock repurchase plan. As part of this plan, on August 17, 2016, the Company entered into an agreement with its CEO, Dr. Sotirios Vahaviolos, to purchase up to 1 million of his shares, commencing in October 2016. Pursuant to the agreement, in general, the Company will purchase from Dr.</w:t>
      </w:r>
    </w:p>
    <w:p>
      <w:pPr>
        <w:ind w:right="20"/>
        <w:spacing w:after="0" w:line="252" w:lineRule="auto"/>
        <w:rPr>
          <w:sz w:val="20"/>
          <w:szCs w:val="20"/>
          <w:color w:val="auto"/>
        </w:rPr>
      </w:pPr>
      <w:r>
        <w:rPr>
          <w:rFonts w:ascii="Arial" w:cs="Arial" w:eastAsia="Arial" w:hAnsi="Arial"/>
          <w:sz w:val="18"/>
          <w:szCs w:val="18"/>
          <w:color w:val="auto"/>
        </w:rPr>
        <w:t xml:space="preserve">Vahaviolos up to $2 million of shares each month, at a 2% discount to the average daily closing price of the Company's common stock for the preceding month. During the nine months ended September 30, 2017, the Company purchased approximately 726,000 shares from Dr. Vahaviolos at an average price of $21.93 per share and an aggregate cost of $15.9 million. From the inception of the plan through September 30, 2017, the Company has purchased 1,000,000 shares from Dr. Vahaviolos at an average price of $21.92 per share for an aggregate cost of approximately $21.9 million and approximately 146,000 shares in the open market at an average price of $20.48 per share for an aggregate cost of approximately $3.0 million. All such repurchased shares are classified as </w:t>
      </w:r>
      <w:r>
        <w:rPr>
          <w:rFonts w:ascii="Arial" w:cs="Arial" w:eastAsia="Arial" w:hAnsi="Arial"/>
          <w:sz w:val="18"/>
          <w:szCs w:val="18"/>
          <w:i w:val="1"/>
          <w:iCs w:val="1"/>
          <w:color w:val="auto"/>
        </w:rPr>
        <w:t xml:space="preserve">Treasury Stock </w:t>
      </w:r>
      <w:r>
        <w:rPr>
          <w:rFonts w:ascii="Arial" w:cs="Arial" w:eastAsia="Arial" w:hAnsi="Arial"/>
          <w:sz w:val="18"/>
          <w:szCs w:val="18"/>
          <w:color w:val="auto"/>
        </w:rPr>
        <w:t>on the condensed consolidated balance sheet. As of September 30, 2017, approximately $25.1 million remained available to repurchase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stock repurchase plan.</w:t>
      </w:r>
    </w:p>
    <w:p>
      <w:pPr>
        <w:spacing w:after="0" w:line="18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Management’s Discussion and Analysis (“MD&amp;A”) includes a narrative explanation and analysis of our results of operations and financial condition for the three and nine months ended September 30, 2017 and September 30, 2016. The MD&amp;A should be read together with our condensed consolidated financial statements and related notes included in Item 1 in this Quarterly Report on Form 10-Q and our audited consolidated financial statements and related notes included in our Transition Report on Form 10-K for the transition period ended December 31, 2016, filed March 20, 2017 (“2016 Transition Report”). Unless otherwise specified or the context otherwise requires, “Mistras,” “the Company,” “we,” “us” and “our” refer to Mistras Group, Inc. and its consolidated subsidiaries. The MD&amp;A includes disclosure in the following areas:</w:t>
      </w:r>
    </w:p>
    <w:p>
      <w:pPr>
        <w:spacing w:after="0" w:line="205" w:lineRule="exact"/>
        <w:rPr>
          <w:sz w:val="20"/>
          <w:szCs w:val="20"/>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Overview</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2016 Transition Report as well as those discussed in this Quarterly Report on Form 10-Q and in our other filings with the Securities and Exchange Commission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offer our customers “one source for asset protection solutions”®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Destructive Testing (DT), mechanical and predictive maintenance (PdM) services, process and fixed asset engineering and consulting services, proprietary data analysis and our world class enterprise inspection database</w:t>
      </w:r>
    </w:p>
    <w:p>
      <w:pPr>
        <w:sectPr>
          <w:pgSz w:w="11900" w:h="16838" w:orient="portrait"/>
          <w:cols w:equalWidth="0" w:num="1">
            <w:col w:w="11400"/>
          </w:cols>
          <w:pgMar w:left="240" w:top="121" w:right="25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121" w:right="25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management and analysis software, 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operations consist of three reportable segments: Services, International and Products and Systems.</w:t>
      </w:r>
    </w:p>
    <w:p>
      <w:pPr>
        <w:spacing w:after="0" w:line="171" w:lineRule="exact"/>
        <w:rPr>
          <w:sz w:val="20"/>
          <w:szCs w:val="20"/>
          <w:color w:val="auto"/>
        </w:rPr>
      </w:pPr>
    </w:p>
    <w:p>
      <w:pPr>
        <w:ind w:left="740" w:hanging="246"/>
        <w:spacing w:after="0" w:line="264" w:lineRule="auto"/>
        <w:tabs>
          <w:tab w:leader="none" w:pos="7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NDT, inspection, mechanical and engineering services that are used to evaluate the structural integrity and reliability of critical energy, industrial and public infrastructure.</w:t>
      </w:r>
    </w:p>
    <w:p>
      <w:pPr>
        <w:spacing w:after="0" w:line="181" w:lineRule="exact"/>
        <w:rPr>
          <w:rFonts w:ascii="Arial" w:cs="Arial" w:eastAsia="Arial" w:hAnsi="Arial"/>
          <w:sz w:val="18"/>
          <w:szCs w:val="18"/>
          <w:i w:val="1"/>
          <w:iCs w:val="1"/>
          <w:color w:val="auto"/>
        </w:rPr>
      </w:pPr>
    </w:p>
    <w:p>
      <w:pPr>
        <w:ind w:left="740" w:right="20" w:hanging="246"/>
        <w:spacing w:after="0" w:line="342" w:lineRule="auto"/>
        <w:tabs>
          <w:tab w:leader="none" w:pos="74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offers services, products and systems similar to those of the other segments to global markets, principally in Europe, the Middle East,</w:t>
      </w:r>
      <w:r>
        <w:rPr>
          <w:rFonts w:ascii="Arial" w:cs="Arial" w:eastAsia="Arial" w:hAnsi="Arial"/>
          <w:sz w:val="16"/>
          <w:szCs w:val="16"/>
          <w:i w:val="1"/>
          <w:iCs w:val="1"/>
          <w:color w:val="auto"/>
        </w:rPr>
        <w:t xml:space="preserve"> </w:t>
      </w:r>
      <w:r>
        <w:rPr>
          <w:rFonts w:ascii="Arial" w:cs="Arial" w:eastAsia="Arial" w:hAnsi="Arial"/>
          <w:sz w:val="16"/>
          <w:szCs w:val="16"/>
          <w:color w:val="auto"/>
        </w:rPr>
        <w:t>Africa, Asia and South America, but not to customers in China and South Korea, which are served by the Products and Systems segment.</w:t>
      </w:r>
    </w:p>
    <w:p>
      <w:pPr>
        <w:spacing w:after="0" w:line="123" w:lineRule="exact"/>
        <w:rPr>
          <w:rFonts w:ascii="Arial" w:cs="Arial" w:eastAsia="Arial" w:hAnsi="Arial"/>
          <w:sz w:val="16"/>
          <w:szCs w:val="16"/>
          <w:i w:val="1"/>
          <w:iCs w:val="1"/>
          <w:color w:val="auto"/>
        </w:rPr>
      </w:pPr>
    </w:p>
    <w:p>
      <w:pPr>
        <w:ind w:left="740" w:hanging="246"/>
        <w:spacing w:after="0" w:line="277" w:lineRule="auto"/>
        <w:tabs>
          <w:tab w:leader="none" w:pos="7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instrumentation, predominantly in the United States.</w:t>
      </w:r>
    </w:p>
    <w:p>
      <w:pPr>
        <w:spacing w:after="0" w:line="170"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Given the role our solutions play in ensuring the safe and efficient operation of infrastructure, we provide a majority of our services to our customers on a regular, recurring basis. We serve a global customer base of companies with asset-intensive infrastructure, including companies in the oil and gas (downstream, midstream, upstream and petrochemical), power generation (natural gas, fossil, nuclear, alternative, renewable, and transmission and distribution), public infrastructure, chemicals, commercial aerospace and defense, transportation, primary metals and metalworking, pharmaceutical/biotechnology and food processing industries and research and engineering institutions. We have established long-term relationships as a critical solutions provider to many of the leading companies in our target markets.</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focused on introducing our advanced asset protection solutions to our customers using proprietary, technology-enabled software and testing instruments, including those developed by our Products and Systems segment. We have made a number of acquisitions in an effort to grow our base of experienced, certified personnel, expand our service lines and technical capabilities, increase our geographical reach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that we believe will enhance our advantages over our competition.</w:t>
      </w:r>
    </w:p>
    <w:p>
      <w:pPr>
        <w:spacing w:after="0" w:line="178"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Demand for outsourced asset protection solutions has generally increased over the last ten years, creating demand from which our entire industry has benefited. We believe continued growth can be realized in all of our target markets. For most of 2017, current market conditions have been soft, driven by lower oil prices which have caused many of the Company’s customers to curtail spending for our services and products. However, during the fall of 2017, market conditions turned modestly positive and we believe this will continue for the remainder of 2017 and through the spring of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results of operations for the three and nine months ended September 30, 2017 and September 30, 2016 were as follows:</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1" w:right="29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right"/>
        <w:ind w:right="1100"/>
        <w:spacing w:after="0"/>
        <w:tabs>
          <w:tab w:leader="none" w:pos="118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23495</wp:posOffset>
            </wp:positionV>
            <wp:extent cx="44335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3357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23" w:lineRule="exact"/>
        <w:rPr>
          <w:sz w:val="20"/>
          <w:szCs w:val="20"/>
          <w:color w:val="auto"/>
        </w:rPr>
      </w:pPr>
    </w:p>
    <w:p>
      <w:pPr>
        <w:ind w:left="4680"/>
        <w:spacing w:after="0"/>
        <w:tabs>
          <w:tab w:leader="none" w:pos="6440" w:val="left"/>
        </w:tabs>
        <w:rPr>
          <w:sz w:val="20"/>
          <w:szCs w:val="20"/>
          <w:color w:val="auto"/>
        </w:rPr>
      </w:pPr>
      <w:r>
        <w:rPr>
          <w:rFonts w:ascii="Arial" w:cs="Arial" w:eastAsia="Arial" w:hAnsi="Arial"/>
          <w:sz w:val="14"/>
          <w:szCs w:val="14"/>
          <w:b w:val="1"/>
          <w:bCs w:val="1"/>
          <w:color w:val="auto"/>
        </w:rPr>
        <w:t>September 30, 2017</w:t>
      </w:r>
      <w:r>
        <w:rPr>
          <w:sz w:val="20"/>
          <w:szCs w:val="20"/>
          <w:color w:val="auto"/>
        </w:rPr>
        <w:tab/>
      </w:r>
      <w:r>
        <w:rPr>
          <w:rFonts w:ascii="Arial" w:cs="Arial" w:eastAsia="Arial" w:hAnsi="Arial"/>
          <w:sz w:val="12"/>
          <w:szCs w:val="12"/>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23495</wp:posOffset>
            </wp:positionV>
            <wp:extent cx="21869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89" w:lineRule="exact"/>
        <w:rPr>
          <w:sz w:val="20"/>
          <w:szCs w:val="20"/>
          <w:color w:val="auto"/>
        </w:rPr>
      </w:pPr>
    </w:p>
    <w:p>
      <w:pPr>
        <w:ind w:left="568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b w:val="1"/>
          <w:bCs w:val="1"/>
          <w:color w:val="auto"/>
        </w:rPr>
        <w:t>September 30, 2017</w:t>
      </w:r>
      <w:r>
        <w:rPr>
          <w:sz w:val="20"/>
          <w:szCs w:val="20"/>
          <w:color w:val="auto"/>
        </w:rPr>
        <w:tab/>
      </w:r>
      <w:r>
        <w:rPr>
          <w:rFonts w:ascii="Arial" w:cs="Arial" w:eastAsia="Arial" w:hAnsi="Arial"/>
          <w:sz w:val="12"/>
          <w:szCs w:val="12"/>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23495</wp:posOffset>
            </wp:positionV>
            <wp:extent cx="21780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8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 in thousands)</w:t>
      </w:r>
    </w:p>
    <w:p>
      <w:pPr>
        <w:spacing w:after="0" w:line="45" w:lineRule="exact"/>
        <w:rPr>
          <w:sz w:val="20"/>
          <w:szCs w:val="20"/>
          <w:color w:val="auto"/>
        </w:rPr>
      </w:pPr>
    </w:p>
    <w:p>
      <w:pPr>
        <w:sectPr>
          <w:pgSz w:w="11900" w:h="16838" w:orient="portrait"/>
          <w:cols w:equalWidth="0" w:num="2">
            <w:col w:w="7660" w:space="560"/>
            <w:col w:w="320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179,570</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168,811</w:t>
            </w:r>
          </w:p>
        </w:tc>
        <w:tc>
          <w:tcPr>
            <w:tcW w:w="100" w:type="dxa"/>
            <w:vAlign w:val="bottom"/>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513,326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514,606</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48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47,897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50,651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137,392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146,156</w:t>
            </w:r>
          </w:p>
        </w:tc>
      </w:tr>
      <w:tr>
        <w:trPr>
          <w:trHeight w:val="27"/>
        </w:trPr>
        <w:tc>
          <w:tcPr>
            <w:tcW w:w="4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Gross profit as a % of Revenue</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58,272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38,535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139,515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123,555</w:t>
            </w:r>
          </w:p>
        </w:tc>
      </w:tr>
      <w:tr>
        <w:trPr>
          <w:trHeight w:val="27"/>
        </w:trPr>
        <w:tc>
          <w:tcPr>
            <w:tcW w:w="4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Operating expenses as a % of Revenue</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4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(10,375)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12,116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22,601</w:t>
            </w:r>
          </w:p>
        </w:tc>
      </w:tr>
      <w:tr>
        <w:trPr>
          <w:trHeight w:val="27"/>
        </w:trPr>
        <w:tc>
          <w:tcPr>
            <w:tcW w:w="4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Income (loss) from Operations as a % of Revenue</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3,114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2,218</w:t>
            </w:r>
          </w:p>
        </w:tc>
      </w:tr>
      <w:tr>
        <w:trPr>
          <w:trHeight w:val="27"/>
        </w:trPr>
        <w:tc>
          <w:tcPr>
            <w:tcW w:w="44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Income (loss) before (benefit) provision for 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(11,456)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11,338</w:t>
            </w:r>
          </w:p>
        </w:tc>
        <w:tc>
          <w:tcPr>
            <w:tcW w:w="10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20,383</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4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(4,503)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4,083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(2,199)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6,908</w:t>
            </w:r>
          </w:p>
        </w:tc>
      </w:tr>
      <w:tr>
        <w:trPr>
          <w:trHeight w:val="27"/>
        </w:trPr>
        <w:tc>
          <w:tcPr>
            <w:tcW w:w="44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(6,953)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7,255</w:t>
            </w:r>
          </w:p>
        </w:tc>
        <w:tc>
          <w:tcPr>
            <w:tcW w:w="10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(3,038)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13,475</w:t>
            </w:r>
          </w:p>
        </w:tc>
      </w:tr>
      <w:tr>
        <w:trPr>
          <w:trHeight w:val="229"/>
        </w:trPr>
        <w:tc>
          <w:tcPr>
            <w:tcW w:w="4440" w:type="dxa"/>
            <w:vAlign w:val="bottom"/>
          </w:tcPr>
          <w:p>
            <w:pPr>
              <w:ind w:left="180"/>
              <w:spacing w:after="0"/>
              <w:rPr>
                <w:sz w:val="20"/>
                <w:szCs w:val="20"/>
                <w:color w:val="auto"/>
              </w:rPr>
            </w:pPr>
            <w:r>
              <w:rPr>
                <w:rFonts w:ascii="Arial" w:cs="Arial" w:eastAsia="Arial" w:hAnsi="Arial"/>
                <w:sz w:val="18"/>
                <w:szCs w:val="18"/>
                <w:color w:val="auto"/>
                <w:w w:val="93"/>
              </w:rPr>
              <w:t>Less: net income attributable to non-controlling interests,</w:t>
            </w: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net of taxes</w:t>
            </w:r>
          </w:p>
        </w:tc>
        <w:tc>
          <w:tcPr>
            <w:tcW w:w="48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4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4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Net income (loss) attributable to Mistras Group, Inc.</w:t>
            </w: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(6,968)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7,238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(3,059)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13,446</w:t>
            </w:r>
          </w:p>
        </w:tc>
      </w:tr>
      <w:tr>
        <w:trPr>
          <w:trHeight w:val="20"/>
        </w:trPr>
        <w:tc>
          <w:tcPr>
            <w:tcW w:w="4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this MD&amp;A under the heading "Income (loss) from Operations", the non-GAAP financial performance measure "Income (Loss) before special items” is used for each of our three segments, the Corporate segment and the "Total Company", with tables reconciling the measure to a financial measure under GAAP. This non-GAAP measure excludes from the GAAP measure "Income (Loss) from Operations" (a) transaction expenses related to acquisitions, such as professional fees and due diligence costs, (b) the net changes in the fair value of acquisition-related contingent consideration liabilities and (c) special items. These items have been excluded from the GAAP measure because these expenses and credits are not related to the Company’s or Segment’s core business operations. The acquisition related costs and special items can be a net expense or credit in any given period.</w:t>
      </w:r>
    </w:p>
    <w:p>
      <w:pPr>
        <w:spacing w:after="0" w:line="17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believe investors and other users of our financial statements benefit from the presentation of "Income (loss) before special items" in evaluating our performance. Income (loss) before special items provides an additional tool to compare our core business operating performance on a consistent basis and measure underlying trends and results in our business. Income (loss) before special items is not used to determine incentive compensation for executives or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Revenues for the three months ended September 30, 2017 were $179.6 million, an increase of $10.8 million, or 6%, compared with the three months ended September 30, 2016. Revenues for the nine months ended September 30, 2017 were $513.3 million, a decrease of $1.3 million, or less than 1%, compared with the nine months ended September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three and nine months ended September 30, 2017 and September 30, 2016 were as follows:</w:t>
      </w:r>
    </w:p>
    <w:p>
      <w:pPr>
        <w:spacing w:after="0" w:line="200" w:lineRule="exact"/>
        <w:rPr>
          <w:sz w:val="20"/>
          <w:szCs w:val="20"/>
          <w:color w:val="auto"/>
        </w:rPr>
      </w:pPr>
    </w:p>
    <w:p>
      <w:pPr>
        <w:spacing w:after="0" w:line="246" w:lineRule="exact"/>
        <w:rPr>
          <w:sz w:val="20"/>
          <w:szCs w:val="20"/>
          <w:color w:val="auto"/>
        </w:rPr>
      </w:pPr>
    </w:p>
    <w:p>
      <w:pPr>
        <w:ind w:left="5740"/>
        <w:spacing w:after="0"/>
        <w:tabs>
          <w:tab w:leader="none" w:pos="918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123" w:lineRule="exact"/>
        <w:rPr>
          <w:sz w:val="20"/>
          <w:szCs w:val="20"/>
          <w:color w:val="auto"/>
        </w:rPr>
      </w:pPr>
    </w:p>
    <w:p>
      <w:pPr>
        <w:ind w:left="4900"/>
        <w:spacing w:after="0"/>
        <w:tabs>
          <w:tab w:leader="none" w:pos="6600" w:val="left"/>
        </w:tabs>
        <w:rPr>
          <w:sz w:val="20"/>
          <w:szCs w:val="20"/>
          <w:color w:val="auto"/>
        </w:rPr>
      </w:pPr>
      <w:r>
        <w:rPr>
          <w:rFonts w:ascii="Arial" w:cs="Arial" w:eastAsia="Arial" w:hAnsi="Arial"/>
          <w:sz w:val="14"/>
          <w:szCs w:val="14"/>
          <w:b w:val="1"/>
          <w:bCs w:val="1"/>
          <w:color w:val="auto"/>
        </w:rPr>
        <w:t>September 30, 2017</w:t>
      </w:r>
      <w:r>
        <w:rPr>
          <w:sz w:val="20"/>
          <w:szCs w:val="20"/>
          <w:color w:val="auto"/>
        </w:rPr>
        <w:tab/>
      </w:r>
      <w:r>
        <w:rPr>
          <w:rFonts w:ascii="Arial" w:cs="Arial" w:eastAsia="Arial" w:hAnsi="Arial"/>
          <w:sz w:val="12"/>
          <w:szCs w:val="12"/>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2109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89" w:lineRule="exact"/>
        <w:rPr>
          <w:sz w:val="20"/>
          <w:szCs w:val="20"/>
          <w:color w:val="auto"/>
        </w:rPr>
      </w:pPr>
    </w:p>
    <w:p>
      <w:pPr>
        <w:ind w:left="588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b w:val="1"/>
          <w:bCs w:val="1"/>
          <w:color w:val="auto"/>
        </w:rPr>
        <w:t>September 30, 2017</w:t>
      </w:r>
      <w:r>
        <w:rPr>
          <w:sz w:val="20"/>
          <w:szCs w:val="20"/>
          <w:color w:val="auto"/>
        </w:rPr>
        <w:tab/>
      </w:r>
      <w:r>
        <w:rPr>
          <w:rFonts w:ascii="Arial" w:cs="Arial" w:eastAsia="Arial" w:hAnsi="Arial"/>
          <w:sz w:val="12"/>
          <w:szCs w:val="12"/>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23495</wp:posOffset>
            </wp:positionV>
            <wp:extent cx="2092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9"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 in thousands)</w:t>
      </w:r>
    </w:p>
    <w:p>
      <w:pPr>
        <w:spacing w:after="0" w:line="46" w:lineRule="exact"/>
        <w:rPr>
          <w:sz w:val="20"/>
          <w:szCs w:val="20"/>
          <w:color w:val="auto"/>
        </w:rPr>
      </w:pPr>
    </w:p>
    <w:p>
      <w:pPr>
        <w:sectPr>
          <w:pgSz w:w="11900" w:h="16838" w:orient="portrait"/>
          <w:cols w:equalWidth="0" w:num="2">
            <w:col w:w="7820" w:space="500"/>
            <w:col w:w="310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Revenues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137,194</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127,153</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397,565</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395,089</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105,275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6,807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16,925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19,955</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(5,713)</w:t>
            </w:r>
          </w:p>
        </w:tc>
      </w:tr>
      <w:tr>
        <w:trPr>
          <w:trHeight w:val="237"/>
        </w:trPr>
        <w:tc>
          <w:tcPr>
            <w:tcW w:w="47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179,570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168,811</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513,326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514,606</w:t>
            </w:r>
          </w:p>
        </w:tc>
      </w:tr>
      <w:tr>
        <w:trPr>
          <w:trHeight w:val="27"/>
        </w:trPr>
        <w:tc>
          <w:tcPr>
            <w:tcW w:w="4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the three months ended September 30, 2017, Services segment revenues increased 8% due to a combination of acquisition growth and low single digit favorable impacts of foreign exchange rates and organic growth. The organic growth was achieved despite the negative impact of the 2017 hurricanes and continued weakness in a challenged region that includes a fairly large customer contract. International segment revenues increased 1%, driven by low single digit favorable impacts of foreign exchange rates, offset by a low single digit organic decline. Products and Systems segment revenues decreased by 8% driven by lower sales volume.</w:t>
      </w:r>
    </w:p>
    <w:p>
      <w:pPr>
        <w:spacing w:after="0" w:line="18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Oil and gas customer revenues comprised approximately 54% and 56% of total Company revenues for the three months ended September 30, 2017 and 2016, respectively. The Company’s top ten customers comprised approximately 36% of total revenues for the three months ended September 30, 2017, as compared to 38% for the three months ended September 30, 2016. One customer, BP plc., accounted for approximately 10% and 14% of total revenues, respectively, for the three months ended September 30, 2017 and three months ended September 30,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25"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In the nine months ended September 30, 2017, Services segment revenues increased 1%, as acquisition growth slightly offset a low single digit organic decline. International segment revenues increased 1%, as low single digit organic growth slightly offset a low single digit unfavorable impact of foreign exchange rates. Products segment revenues decreased 15% due to lower sales volume.</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Oil and gas revenues comprised approximately 58% and 57% of total Company revenues for the nine month periods ended September 30, 2017 and September 30, 2016, respectively. The Company’s top ten customers comprised approximately 38% of total revenues for both the nine month periods ended September 30, 2017 and September 30, 2016. One customer, BP plc., accounted for approximately 11% of our total revenues for the nine months ended September 30, 2017 and 12% for the nine months ended September 30,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Gross profit decreased by $2.8 million, or 5%, in the three months ended September 30, 2017, despite a sales increase of 6%. During the nine month period ended September 30, 2017, gross profit had a year-on-year decrease of $8.8 million, or 6%, on a sales decline of less than 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and nine months ended September 30, 2017 and September 30, 2016 was as follows:</w:t>
      </w:r>
    </w:p>
    <w:p>
      <w:pPr>
        <w:spacing w:after="0" w:line="200" w:lineRule="exact"/>
        <w:rPr>
          <w:sz w:val="20"/>
          <w:szCs w:val="20"/>
          <w:color w:val="auto"/>
        </w:rPr>
      </w:pPr>
    </w:p>
    <w:p>
      <w:pPr>
        <w:spacing w:after="0" w:line="246" w:lineRule="exact"/>
        <w:rPr>
          <w:sz w:val="20"/>
          <w:szCs w:val="20"/>
          <w:color w:val="auto"/>
        </w:rPr>
      </w:pPr>
    </w:p>
    <w:p>
      <w:pPr>
        <w:ind w:left="5600"/>
        <w:spacing w:after="0"/>
        <w:tabs>
          <w:tab w:leader="none" w:pos="912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23495</wp:posOffset>
            </wp:positionV>
            <wp:extent cx="43910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9102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23" w:lineRule="exact"/>
        <w:rPr>
          <w:sz w:val="20"/>
          <w:szCs w:val="20"/>
          <w:color w:val="auto"/>
        </w:rPr>
      </w:pPr>
    </w:p>
    <w:p>
      <w:pPr>
        <w:ind w:left="4720"/>
        <w:spacing w:after="0"/>
        <w:tabs>
          <w:tab w:leader="none" w:pos="6460" w:val="left"/>
        </w:tabs>
        <w:rPr>
          <w:sz w:val="20"/>
          <w:szCs w:val="20"/>
          <w:color w:val="auto"/>
        </w:rPr>
      </w:pPr>
      <w:r>
        <w:rPr>
          <w:rFonts w:ascii="Arial" w:cs="Arial" w:eastAsia="Arial" w:hAnsi="Arial"/>
          <w:sz w:val="14"/>
          <w:szCs w:val="14"/>
          <w:b w:val="1"/>
          <w:bCs w:val="1"/>
          <w:color w:val="auto"/>
        </w:rPr>
        <w:t>September 30, 2017</w:t>
      </w:r>
      <w:r>
        <w:rPr>
          <w:sz w:val="20"/>
          <w:szCs w:val="20"/>
          <w:color w:val="auto"/>
        </w:rPr>
        <w:tab/>
      </w:r>
      <w:r>
        <w:rPr>
          <w:rFonts w:ascii="Arial" w:cs="Arial" w:eastAsia="Arial" w:hAnsi="Arial"/>
          <w:sz w:val="12"/>
          <w:szCs w:val="12"/>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23495</wp:posOffset>
            </wp:positionV>
            <wp:extent cx="21609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89"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b w:val="1"/>
          <w:bCs w:val="1"/>
          <w:color w:val="auto"/>
        </w:rPr>
        <w:t>September 30, 2017</w:t>
      </w:r>
      <w:r>
        <w:rPr>
          <w:sz w:val="20"/>
          <w:szCs w:val="20"/>
          <w:color w:val="auto"/>
        </w:rPr>
        <w:tab/>
      </w:r>
      <w:r>
        <w:rPr>
          <w:rFonts w:ascii="Arial" w:cs="Arial" w:eastAsia="Arial" w:hAnsi="Arial"/>
          <w:sz w:val="12"/>
          <w:szCs w:val="12"/>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23495</wp:posOffset>
            </wp:positionV>
            <wp:extent cx="21609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8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 in thousands)</w:t>
      </w:r>
    </w:p>
    <w:p>
      <w:pPr>
        <w:spacing w:after="0" w:line="46" w:lineRule="exact"/>
        <w:rPr>
          <w:sz w:val="20"/>
          <w:szCs w:val="20"/>
          <w:color w:val="auto"/>
        </w:rPr>
      </w:pPr>
    </w:p>
    <w:p>
      <w:pPr>
        <w:sectPr>
          <w:pgSz w:w="11900" w:h="16838" w:orient="portrait"/>
          <w:cols w:equalWidth="0" w:num="2">
            <w:col w:w="7680" w:space="560"/>
            <w:col w:w="318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Gross profit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34,729</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33,704</w:t>
            </w:r>
          </w:p>
        </w:tc>
        <w:tc>
          <w:tcPr>
            <w:tcW w:w="12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100,432</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102,652</w:t>
            </w:r>
          </w:p>
        </w:tc>
      </w:tr>
      <w:tr>
        <w:trPr>
          <w:trHeight w:val="27"/>
        </w:trPr>
        <w:tc>
          <w:tcPr>
            <w:tcW w:w="4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54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10,432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13,133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29,720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33,673</w:t>
            </w:r>
          </w:p>
        </w:tc>
      </w:tr>
      <w:tr>
        <w:trPr>
          <w:trHeight w:val="27"/>
        </w:trPr>
        <w:tc>
          <w:tcPr>
            <w:tcW w:w="4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54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3,686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7,313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9,475</w:t>
            </w:r>
          </w:p>
        </w:tc>
      </w:tr>
      <w:tr>
        <w:trPr>
          <w:trHeight w:val="27"/>
        </w:trPr>
        <w:tc>
          <w:tcPr>
            <w:tcW w:w="4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segment revenue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5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356</w:t>
            </w:r>
          </w:p>
        </w:tc>
      </w:tr>
      <w:tr>
        <w:trPr>
          <w:trHeight w:val="27"/>
        </w:trPr>
        <w:tc>
          <w:tcPr>
            <w:tcW w:w="45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5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47,897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50,651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137,392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146,156</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500" w:type="dxa"/>
            <w:vAlign w:val="bottom"/>
          </w:tcPr>
          <w:p>
            <w:pPr>
              <w:ind w:left="300"/>
              <w:spacing w:after="0"/>
              <w:rPr>
                <w:sz w:val="20"/>
                <w:szCs w:val="20"/>
                <w:color w:val="auto"/>
              </w:rPr>
            </w:pPr>
            <w:r>
              <w:rPr>
                <w:rFonts w:ascii="Arial" w:cs="Arial" w:eastAsia="Arial" w:hAnsi="Arial"/>
                <w:sz w:val="18"/>
                <w:szCs w:val="18"/>
                <w:i w:val="1"/>
                <w:iCs w:val="1"/>
                <w:color w:val="auto"/>
              </w:rPr>
              <w:t>% of total revenue</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26.7%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Gross profit margin was 26.7% and 30.0% for the three month periods ended September 30, 2017 and 2016, respectively. Services segment gross profit margins had a year-on-year decline of 120 basis points to 25.3% in the three months ended September 30, 2017, driven primarily by an adverse impact from the 2017 summer hurricanes, which reduced revenues by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more than $1 million while labor costs were largely unchanged, as the Company chose to pay its technicians who were unable to work due to these events. International segment gross margins had a year-on-year decline of 730 basis points to 27.3% in the three months ended September 30, 2017. This decline was primarily driven by lower revenues in the Company's German subsidiary, as well as poor margins on a large contract and lower utilization of technical labor in the UK. Products and Systems segment gross margin declined by 1030 basis points for the three months ended September 30, 2017 to 43.9%, driven by lower sales volumes.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Gross profit margin was 26.8% and 28.4% for the nine months ended September 30, 2017 and 2016, respectively. Services segment gross profit margins declined by 70 basis points to 25.3% in the nine months ended September 30, 2017, driven primarily by the aforementioned 2017 hurricane impact and also by a weak spring 2017 turnaround season which adversely impacted utilization of technicians. International segment gross margins declined by 410 basis points to 27.9% in the nine months ended September 30, 2017, driven primarily by lower revenues in the Company’s German subsidiary, as well poor margins on a large contract and lower utilization of technical labor in the UK. Products and Systems segment gross margin decreased by 430 basis points to 43.2% for the nine months ended September 30, 2017, driven by lower sales volumes.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21" w:right="29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shows a reconciliation of the income (loss) from operations to income (loss) before special items for each of the Company's three segments and for the Company in total:</w:t>
      </w:r>
    </w:p>
    <w:p>
      <w:pPr>
        <w:spacing w:after="0" w:line="392" w:lineRule="exact"/>
        <w:rPr>
          <w:sz w:val="20"/>
          <w:szCs w:val="20"/>
          <w:color w:val="auto"/>
        </w:rPr>
      </w:pPr>
    </w:p>
    <w:p>
      <w:pPr>
        <w:ind w:left="5740"/>
        <w:spacing w:after="0"/>
        <w:tabs>
          <w:tab w:leader="none" w:pos="918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23" w:lineRule="exact"/>
        <w:rPr>
          <w:sz w:val="20"/>
          <w:szCs w:val="20"/>
          <w:color w:val="auto"/>
        </w:rPr>
      </w:pPr>
    </w:p>
    <w:p>
      <w:pPr>
        <w:ind w:left="4900"/>
        <w:spacing w:after="0"/>
        <w:tabs>
          <w:tab w:leader="none" w:pos="6600" w:val="left"/>
        </w:tabs>
        <w:rPr>
          <w:sz w:val="20"/>
          <w:szCs w:val="20"/>
          <w:color w:val="auto"/>
        </w:rPr>
      </w:pPr>
      <w:r>
        <w:rPr>
          <w:rFonts w:ascii="Arial" w:cs="Arial" w:eastAsia="Arial" w:hAnsi="Arial"/>
          <w:sz w:val="14"/>
          <w:szCs w:val="14"/>
          <w:b w:val="1"/>
          <w:bCs w:val="1"/>
          <w:color w:val="auto"/>
        </w:rPr>
        <w:t>September 30, 2017</w:t>
      </w:r>
      <w:r>
        <w:rPr>
          <w:sz w:val="20"/>
          <w:szCs w:val="20"/>
          <w:color w:val="auto"/>
        </w:rPr>
        <w:tab/>
      </w:r>
      <w:r>
        <w:rPr>
          <w:rFonts w:ascii="Arial" w:cs="Arial" w:eastAsia="Arial" w:hAnsi="Arial"/>
          <w:sz w:val="12"/>
          <w:szCs w:val="12"/>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2109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89" w:lineRule="exact"/>
        <w:rPr>
          <w:sz w:val="20"/>
          <w:szCs w:val="20"/>
          <w:color w:val="auto"/>
        </w:rPr>
      </w:pPr>
    </w:p>
    <w:p>
      <w:pPr>
        <w:ind w:left="588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b w:val="1"/>
          <w:bCs w:val="1"/>
          <w:color w:val="auto"/>
        </w:rPr>
        <w:t>September 30, 2017</w:t>
      </w:r>
      <w:r>
        <w:rPr>
          <w:sz w:val="20"/>
          <w:szCs w:val="20"/>
          <w:color w:val="auto"/>
        </w:rPr>
        <w:tab/>
      </w:r>
      <w:r>
        <w:rPr>
          <w:rFonts w:ascii="Arial" w:cs="Arial" w:eastAsia="Arial" w:hAnsi="Arial"/>
          <w:sz w:val="12"/>
          <w:szCs w:val="12"/>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23495</wp:posOffset>
            </wp:positionV>
            <wp:extent cx="2092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9"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 in thousands)</w:t>
      </w:r>
    </w:p>
    <w:p>
      <w:pPr>
        <w:spacing w:after="0" w:line="46" w:lineRule="exact"/>
        <w:rPr>
          <w:sz w:val="20"/>
          <w:szCs w:val="20"/>
          <w:color w:val="auto"/>
        </w:rPr>
      </w:pPr>
    </w:p>
    <w:p>
      <w:pPr>
        <w:sectPr>
          <w:pgSz w:w="11900" w:h="16838" w:orient="portrait"/>
          <w:cols w:equalWidth="0" w:num="2">
            <w:col w:w="7820" w:space="500"/>
            <w:col w:w="310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Services: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11,699</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12,221</w:t>
            </w:r>
          </w:p>
        </w:tc>
        <w:tc>
          <w:tcPr>
            <w:tcW w:w="6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31,211</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30,932</w:t>
            </w: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charges</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Bad debt provision for a customer bankruptcy</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costs</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Asset write-offs and lease terminations</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Income before special items</w:t>
            </w: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11,736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12,609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32,979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37,172</w:t>
            </w: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International:</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5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3,866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8,925</w:t>
            </w: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costs</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47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special items</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Products and Systems:</w:t>
            </w: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operations</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5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15,810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15,810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costs</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special items</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Corporate and Eliminations:</w:t>
            </w: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Litigation charges</w:t>
            </w:r>
          </w:p>
        </w:tc>
        <w:tc>
          <w:tcPr>
            <w:tcW w:w="5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costs</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47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special items</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Company</w:t>
            </w: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operations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12,116</w:t>
            </w:r>
          </w:p>
        </w:tc>
        <w:tc>
          <w:tcPr>
            <w:tcW w:w="6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22,601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Litigation charges</w:t>
            </w:r>
          </w:p>
        </w:tc>
        <w:tc>
          <w:tcPr>
            <w:tcW w:w="5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6,320</w:t>
            </w: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Bad debt provision for a customer bankruptcy</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costs</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Asset write-offs and lease terminations</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5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Income before special items</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6,929</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12,765</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16,569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29,814</w:t>
            </w:r>
          </w:p>
        </w:tc>
      </w:tr>
      <w:tr>
        <w:trPr>
          <w:trHeight w:val="20"/>
        </w:trPr>
        <w:tc>
          <w:tcPr>
            <w:tcW w:w="4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three months ended September 30, 2017, income from operations (GAAP) decreased $22.5 million, or 186%, compared with the three months ended September 30, 2016, while income before special items (non-GAAP) decreased $5.8 million, or</w:t>
      </w:r>
    </w:p>
    <w:p>
      <w:pPr>
        <w:sectPr>
          <w:pgSz w:w="11900" w:h="16838" w:orient="portrait"/>
          <w:cols w:equalWidth="0" w:num="1">
            <w:col w:w="11420"/>
          </w:cols>
          <w:pgMar w:left="240" w:top="121" w:right="239" w:bottom="1440" w:gutter="0" w:footer="0" w:header="0"/>
          <w:type w:val="continuous"/>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46%. As a percentage of revenues, income before special items declined by 370 basis points to 3.9% in the three months ended September 30, 2017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7.6% in the three months ended September 30, 2016.</w:t>
      </w:r>
    </w:p>
    <w:p>
      <w:pPr>
        <w:spacing w:after="0" w:line="2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Operating expenses increased $19.7 million during the three months ended September 30, 2017, driven primarily by the $15.8 million impairment charges, after completion of the analysis described above, for the Products and Systems segment, during the three months ended September 30, 2017 (See Notes 7 and 8). In addition, there was a $1.1 million increase in foreign currency transactional expenses, $1.2 million of additional operating expenses pertaining to Services segment acquisitions and $0.7 in Corporate segment expenses, primarily professional fees.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For the nine months ended September 30, 2017, income from operations (GAAP) decreased $24.7 million, or 109% compared with the prior year, and income before special items (non-GAAP) decreased $13.2 million, or 44%. As a percentage of revenues, income before special items decreased by 260 basis points to 3.2% in the nine months ended September 30, 2017, as compared to 5.8% in the nine months ended September 30, 2016.</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Operating expenses increased $16.0 million during the nine months ended September 30, 2017, driven primarily by the $15.8 million impairment charges in the Products and Systems segment. In addition, there was a $2.0 million increase in foreign currency transaction expenses for the Company, $2.3 million of additional operating expenses pertaining to Services segment acquisitions and $0.8 million of Corporate segment expenses, primarily professional fees. These increases were primarily offset by a $5.1 million decrease in litigation expenses for the respective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Interest expense was approximately $1.1 million and $0.8 million for the three months ended September 30, 2017 and 2016, respectively, and $3.1 million and $2.2 million for the nine months ended September 30, 2017 and 2016. The increases were due to increased borrowings on the Company's revolving line of credit.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effective income tax rate was approximately 39% and 36% for the three months ended September 30, 2017 and 2016, respectively. The Company's effective tax rate was approximately 42% and 34% for the nine months ended September 30, 2017 and 2016, respectively. The increase in the income tax rate for these respective periods was due to a discrete item related to the impairment of goodwill and intangible assets in the Products and Systems reporting unit. Excluding this item, the effective income tax rate would have been 35% and 36%, respectively, for the three and nine months ended September 30, 2017.</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flows are summarized in the table below:</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September 30, 2016</w:t>
            </w:r>
          </w:p>
        </w:tc>
      </w:tr>
      <w:tr>
        <w:trPr>
          <w:trHeight w:val="196"/>
        </w:trPr>
        <w:tc>
          <w:tcPr>
            <w:tcW w:w="8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gridSpan w:val="4"/>
          </w:tcPr>
          <w:p>
            <w:pPr>
              <w:jc w:val="right"/>
              <w:ind w:right="1053"/>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35,226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52,109</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(32,491)</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7,709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6,910</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nine months ended September 30, 2017, cash provided by operating activities was $35.2 million, representing a year-on-year decrease of $16.9 million, or 32%. The decrease was primarily attributable to a lower level of net income, as well as movements in working capital, including the 2017 payment of a $6.3 million legal settlement and the timing of collections.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During the nine months ended September 30, 2017, cash used in investing activities was $22.5 million, compared with a use of cash of $12.5 million in the comparable period of the prior year. The first nine months of 2017 included increased outflows of $7.2 million related to acquisitions and an increase of $3.0 million for capital expenditures, as the Company was in the midst of its build-out in France to service an important new customer contract.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Net cash used in financing activities was $7.1 million for the nine months ended September 30, 2017. The Company borrowed $11.5 million, net, on its Credit Agreement, to help fund the purchase of $15.9 million of treasury stock and towards the funding of $8.4 million for acquisitions. For the comparable period in 2016, net cash used in financing activities was $32.5 million, of which $28.9 million was to reduce the Company's debt and capital lease obligations.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 net increase of $2.1 million in the first nine months of 2017, compared to a $0.2 million decrease for the first nine months of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The terms of our Credit Agreement have not changed from those set forth in Part II, Item 7 of our 2016 Transition Report under the Section “Liquidity and Capital Resources”, under the heading “Cash Balance and Credit Facility Borrowings,” and Note 10 -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these condensed consolidated financial statements in this Quarterly Report, under the heading “Senior Credit Facility.”</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September 30, 2017, we had cash and cash equivalents totaling $26.9 million and available borrowing capacity of $74.9 million under our Credit Agreement with borrowings of $95.1 million and $5.0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September 30, 2017, we were in compliance with the terms of the Credit Agreement, and we will continuously monitor our compliance with the covenants contained in our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significant changes in our contractual obligations and outstanding indebtedness as disclosed in the 2016 Transition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nine months ended September 30, 2017,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2016 Transition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There have been no significant changes to the Company’s quantitative and qualitative disclosures about market risk as discussed in Part II, Item 7A “Quantitative and Qualitative Disclosures About Market Risk,” included in the 2016 Transition Report.</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September 30, 2017,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of the Exchange Act. Based on the evaluation, the Company’s Chief Executive Officer and Chief Financial Officer have concluded that the Company’s disclosure controls and procedures are effective to ensure that information required to be disclosed by the Company in the reports it files or submits under the Exchange Act is recorded, processed, summarized and reported within the time periods specified in SEC rules and forms.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Company’s quarter ended September 30, 2017 that has materially affected, or is reasonably likely to materially affect, such internal control over financial reporting.</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There have been no material developments with regard to any matters disclosed under Part I, Item 3 “Legal Proceedings” in our 2016 Transition Report, except as disclosed in Note 12 (see below).</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See Note 12 -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included in this Quarterly Report for a description of our legal proceedings.</w:t>
      </w:r>
    </w:p>
    <w:p>
      <w:pPr>
        <w:spacing w:after="0" w:line="1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addition to the other information set forth in this Quarterly Report, you should carefully consider the risk factors discussed under the “Risk Factors” section included in our 2016 Transition Report. There have been no material changes to the risk factors previously disclosed in the 2016 Transition Report.</w:t>
      </w:r>
    </w:p>
    <w:p>
      <w:pPr>
        <w:spacing w:after="0" w:line="33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70" w:lineRule="exact"/>
        <w:rPr>
          <w:sz w:val="20"/>
          <w:szCs w:val="20"/>
          <w:color w:val="auto"/>
        </w:rPr>
      </w:pPr>
    </w:p>
    <w:p>
      <w:pPr>
        <w:ind w:left="660" w:right="8800" w:hanging="652"/>
        <w:spacing w:after="0" w:line="501" w:lineRule="auto"/>
        <w:tabs>
          <w:tab w:leader="none" w:pos="267"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660" w:right="6980" w:hanging="652"/>
        <w:spacing w:after="0" w:line="498" w:lineRule="auto"/>
        <w:tabs>
          <w:tab w:leader="none" w:pos="267"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following table sets forth the shares of our common stock we acquired during the quarter pursuant to our publicly announced share repurchase plan and as a result of the surrender of shares by employees to satisfy tax withholding obligations in connection with the vesting of restricted stock units.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5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Total Number of Shares (or</w:t>
            </w:r>
          </w:p>
        </w:tc>
        <w:tc>
          <w:tcPr>
            <w:tcW w:w="220" w:type="dxa"/>
            <w:vAlign w:val="bottom"/>
          </w:tcPr>
          <w:p>
            <w:pPr>
              <w:spacing w:after="0"/>
              <w:rPr>
                <w:sz w:val="14"/>
                <w:szCs w:val="14"/>
                <w:color w:val="auto"/>
              </w:rPr>
            </w:pPr>
          </w:p>
        </w:tc>
        <w:tc>
          <w:tcPr>
            <w:tcW w:w="18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w w:val="98"/>
              </w:rPr>
              <w:t>Average Price Paid per</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2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 Shares</w:t>
            </w:r>
          </w:p>
        </w:tc>
        <w:tc>
          <w:tcPr>
            <w:tcW w:w="0" w:type="dxa"/>
            <w:vAlign w:val="bottom"/>
          </w:tcPr>
          <w:p>
            <w:pPr>
              <w:spacing w:after="0"/>
              <w:rPr>
                <w:sz w:val="1"/>
                <w:szCs w:val="1"/>
                <w:color w:val="auto"/>
              </w:rPr>
            </w:pPr>
          </w:p>
        </w:tc>
      </w:tr>
      <w:tr>
        <w:trPr>
          <w:trHeight w:val="149"/>
        </w:trPr>
        <w:tc>
          <w:tcPr>
            <w:tcW w:w="1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Month Ending</w:t>
            </w:r>
          </w:p>
        </w:tc>
        <w:tc>
          <w:tcPr>
            <w:tcW w:w="2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w:t>
            </w:r>
          </w:p>
        </w:tc>
        <w:tc>
          <w:tcPr>
            <w:tcW w:w="200" w:type="dxa"/>
            <w:vAlign w:val="bottom"/>
          </w:tcPr>
          <w:p>
            <w:pPr>
              <w:spacing w:after="0"/>
              <w:rPr>
                <w:sz w:val="12"/>
                <w:szCs w:val="12"/>
                <w:color w:val="auto"/>
              </w:rPr>
            </w:pPr>
          </w:p>
        </w:tc>
        <w:tc>
          <w:tcPr>
            <w:tcW w:w="22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that May Yet Be Purchased Under</w:t>
            </w:r>
          </w:p>
        </w:tc>
        <w:tc>
          <w:tcPr>
            <w:tcW w:w="0" w:type="dxa"/>
            <w:vAlign w:val="bottom"/>
          </w:tcPr>
          <w:p>
            <w:pPr>
              <w:spacing w:after="0"/>
              <w:rPr>
                <w:sz w:val="1"/>
                <w:szCs w:val="1"/>
                <w:color w:val="auto"/>
              </w:rPr>
            </w:pPr>
          </w:p>
        </w:tc>
      </w:tr>
      <w:tr>
        <w:trPr>
          <w:trHeight w:val="192"/>
        </w:trPr>
        <w:tc>
          <w:tcPr>
            <w:tcW w:w="1880" w:type="dxa"/>
            <w:vAlign w:val="bottom"/>
            <w:vMerge w:val="continue"/>
          </w:tcPr>
          <w:p>
            <w:pPr>
              <w:spacing w:after="0"/>
              <w:rPr>
                <w:sz w:val="16"/>
                <w:szCs w:val="16"/>
                <w:color w:val="auto"/>
              </w:rPr>
            </w:pPr>
          </w:p>
        </w:tc>
        <w:tc>
          <w:tcPr>
            <w:tcW w:w="2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Units) Purchased</w:t>
            </w:r>
          </w:p>
        </w:tc>
        <w:tc>
          <w:tcPr>
            <w:tcW w:w="220" w:type="dxa"/>
            <w:vAlign w:val="bottom"/>
          </w:tcPr>
          <w:p>
            <w:pPr>
              <w:spacing w:after="0"/>
              <w:rPr>
                <w:sz w:val="16"/>
                <w:szCs w:val="16"/>
                <w:color w:val="auto"/>
              </w:rPr>
            </w:pPr>
          </w:p>
        </w:tc>
        <w:tc>
          <w:tcPr>
            <w:tcW w:w="1860" w:type="dxa"/>
            <w:vAlign w:val="bottom"/>
          </w:tcPr>
          <w:p>
            <w:pPr>
              <w:jc w:val="right"/>
              <w:ind w:right="497"/>
              <w:spacing w:after="0"/>
              <w:rPr>
                <w:sz w:val="20"/>
                <w:szCs w:val="20"/>
                <w:color w:val="auto"/>
              </w:rPr>
            </w:pPr>
            <w:r>
              <w:rPr>
                <w:rFonts w:ascii="Arial" w:cs="Arial" w:eastAsia="Arial" w:hAnsi="Arial"/>
                <w:sz w:val="14"/>
                <w:szCs w:val="14"/>
                <w:b w:val="1"/>
                <w:bCs w:val="1"/>
                <w:color w:val="auto"/>
              </w:rPr>
              <w:t>Share (or Unit)</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Plans or Programs </w:t>
            </w:r>
            <w:r>
              <w:rPr>
                <w:rFonts w:ascii="Arial" w:cs="Arial" w:eastAsia="Arial" w:hAnsi="Arial"/>
                <w:sz w:val="8"/>
                <w:szCs w:val="8"/>
                <w:b w:val="1"/>
                <w:bCs w:val="1"/>
                <w:color w:val="auto"/>
                <w:w w:val="94"/>
              </w:rPr>
              <w:t>(1)</w:t>
            </w:r>
          </w:p>
        </w:tc>
        <w:tc>
          <w:tcPr>
            <w:tcW w:w="200" w:type="dxa"/>
            <w:vAlign w:val="bottom"/>
          </w:tcPr>
          <w:p>
            <w:pPr>
              <w:spacing w:after="0"/>
              <w:rPr>
                <w:sz w:val="16"/>
                <w:szCs w:val="16"/>
                <w:color w:val="auto"/>
              </w:rPr>
            </w:pPr>
          </w:p>
        </w:tc>
        <w:tc>
          <w:tcPr>
            <w:tcW w:w="224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 xml:space="preserve">the Plans or Programs </w:t>
            </w:r>
            <w:r>
              <w:rPr>
                <w:rFonts w:ascii="Arial" w:cs="Arial" w:eastAsia="Arial" w:hAnsi="Arial"/>
                <w:sz w:val="8"/>
                <w:szCs w:val="8"/>
                <w:b w:val="1"/>
                <w:bCs w:val="1"/>
                <w:color w:val="auto"/>
                <w:w w:val="93"/>
              </w:rPr>
              <w:t>(2)</w:t>
            </w:r>
          </w:p>
        </w:tc>
        <w:tc>
          <w:tcPr>
            <w:tcW w:w="0" w:type="dxa"/>
            <w:vAlign w:val="bottom"/>
          </w:tcPr>
          <w:p>
            <w:pPr>
              <w:spacing w:after="0"/>
              <w:rPr>
                <w:sz w:val="1"/>
                <w:szCs w:val="1"/>
                <w:color w:val="auto"/>
              </w:rPr>
            </w:pPr>
          </w:p>
        </w:tc>
      </w:tr>
      <w:tr>
        <w:trPr>
          <w:trHeight w:val="250"/>
        </w:trPr>
        <w:tc>
          <w:tcPr>
            <w:tcW w:w="18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31, 2017</w:t>
            </w:r>
          </w:p>
        </w:tc>
        <w:tc>
          <w:tcPr>
            <w:tcW w:w="24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94,877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21.08</w:t>
            </w:r>
          </w:p>
        </w:tc>
        <w:tc>
          <w:tcPr>
            <w:tcW w:w="23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94,877</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27,004,569</w:t>
            </w:r>
          </w:p>
        </w:tc>
        <w:tc>
          <w:tcPr>
            <w:tcW w:w="0" w:type="dxa"/>
            <w:vAlign w:val="bottom"/>
          </w:tcPr>
          <w:p>
            <w:pPr>
              <w:spacing w:after="0"/>
              <w:rPr>
                <w:sz w:val="1"/>
                <w:szCs w:val="1"/>
                <w:color w:val="auto"/>
              </w:rPr>
            </w:pP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August 31, 2017</w:t>
            </w:r>
          </w:p>
        </w:tc>
        <w:tc>
          <w:tcPr>
            <w:tcW w:w="2460" w:type="dxa"/>
            <w:vAlign w:val="bottom"/>
          </w:tcPr>
          <w:p>
            <w:pPr>
              <w:jc w:val="right"/>
              <w:ind w:right="37"/>
              <w:spacing w:after="0"/>
              <w:rPr>
                <w:sz w:val="20"/>
                <w:szCs w:val="20"/>
                <w:color w:val="auto"/>
              </w:rPr>
            </w:pPr>
            <w:r>
              <w:rPr>
                <w:rFonts w:ascii="Arial" w:cs="Arial" w:eastAsia="Arial" w:hAnsi="Arial"/>
                <w:sz w:val="18"/>
                <w:szCs w:val="18"/>
                <w:color w:val="auto"/>
              </w:rPr>
              <w:t>139,276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57"/>
              <w:spacing w:after="0"/>
              <w:rPr>
                <w:sz w:val="20"/>
                <w:szCs w:val="20"/>
                <w:color w:val="auto"/>
              </w:rPr>
            </w:pPr>
            <w:r>
              <w:rPr>
                <w:rFonts w:ascii="Arial" w:cs="Arial" w:eastAsia="Arial" w:hAnsi="Arial"/>
                <w:sz w:val="18"/>
                <w:szCs w:val="18"/>
                <w:color w:val="auto"/>
              </w:rPr>
              <w:t>20.20</w:t>
            </w:r>
          </w:p>
        </w:tc>
        <w:tc>
          <w:tcPr>
            <w:tcW w:w="2380" w:type="dxa"/>
            <w:vAlign w:val="bottom"/>
          </w:tcPr>
          <w:p>
            <w:pPr>
              <w:jc w:val="right"/>
              <w:ind w:right="59"/>
              <w:spacing w:after="0"/>
              <w:rPr>
                <w:sz w:val="20"/>
                <w:szCs w:val="20"/>
                <w:color w:val="auto"/>
              </w:rPr>
            </w:pPr>
            <w:r>
              <w:rPr>
                <w:rFonts w:ascii="Arial" w:cs="Arial" w:eastAsia="Arial" w:hAnsi="Arial"/>
                <w:sz w:val="18"/>
                <w:szCs w:val="18"/>
                <w:color w:val="auto"/>
              </w:rPr>
              <w:t>90,490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17"/>
              <w:spacing w:after="0"/>
              <w:rPr>
                <w:sz w:val="20"/>
                <w:szCs w:val="20"/>
                <w:color w:val="auto"/>
              </w:rPr>
            </w:pPr>
            <w:r>
              <w:rPr>
                <w:rFonts w:ascii="Arial" w:cs="Arial" w:eastAsia="Arial" w:hAnsi="Arial"/>
                <w:sz w:val="18"/>
                <w:szCs w:val="18"/>
                <w:color w:val="auto"/>
              </w:rPr>
              <w:t>25,081,657</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2017</w:t>
            </w:r>
          </w:p>
        </w:tc>
        <w:tc>
          <w:tcPr>
            <w:tcW w:w="2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25,081,657</w:t>
            </w:r>
          </w:p>
        </w:tc>
        <w:tc>
          <w:tcPr>
            <w:tcW w:w="0" w:type="dxa"/>
            <w:vAlign w:val="bottom"/>
          </w:tcPr>
          <w:p>
            <w:pPr>
              <w:spacing w:after="0"/>
              <w:rPr>
                <w:sz w:val="1"/>
                <w:szCs w:val="1"/>
                <w:color w:val="auto"/>
              </w:rPr>
            </w:pPr>
          </w:p>
        </w:tc>
      </w:tr>
      <w:tr>
        <w:trPr>
          <w:trHeight w:val="27"/>
        </w:trPr>
        <w:tc>
          <w:tcPr>
            <w:tcW w:w="188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80" w:firstLine="8"/>
        <w:spacing w:after="0" w:line="259"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August 17, 2016, the Company entered into an agreement with its founder, Chairman and Chief Executive Officer, Dr. Sotirios Vahaviolos, which provides for the Company to repurchase up to 1 million shares of its common stock from Dr. Vahaviolos. The plan with Dr. Vahaviolos is included in the $50.0 million of purchases authorized by our Board of Directors described in footnote 2 below. All of the amounts in this column represent the purchases from Dr. Vahaviolos during the third quarter of 2017.</w:t>
      </w:r>
    </w:p>
    <w:p>
      <w:pPr>
        <w:spacing w:after="0" w:line="186" w:lineRule="exact"/>
        <w:rPr>
          <w:rFonts w:ascii="Arial" w:cs="Arial" w:eastAsia="Arial" w:hAnsi="Arial"/>
          <w:sz w:val="18"/>
          <w:szCs w:val="18"/>
          <w:color w:val="auto"/>
        </w:rPr>
      </w:pPr>
    </w:p>
    <w:p>
      <w:pPr>
        <w:ind w:right="300" w:firstLine="8"/>
        <w:spacing w:after="0" w:line="277"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On October 7, 2015, the Company announced that its Board of Directors approved a share repurchase plan, which authorizes the expenditure of up to $50.0 million for the purchase of the Company's common stock.</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121"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1160" w:type="dxa"/>
            <w:vAlign w:val="bottom"/>
            <w:gridSpan w:val="5"/>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466"/>
        </w:trPr>
        <w:tc>
          <w:tcPr>
            <w:tcW w:w="102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ITEM 6.</w:t>
            </w: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588"/>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10240" w:type="dxa"/>
            <w:vAlign w:val="bottom"/>
            <w:gridSpan w:val="3"/>
          </w:tcPr>
          <w:p>
            <w:pPr>
              <w:ind w:left="4760"/>
              <w:spacing w:after="0"/>
              <w:rPr>
                <w:sz w:val="20"/>
                <w:szCs w:val="20"/>
                <w:color w:val="auto"/>
              </w:rPr>
            </w:pPr>
            <w:r>
              <w:rPr>
                <w:rFonts w:ascii="Arial" w:cs="Arial" w:eastAsia="Arial" w:hAnsi="Arial"/>
                <w:sz w:val="14"/>
                <w:szCs w:val="14"/>
                <w:b w:val="1"/>
                <w:bCs w:val="1"/>
                <w:color w:val="auto"/>
              </w:rPr>
              <w:t>Description</w:t>
            </w:r>
          </w:p>
        </w:tc>
      </w:tr>
      <w:tr>
        <w:trPr>
          <w:trHeight w:val="526"/>
        </w:trPr>
        <w:tc>
          <w:tcPr>
            <w:tcW w:w="360" w:type="dxa"/>
            <w:vAlign w:val="bottom"/>
            <w:tcBorders>
              <w:top w:val="single" w:sz="8" w:color="auto"/>
            </w:tcBorders>
            <w:gridSpan w:val="2"/>
          </w:tcPr>
          <w:p>
            <w:pPr>
              <w:ind w:left="40"/>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40" w:type="dxa"/>
            <w:vAlign w:val="bottom"/>
            <w:tcBorders>
              <w:top w:val="single" w:sz="8" w:color="auto"/>
            </w:tcBorders>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Certification of Chief Executive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260" w:type="dxa"/>
            <w:vAlign w:val="bottom"/>
            <w:tcBorders>
              <w:left w:val="single" w:sz="8" w:color="0000FF"/>
            </w:tcBorders>
          </w:tcPr>
          <w:p>
            <w:pPr>
              <w:spacing w:after="0" w:line="20" w:lineRule="exact"/>
              <w:rPr>
                <w:sz w:val="1"/>
                <w:szCs w:val="1"/>
                <w:color w:val="auto"/>
              </w:rPr>
            </w:pPr>
          </w:p>
        </w:tc>
      </w:tr>
      <w:tr>
        <w:trPr>
          <w:trHeight w:val="520"/>
        </w:trPr>
        <w:tc>
          <w:tcPr>
            <w:tcW w:w="360" w:type="dxa"/>
            <w:vAlign w:val="bottom"/>
            <w:gridSpan w:val="2"/>
          </w:tcPr>
          <w:p>
            <w:pPr>
              <w:ind w:left="40"/>
              <w:spacing w:after="0"/>
              <w:rPr>
                <w:rFonts w:ascii="Arial" w:cs="Arial" w:eastAsia="Arial" w:hAnsi="Arial"/>
                <w:sz w:val="18"/>
                <w:szCs w:val="18"/>
                <w:color w:val="0000FF"/>
                <w:w w:val="85"/>
              </w:rPr>
            </w:pPr>
            <w:hyperlink w:anchor="page3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Certification of Chief Financial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574"/>
        </w:trPr>
        <w:tc>
          <w:tcPr>
            <w:tcW w:w="360" w:type="dxa"/>
            <w:vAlign w:val="bottom"/>
            <w:gridSpan w:val="2"/>
          </w:tcPr>
          <w:p>
            <w:pPr>
              <w:ind w:left="40"/>
              <w:spacing w:after="0"/>
              <w:rPr>
                <w:rFonts w:ascii="Arial" w:cs="Arial" w:eastAsia="Arial" w:hAnsi="Arial"/>
                <w:sz w:val="18"/>
                <w:szCs w:val="18"/>
                <w:color w:val="0000FF"/>
                <w:w w:val="85"/>
              </w:rPr>
            </w:pPr>
            <w:hyperlink w:anchor="page36">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Certification pursuant to Section 906 of the Sarbanes-Oxley Act of 2002.</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Schema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Calculation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Labels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Presentation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Arial" w:cs="Arial" w:eastAsia="Arial" w:hAnsi="Arial"/>
                <w:sz w:val="18"/>
                <w:szCs w:val="18"/>
                <w:color w:val="auto"/>
              </w:rPr>
              <w:t>XBRL Definition Linkbase Document</w:t>
            </w:r>
          </w:p>
        </w:tc>
      </w:tr>
      <w:tr>
        <w:trPr>
          <w:trHeight w:val="918"/>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right"/>
              <w:ind w:right="552"/>
              <w:spacing w:after="0"/>
              <w:rPr>
                <w:sz w:val="20"/>
                <w:szCs w:val="20"/>
                <w:color w:val="auto"/>
              </w:rPr>
            </w:pPr>
            <w:r>
              <w:rPr>
                <w:rFonts w:ascii="Arial" w:cs="Arial" w:eastAsia="Arial" w:hAnsi="Arial"/>
                <w:sz w:val="18"/>
                <w:szCs w:val="18"/>
                <w:color w:val="auto"/>
              </w:rPr>
              <w:t>30</w:t>
            </w:r>
          </w:p>
        </w:tc>
        <w:tc>
          <w:tcPr>
            <w:tcW w:w="27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MISTRAS GROUP, INC.</w:t>
      </w:r>
    </w:p>
    <w:p>
      <w:pPr>
        <w:spacing w:after="0" w:line="337" w:lineRule="exact"/>
        <w:rPr>
          <w:sz w:val="20"/>
          <w:szCs w:val="20"/>
          <w:color w:val="auto"/>
        </w:rPr>
      </w:pPr>
    </w:p>
    <w:p>
      <w:pPr>
        <w:ind w:left="4960"/>
        <w:spacing w:after="0"/>
        <w:tabs>
          <w:tab w:leader="none" w:pos="5400" w:val="left"/>
        </w:tabs>
        <w:rPr>
          <w:sz w:val="20"/>
          <w:szCs w:val="20"/>
          <w:color w:val="auto"/>
        </w:rPr>
      </w:pPr>
      <w:r>
        <w:rPr>
          <w:rFonts w:ascii="Arial" w:cs="Arial" w:eastAsia="Arial" w:hAnsi="Arial"/>
          <w:sz w:val="18"/>
          <w:szCs w:val="18"/>
          <w:color w:val="auto"/>
        </w:rPr>
        <w:t>By:</w:t>
        <w:tab/>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Jonathan H. Wolk</w:t>
      </w:r>
    </w:p>
    <w:p>
      <w:pPr>
        <w:spacing w:after="0" w:line="63" w:lineRule="exact"/>
        <w:rPr>
          <w:sz w:val="20"/>
          <w:szCs w:val="20"/>
          <w:color w:val="auto"/>
        </w:rPr>
      </w:pPr>
    </w:p>
    <w:p>
      <w:pPr>
        <w:ind w:left="5420"/>
        <w:spacing w:after="0" w:line="277" w:lineRule="auto"/>
        <w:rPr>
          <w:sz w:val="20"/>
          <w:szCs w:val="20"/>
          <w:color w:val="auto"/>
        </w:rPr>
      </w:pPr>
      <w:r>
        <w:rPr>
          <w:rFonts w:ascii="Arial" w:cs="Arial" w:eastAsia="Arial" w:hAnsi="Arial"/>
          <w:sz w:val="18"/>
          <w:szCs w:val="18"/>
          <w:color w:val="auto"/>
        </w:rPr>
        <w:t>Senior Executive Vice President, Chief Operating Officer, Chief Financial Officer and Treasurer</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 and duly authorized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240" w:top="121" w:right="3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Dennis Bertolotti, certify that:</w:t>
      </w:r>
    </w:p>
    <w:p>
      <w:pPr>
        <w:spacing w:after="0" w:line="17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25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Dennis Bertolotti</w:t>
      </w:r>
    </w:p>
    <w:p>
      <w:pPr>
        <w:spacing w:after="0" w:line="14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Jonathan H. Wolk, certify that:</w:t>
      </w:r>
    </w:p>
    <w:p>
      <w:pPr>
        <w:spacing w:after="0" w:line="171"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Jonathan H. Wolk</w:t>
      </w:r>
    </w:p>
    <w:p>
      <w:pPr>
        <w:spacing w:after="0" w:line="14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Senior Executive Vice President, Chief Operating Officer, Chief Financial</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Officer, and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6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September 30, 2017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2017</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Dennis Bertolotti</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Jonathan H. Wolk</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Senior Executive Vice President, Chief Operating Officer, Chief Financial</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Officer and Treasurer</w:t>
      </w:r>
    </w:p>
    <w:p>
      <w:pPr>
        <w:spacing w:after="0" w:line="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4"/>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decimal"/>
      <w:start w:val="13"/>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2019-12-29T03:02:05Z</dcterms:created>
  <dcterms:modified xsi:type="dcterms:W3CDTF">2019-12-29T03:02:05Z</dcterms:modified>
</cp:coreProperties>
</file>