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183515</wp:posOffset>
            </wp:positionV>
            <wp:extent cx="3831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43"/>
          <w:szCs w:val="43"/>
          <w:b w:val="1"/>
          <w:bCs w:val="1"/>
          <w:color w:val="auto"/>
        </w:rPr>
        <w:t>MISTRAS GROUP, INC.</w:t>
      </w:r>
    </w:p>
    <w:p>
      <w:pPr>
        <w:spacing w:after="0" w:line="12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229235</wp:posOffset>
            </wp:positionV>
            <wp:extent cx="3831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tbl>
      <w:tblPr>
        <w:tblLayout w:type="fixed"/>
        <w:tblInd w:w="680" w:type="dxa"/>
        <w:tblCellMar>
          <w:top w:w="0" w:type="dxa"/>
          <w:left w:w="0" w:type="dxa"/>
          <w:bottom w:w="0" w:type="dxa"/>
          <w:right w:w="0" w:type="dxa"/>
        </w:tblCellMar>
      </w:tblPr>
      <w:tr>
        <w:trPr>
          <w:trHeight w:val="238"/>
        </w:trPr>
        <w:tc>
          <w:tcPr>
            <w:tcW w:w="574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3"/>
        </w:trPr>
        <w:tc>
          <w:tcPr>
            <w:tcW w:w="5740" w:type="dxa"/>
            <w:vAlign w:val="bottom"/>
          </w:tcPr>
          <w:p>
            <w:pPr>
              <w:jc w:val="center"/>
              <w:ind w:right="1541"/>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700" w:type="dxa"/>
            <w:vAlign w:val="bottom"/>
          </w:tcPr>
          <w:p>
            <w:pPr>
              <w:jc w:val="center"/>
              <w:ind w:left="1561"/>
              <w:spacing w:after="0"/>
              <w:rPr>
                <w:sz w:val="20"/>
                <w:szCs w:val="20"/>
                <w:color w:val="auto"/>
              </w:rPr>
            </w:pPr>
            <w:r>
              <w:rPr>
                <w:rFonts w:ascii="Times New Roman" w:cs="Times New Roman" w:eastAsia="Times New Roman" w:hAnsi="Times New Roman"/>
                <w:sz w:val="14"/>
                <w:szCs w:val="14"/>
                <w:color w:val="auto"/>
              </w:rPr>
              <w:t>(I.R.S. Employer</w:t>
            </w:r>
          </w:p>
        </w:tc>
      </w:tr>
      <w:tr>
        <w:trPr>
          <w:trHeight w:val="270"/>
        </w:trPr>
        <w:tc>
          <w:tcPr>
            <w:tcW w:w="5740" w:type="dxa"/>
            <w:vAlign w:val="bottom"/>
          </w:tcPr>
          <w:p>
            <w:pPr>
              <w:jc w:val="center"/>
              <w:ind w:right="1541"/>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2700" w:type="dxa"/>
            <w:vAlign w:val="bottom"/>
          </w:tcPr>
          <w:p>
            <w:pPr>
              <w:jc w:val="center"/>
              <w:ind w:left="156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45"/>
        </w:trPr>
        <w:tc>
          <w:tcPr>
            <w:tcW w:w="574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w w:val="99"/>
              </w:rPr>
              <w:t>195 Clarksville Road, Princeton Junction, New Jersey</w:t>
            </w:r>
          </w:p>
        </w:tc>
        <w:tc>
          <w:tcPr>
            <w:tcW w:w="270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60"/>
        </w:trPr>
        <w:tc>
          <w:tcPr>
            <w:tcW w:w="5740" w:type="dxa"/>
            <w:vAlign w:val="bottom"/>
          </w:tcPr>
          <w:p>
            <w:pPr>
              <w:jc w:val="center"/>
              <w:ind w:right="154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00" w:type="dxa"/>
            <w:vAlign w:val="bottom"/>
          </w:tcPr>
          <w:p>
            <w:pPr>
              <w:jc w:val="center"/>
              <w:ind w:left="154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2016 Long-Term Incentive Plan, amended and restated as of March 27,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Eileen M. Coggins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195 Clarksville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Princeton Junction, New Jersey 08550</w:t>
      </w:r>
    </w:p>
    <w:p>
      <w:pPr>
        <w:spacing w:after="0" w:line="9" w:lineRule="exact"/>
        <w:rPr>
          <w:sz w:val="24"/>
          <w:szCs w:val="24"/>
          <w:color w:val="auto"/>
        </w:rPr>
      </w:pPr>
    </w:p>
    <w:p>
      <w:pPr>
        <w:ind w:left="3180" w:hanging="436"/>
        <w:spacing w:after="0"/>
        <w:tabs>
          <w:tab w:leader="none" w:pos="3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716-4000</w:t>
      </w:r>
      <w:r>
        <w:rPr>
          <w:rFonts w:ascii="Times New Roman" w:cs="Times New Roman" w:eastAsia="Times New Roman" w:hAnsi="Times New Roman"/>
          <w:sz w:val="14"/>
          <w:szCs w:val="14"/>
          <w:color w:val="auto"/>
        </w:rPr>
        <w:t>(Name, address and telephone number, including area code, of agent for service)</w:t>
      </w:r>
    </w:p>
    <w:p>
      <w:pPr>
        <w:spacing w:after="0" w:line="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900" w:type="dxa"/>
        <w:tblCellMar>
          <w:top w:w="0" w:type="dxa"/>
          <w:left w:w="0" w:type="dxa"/>
          <w:bottom w:w="0" w:type="dxa"/>
          <w:right w:w="0" w:type="dxa"/>
        </w:tblCellMar>
      </w:tblPr>
      <w:tr>
        <w:trPr>
          <w:trHeight w:val="28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p>
        </w:tc>
        <w:tc>
          <w:tcPr>
            <w:tcW w:w="5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ind w:left="1060"/>
              <w:spacing w:after="0"/>
              <w:rPr>
                <w:sz w:val="20"/>
                <w:szCs w:val="20"/>
                <w:color w:val="auto"/>
              </w:rPr>
            </w:pPr>
            <w:r>
              <w:rPr>
                <w:rFonts w:ascii="Wingdings" w:cs="Wingdings" w:eastAsia="Wingdings" w:hAnsi="Wingdings"/>
                <w:sz w:val="18"/>
                <w:szCs w:val="18"/>
                <w:b w:val="1"/>
                <w:bCs w:val="1"/>
                <w:color w:val="auto"/>
                <w:w w:val="94"/>
              </w:rPr>
              <w:t>x</w:t>
            </w:r>
          </w:p>
        </w:tc>
      </w:tr>
      <w:tr>
        <w:trPr>
          <w:trHeight w:val="31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tc>
        <w:tc>
          <w:tcPr>
            <w:tcW w:w="5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6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3860" w:type="dxa"/>
            <w:vAlign w:val="bottom"/>
          </w:tcPr>
          <w:p>
            <w:pPr>
              <w:spacing w:after="0"/>
              <w:rPr>
                <w:sz w:val="24"/>
                <w:szCs w:val="24"/>
                <w:color w:val="auto"/>
              </w:rPr>
            </w:pPr>
          </w:p>
        </w:tc>
        <w:tc>
          <w:tcPr>
            <w:tcW w:w="5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6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91" w:lineRule="exact"/>
        <w:rPr>
          <w:sz w:val="24"/>
          <w:szCs w:val="24"/>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329924037v2</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This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on Form S-8 is being filed by Mistras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purpose of increasing the number of shares of its common stock, $0.01 par value per share, that may be issued under the Mistras Group, Inc. 2016 Long-Term Incentive Plan, as amended and restated as of March 27, 2024 and as further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by 1,700,000 shares, to a total of 7,900,000 shares, plus up to an additional 500,000 shares to allow for the recycling of shares back into the Plan in connection with share withholding or expirations, cancellations, forfeitures, or similar events with respect to Plan awards. The Company previously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four registration statements on Form S-8 (File No. 333-217047, File No. 333-254369, File No. 333-266573, and File No. 333-279629) with respect to the Plan (the “</w:t>
      </w:r>
      <w:r>
        <w:rPr>
          <w:rFonts w:ascii="Times New Roman" w:cs="Times New Roman" w:eastAsia="Times New Roman" w:hAnsi="Times New Roman"/>
          <w:sz w:val="18"/>
          <w:szCs w:val="18"/>
          <w:u w:val="single" w:color="auto"/>
          <w:color w:val="auto"/>
        </w:rPr>
        <w:t>Prior Registration Statements</w:t>
      </w:r>
      <w:r>
        <w:rPr>
          <w:rFonts w:ascii="Times New Roman" w:cs="Times New Roman" w:eastAsia="Times New Roman" w:hAnsi="Times New Roman"/>
          <w:sz w:val="18"/>
          <w:szCs w:val="18"/>
          <w:color w:val="auto"/>
        </w:rPr>
        <w:t>”). This Registration Statement relates to the securities of the same class as that to which the Prior Registration Statements relate and is submitted in accordance with General Instruction E to Form S-8 regarding registration of additional securities. In accordance with such instruction, except as otherwise set forth below, the contents of the Prior Registration Statements relating to the Plan are incorporated herein by reference.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right="2820" w:firstLine="2821"/>
        <w:spacing w:after="0" w:line="250" w:lineRule="auto"/>
        <w:rPr>
          <w:sz w:val="20"/>
          <w:szCs w:val="20"/>
          <w:color w:val="auto"/>
        </w:rPr>
      </w:pPr>
      <w:r>
        <w:rPr>
          <w:rFonts w:ascii="Times New Roman" w:cs="Times New Roman" w:eastAsia="Times New Roman" w:hAnsi="Times New Roman"/>
          <w:sz w:val="18"/>
          <w:szCs w:val="18"/>
          <w:b w:val="1"/>
          <w:bCs w:val="1"/>
          <w:color w:val="auto"/>
        </w:rPr>
        <w:t>INFORMATION REQUIRED IN THE REGISTRATION STATEMENT Item 3. Incorporation of Documents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or to be filed by the Company with the SEC are incorporated into and made a part of this Registration Statement:</w:t>
      </w:r>
    </w:p>
    <w:p>
      <w:pPr>
        <w:spacing w:after="0" w:line="9" w:lineRule="exact"/>
        <w:rPr>
          <w:sz w:val="20"/>
          <w:szCs w:val="20"/>
          <w:color w:val="auto"/>
        </w:rPr>
      </w:pPr>
    </w:p>
    <w:p>
      <w:pPr>
        <w:ind w:left="660" w:right="20" w:hanging="328"/>
        <w:spacing w:after="0" w:line="250" w:lineRule="auto"/>
        <w:tabs>
          <w:tab w:leader="none" w:pos="6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2025, filed with the SEC on March 11, 2026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w:t>
      </w: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2026, filed with the SEC on May 7, 2026</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7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portions of the Company’s Definitive Proxy Statement on Schedule 14A, filed with the SEC on April 7, 2026, that are incorporated by reference into the Annual Report.</w:t>
      </w:r>
    </w:p>
    <w:p>
      <w:pPr>
        <w:ind w:left="660" w:hanging="328"/>
        <w:spacing w:after="0" w:line="250" w:lineRule="auto"/>
        <w:tabs>
          <w:tab w:leader="none" w:pos="6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Report on Form 8-K, filed with the SEC on May 20, 2026 (in each case other than portions of that document deemed to be furnished and not filed).</w:t>
      </w:r>
    </w:p>
    <w:p>
      <w:pPr>
        <w:ind w:left="660" w:hanging="328"/>
        <w:spacing w:after="0" w:line="250" w:lineRule="auto"/>
        <w:tabs>
          <w:tab w:leader="none" w:pos="7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common stock, par value $.01 per share, contained in Exhibit 4.1 to its Annual Report, together with any subsequent amendment or report filed for the purpose of updating such description.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all documents filed by the Company pursuant to Sections 13(a), 13(c), 14 and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subsequent to the date of this Registration Statement and prior to the filing of a post-effective amendment to this Registration Statement which indicates that all shares of common stock offered hereby have been sold or which deregisters any shares of such common stock then remaining unsold, shall also be deemed to be incorporated by reference into this Registration Statement and to be a part hereof from the date of filing of such documents.</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contained in this Registration Statement shall be deemed to be modified or superseded to the extent that a statement contained in a subsequently filed document which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the above, information that is “furnished” to the SEC shall not be deemed “filed with” the SEC and shall not be deemed incorporated by reference into this Registration Statement.</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The validity of the securities has been passed upon by Eileen M. Coggins, Executive Vice President, General Counsel and Secretary of the Company. Ms. Coggins is paid a salary by the Company, is a participant in the Plan and owns or beneficially owns shares of the Company’s common stock and restricted stock units that, upon vesting, are converted into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329924037v2</w:t>
      </w:r>
    </w:p>
    <w:p>
      <w:pPr>
        <w:sectPr>
          <w:pgSz w:w="11900" w:h="16838" w:orient="portrait"/>
          <w:cols w:equalWidth="0" w:num="1">
            <w:col w:w="11240"/>
          </w:cols>
          <w:pgMar w:left="320" w:top="1413" w:right="339" w:bottom="1440" w:gutter="0" w:footer="0" w:header="0"/>
        </w:sectPr>
      </w:pPr>
    </w:p>
    <w:bookmarkStart w:id="2" w:name="page3"/>
    <w:bookmarkEnd w:id="2"/>
    <w:p>
      <w:pPr>
        <w:spacing w:after="0" w:line="196" w:lineRule="auto"/>
        <w:framePr w:w="1840" w:h="160" w:wrap="auto" w:vAnchor="page" w:hAnchor="page" w:x="1760" w:y="2086"/>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Description of Exhibits</w:t>
      </w:r>
    </w:p>
    <w:p>
      <w:pPr>
        <w:spacing w:after="0" w:line="218" w:lineRule="auto"/>
        <w:framePr w:w="9560" w:h="376" w:wrap="auto" w:vAnchor="page" w:hAnchor="page" w:x="1520" w:y="2302"/>
        <w:rPr>
          <w:rFonts w:ascii="Times New Roman" w:cs="Times New Roman" w:eastAsia="Times New Roman" w:hAnsi="Times New Roman"/>
          <w:sz w:val="18"/>
          <w:szCs w:val="18"/>
          <w:b w:val="1"/>
          <w:bCs w:val="1"/>
          <w:u w:val="single" w:color="auto"/>
          <w:color w:val="0000FF"/>
        </w:rPr>
      </w:pPr>
      <w:hyperlink r:id="rId10">
        <w:r>
          <w:rPr>
            <w:rFonts w:ascii="Times New Roman" w:cs="Times New Roman" w:eastAsia="Times New Roman" w:hAnsi="Times New Roman"/>
            <w:sz w:val="18"/>
            <w:szCs w:val="18"/>
            <w:b w:val="1"/>
            <w:bCs w:val="1"/>
            <w:u w:val="single" w:color="auto"/>
            <w:color w:val="0000FF"/>
          </w:rPr>
          <w:t>Second Amended and Restated Certificate of Incorporation of Company (filed as exhibit 3.1 to Registration Statement on Form S-1</w:t>
        </w:r>
      </w:hyperlink>
      <w:r>
        <w:rPr>
          <w:rFonts w:ascii="Times New Roman" w:cs="Times New Roman" w:eastAsia="Times New Roman" w:hAnsi="Times New Roman"/>
          <w:sz w:val="18"/>
          <w:szCs w:val="18"/>
          <w:b w:val="1"/>
          <w:bCs w:val="1"/>
          <w:u w:val="single" w:color="auto"/>
          <w:color w:val="0000FF"/>
        </w:rPr>
        <w:t xml:space="preserve"> </w:t>
      </w:r>
      <w:hyperlink r:id="rId10">
        <w:r>
          <w:rPr>
            <w:rFonts w:ascii="Times New Roman" w:cs="Times New Roman" w:eastAsia="Times New Roman" w:hAnsi="Times New Roman"/>
            <w:sz w:val="18"/>
            <w:szCs w:val="18"/>
            <w:b w:val="1"/>
            <w:bCs w:val="1"/>
            <w:u w:val="single" w:color="auto"/>
            <w:color w:val="0000FF"/>
          </w:rPr>
          <w:t>(Amendment No. 4) filed on September 21, 2009 (Registration No. 333-151559) and incorporated herein by reference).</w:t>
        </w:r>
      </w:hyperlink>
    </w:p>
    <w:p>
      <w:pPr>
        <w:spacing w:after="0" w:line="218" w:lineRule="auto"/>
        <w:framePr w:w="9560" w:h="376" w:wrap="auto" w:vAnchor="page" w:hAnchor="page" w:x="1560" w:y="2734"/>
        <w:rPr>
          <w:rFonts w:ascii="Times New Roman" w:cs="Times New Roman" w:eastAsia="Times New Roman" w:hAnsi="Times New Roman"/>
          <w:sz w:val="18"/>
          <w:szCs w:val="18"/>
          <w:b w:val="1"/>
          <w:bCs w:val="1"/>
          <w:u w:val="single" w:color="auto"/>
          <w:color w:val="0000FF"/>
        </w:rPr>
      </w:pPr>
      <w:hyperlink r:id="rId11">
        <w:r>
          <w:rPr>
            <w:rFonts w:ascii="Times New Roman" w:cs="Times New Roman" w:eastAsia="Times New Roman" w:hAnsi="Times New Roman"/>
            <w:sz w:val="18"/>
            <w:szCs w:val="18"/>
            <w:b w:val="1"/>
            <w:bCs w:val="1"/>
            <w:u w:val="single" w:color="auto"/>
            <w:color w:val="0000FF"/>
          </w:rPr>
          <w:t>Certificate of Amendment to the Second Amended and Restated Certificate of Incorporation of Company (filed as exhibit 3.1 to the</w:t>
        </w:r>
      </w:hyperlink>
      <w:r>
        <w:rPr>
          <w:rFonts w:ascii="Times New Roman" w:cs="Times New Roman" w:eastAsia="Times New Roman" w:hAnsi="Times New Roman"/>
          <w:sz w:val="18"/>
          <w:szCs w:val="18"/>
          <w:b w:val="1"/>
          <w:bCs w:val="1"/>
          <w:u w:val="single" w:color="auto"/>
          <w:color w:val="0000FF"/>
        </w:rPr>
        <w:t xml:space="preserve"> </w:t>
      </w:r>
      <w:hyperlink r:id="rId11">
        <w:r>
          <w:rPr>
            <w:rFonts w:ascii="Times New Roman" w:cs="Times New Roman" w:eastAsia="Times New Roman" w:hAnsi="Times New Roman"/>
            <w:sz w:val="18"/>
            <w:szCs w:val="18"/>
            <w:b w:val="1"/>
            <w:bCs w:val="1"/>
            <w:u w:val="single" w:color="auto"/>
            <w:color w:val="0000FF"/>
          </w:rPr>
          <w:t>Quarterly Report on Form 10-Q filed on January 11, 2017 and incorporated herein by reference).</w:t>
        </w:r>
      </w:hyperlink>
    </w:p>
    <w:p>
      <w:pPr>
        <w:spacing w:after="0" w:line="218" w:lineRule="auto"/>
        <w:framePr w:w="10020" w:h="376" w:wrap="auto" w:vAnchor="page" w:hAnchor="page" w:x="1560" w:y="3166"/>
        <w:rPr>
          <w:rFonts w:ascii="Times New Roman" w:cs="Times New Roman" w:eastAsia="Times New Roman" w:hAnsi="Times New Roman"/>
          <w:sz w:val="18"/>
          <w:szCs w:val="18"/>
          <w:b w:val="1"/>
          <w:bCs w:val="1"/>
          <w:u w:val="single" w:color="auto"/>
          <w:color w:val="0000FF"/>
        </w:rPr>
      </w:pPr>
      <w:hyperlink r:id="rId12">
        <w:r>
          <w:rPr>
            <w:rFonts w:ascii="Times New Roman" w:cs="Times New Roman" w:eastAsia="Times New Roman" w:hAnsi="Times New Roman"/>
            <w:sz w:val="18"/>
            <w:szCs w:val="18"/>
            <w:b w:val="1"/>
            <w:bCs w:val="1"/>
            <w:u w:val="single" w:color="auto"/>
            <w:color w:val="0000FF"/>
          </w:rPr>
          <w:t>Amended and Restated Bylaws of the Company, effective July 20, 2016 (filed as Exhibit 3.1 to the Quarterly Report on Form 10-Q filed</w:t>
        </w:r>
      </w:hyperlink>
      <w:r>
        <w:rPr>
          <w:rFonts w:ascii="Times New Roman" w:cs="Times New Roman" w:eastAsia="Times New Roman" w:hAnsi="Times New Roman"/>
          <w:sz w:val="18"/>
          <w:szCs w:val="18"/>
          <w:b w:val="1"/>
          <w:bCs w:val="1"/>
          <w:u w:val="single" w:color="auto"/>
          <w:color w:val="0000FF"/>
        </w:rPr>
        <w:t xml:space="preserve"> </w:t>
      </w:r>
      <w:hyperlink r:id="rId12">
        <w:r>
          <w:rPr>
            <w:rFonts w:ascii="Times New Roman" w:cs="Times New Roman" w:eastAsia="Times New Roman" w:hAnsi="Times New Roman"/>
            <w:sz w:val="18"/>
            <w:szCs w:val="18"/>
            <w:b w:val="1"/>
            <w:bCs w:val="1"/>
            <w:u w:val="single" w:color="auto"/>
            <w:color w:val="0000FF"/>
          </w:rPr>
          <w:t>on October 7, 2016 and incorporated herein by reference).</w:t>
        </w:r>
      </w:hyperlink>
    </w:p>
    <w:p>
      <w:pPr>
        <w:spacing w:after="0" w:line="196" w:lineRule="auto"/>
        <w:framePr w:w="2420" w:h="160" w:wrap="auto" w:vAnchor="page" w:hAnchor="page" w:x="1580" w:y="3598"/>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Opinion of Eileen Coggins, Esq.</w:t>
      </w:r>
    </w:p>
    <w:p>
      <w:pPr>
        <w:spacing w:after="0" w:line="196" w:lineRule="auto"/>
        <w:framePr w:w="4280" w:h="160" w:wrap="auto" w:vAnchor="page" w:hAnchor="page" w:x="1660" w:y="3814"/>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Consent of Eileen Coggins, Esq. (included in Exhibit 5.1).</w:t>
      </w:r>
    </w:p>
    <w:p>
      <w:pPr>
        <w:spacing w:after="0" w:line="218" w:lineRule="auto"/>
        <w:framePr w:w="8380" w:h="376" w:wrap="auto" w:vAnchor="page" w:hAnchor="page" w:x="1580" w:y="4030"/>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u w:val="single" w:color="auto"/>
          <w:color w:val="0000FF"/>
        </w:rPr>
        <w:t>Consent of PricewaterhouseCoopers LLP, independent registered certified public accounting firm for the Company. Powers of Attorney (included in signature page hereto)</w:t>
      </w:r>
      <w:r>
        <w:rPr>
          <w:rFonts w:ascii="Times New Roman" w:cs="Times New Roman" w:eastAsia="Times New Roman" w:hAnsi="Times New Roman"/>
          <w:sz w:val="18"/>
          <w:szCs w:val="18"/>
          <w:b w:val="1"/>
          <w:bCs w:val="1"/>
          <w:color w:val="000000"/>
        </w:rPr>
        <w:t>.</w:t>
      </w:r>
    </w:p>
    <w:p>
      <w:pPr>
        <w:spacing w:after="0" w:line="218" w:lineRule="auto"/>
        <w:framePr w:w="9740" w:h="376" w:wrap="auto" w:vAnchor="page" w:hAnchor="page" w:x="1620" w:y="4462"/>
        <w:rPr>
          <w:rFonts w:ascii="Times New Roman" w:cs="Times New Roman" w:eastAsia="Times New Roman" w:hAnsi="Times New Roman"/>
          <w:sz w:val="18"/>
          <w:szCs w:val="18"/>
          <w:b w:val="1"/>
          <w:bCs w:val="1"/>
          <w:u w:val="single" w:color="auto"/>
          <w:color w:val="0000FF"/>
        </w:rPr>
      </w:pPr>
      <w:hyperlink r:id="rId13">
        <w:r>
          <w:rPr>
            <w:rFonts w:ascii="Times New Roman" w:cs="Times New Roman" w:eastAsia="Times New Roman" w:hAnsi="Times New Roman"/>
            <w:sz w:val="18"/>
            <w:szCs w:val="18"/>
            <w:b w:val="1"/>
            <w:bCs w:val="1"/>
            <w:u w:val="single" w:color="auto"/>
            <w:color w:val="0000FF"/>
          </w:rPr>
          <w:t>Mistras Group, Inc. 2016 Long-Term Incentive Plan, amended and restated as of March 27, 2024 (filed as Exhibit A to the Company’s</w:t>
        </w:r>
      </w:hyperlink>
      <w:r>
        <w:rPr>
          <w:rFonts w:ascii="Times New Roman" w:cs="Times New Roman" w:eastAsia="Times New Roman" w:hAnsi="Times New Roman"/>
          <w:sz w:val="18"/>
          <w:szCs w:val="18"/>
          <w:b w:val="1"/>
          <w:bCs w:val="1"/>
          <w:u w:val="single" w:color="auto"/>
          <w:color w:val="0000FF"/>
        </w:rPr>
        <w:t xml:space="preserve"> </w:t>
      </w:r>
      <w:hyperlink r:id="rId13">
        <w:r>
          <w:rPr>
            <w:rFonts w:ascii="Times New Roman" w:cs="Times New Roman" w:eastAsia="Times New Roman" w:hAnsi="Times New Roman"/>
            <w:sz w:val="18"/>
            <w:szCs w:val="18"/>
            <w:b w:val="1"/>
            <w:bCs w:val="1"/>
            <w:u w:val="single" w:color="auto"/>
            <w:color w:val="0000FF"/>
          </w:rPr>
          <w:t>definitive proxy statement, filed on April 7, 2026 and incorporated herein by reference).</w:t>
        </w:r>
      </w:hyperlink>
    </w:p>
    <w:p>
      <w:pPr>
        <w:spacing w:after="0" w:line="196" w:lineRule="auto"/>
        <w:framePr w:w="2360" w:h="160" w:wrap="auto" w:vAnchor="page" w:hAnchor="page" w:x="1760" w:y="4894"/>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Calculation of Filing Fee Table.</w:t>
      </w:r>
    </w:p>
    <w:p>
      <w:pPr>
        <w:ind w:left="1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31" w:lineRule="exact"/>
        <w:rPr>
          <w:rFonts w:ascii="Times New Roman" w:cs="Times New Roman" w:eastAsia="Times New Roman" w:hAnsi="Times New Roman"/>
          <w:sz w:val="17"/>
          <w:szCs w:val="17"/>
          <w:b w:val="1"/>
          <w:bCs w:val="1"/>
          <w:u w:val="single" w:color="auto"/>
          <w:color w:val="0000FF"/>
        </w:rPr>
      </w:pPr>
    </w:p>
    <w:p>
      <w:pPr>
        <w:ind w:left="100"/>
        <w:spacing w:after="0"/>
        <w:rPr>
          <w:sz w:val="20"/>
          <w:szCs w:val="20"/>
          <w:color w:val="auto"/>
        </w:rPr>
      </w:pPr>
      <w:r>
        <w:rPr>
          <w:rFonts w:ascii="Times New Roman" w:cs="Times New Roman" w:eastAsia="Times New Roman" w:hAnsi="Times New Roman"/>
          <w:sz w:val="18"/>
          <w:szCs w:val="18"/>
          <w:color w:val="auto"/>
        </w:rPr>
        <w:t>The following exhibits have been filed as a part of this Registration Statement and are specifically incorporated by reference:</w:t>
      </w:r>
    </w:p>
    <w:p>
      <w:pPr>
        <w:spacing w:after="0" w:line="9" w:lineRule="exact"/>
        <w:rPr>
          <w:rFonts w:ascii="Times New Roman" w:cs="Times New Roman" w:eastAsia="Times New Roman" w:hAnsi="Times New Roman"/>
          <w:sz w:val="17"/>
          <w:szCs w:val="17"/>
          <w:b w:val="1"/>
          <w:bCs w:val="1"/>
          <w:u w:val="single" w:color="auto"/>
          <w:color w:val="0000FF"/>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9" w:lineRule="exact"/>
        <w:rPr>
          <w:rFonts w:ascii="Times New Roman" w:cs="Times New Roman" w:eastAsia="Times New Roman" w:hAnsi="Times New Roman"/>
          <w:sz w:val="17"/>
          <w:szCs w:val="17"/>
          <w:b w:val="1"/>
          <w:bCs w:val="1"/>
          <w:u w:val="single" w:color="auto"/>
          <w:color w:val="0000FF"/>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p>
    <w:p>
      <w:pPr>
        <w:spacing w:after="0" w:line="9" w:lineRule="exact"/>
        <w:rPr>
          <w:rFonts w:ascii="Times New Roman" w:cs="Times New Roman" w:eastAsia="Times New Roman" w:hAnsi="Times New Roman"/>
          <w:sz w:val="17"/>
          <w:szCs w:val="17"/>
          <w:b w:val="1"/>
          <w:bCs w:val="1"/>
          <w:u w:val="single" w:color="auto"/>
          <w:color w:val="0000FF"/>
        </w:rPr>
      </w:pPr>
    </w:p>
    <w:p>
      <w:pPr>
        <w:ind w:left="760"/>
        <w:spacing w:after="0"/>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4.1</w:t>
        </w:r>
      </w:hyperlink>
    </w:p>
    <w:p>
      <w:pPr>
        <w:spacing w:after="0" w:line="36" w:lineRule="exact"/>
        <w:rPr>
          <w:rFonts w:ascii="Times New Roman" w:cs="Times New Roman" w:eastAsia="Times New Roman" w:hAnsi="Times New Roman"/>
          <w:sz w:val="17"/>
          <w:szCs w:val="17"/>
          <w:b w:val="1"/>
          <w:bCs w:val="1"/>
          <w:u w:val="single" w:color="auto"/>
          <w:color w:val="0000FF"/>
        </w:rPr>
      </w:pPr>
    </w:p>
    <w:p>
      <w:pPr>
        <w:ind w:left="760"/>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4.2</w:t>
        </w:r>
      </w:hyperlink>
    </w:p>
    <w:p>
      <w:pPr>
        <w:spacing w:after="0" w:line="36" w:lineRule="exact"/>
        <w:rPr>
          <w:rFonts w:ascii="Times New Roman" w:cs="Times New Roman" w:eastAsia="Times New Roman" w:hAnsi="Times New Roman"/>
          <w:sz w:val="17"/>
          <w:szCs w:val="17"/>
          <w:b w:val="1"/>
          <w:bCs w:val="1"/>
          <w:u w:val="single" w:color="auto"/>
          <w:color w:val="0000FF"/>
        </w:rPr>
      </w:pPr>
    </w:p>
    <w:p>
      <w:pPr>
        <w:ind w:left="760"/>
        <w:spacing w:after="0"/>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4.3</w:t>
        </w:r>
      </w:hyperlink>
    </w:p>
    <w:p>
      <w:pPr>
        <w:spacing w:after="0" w:line="36" w:lineRule="exact"/>
        <w:rPr>
          <w:rFonts w:ascii="Times New Roman" w:cs="Times New Roman" w:eastAsia="Times New Roman" w:hAnsi="Times New Roman"/>
          <w:sz w:val="17"/>
          <w:szCs w:val="17"/>
          <w:b w:val="1"/>
          <w:bCs w:val="1"/>
          <w:u w:val="single" w:color="auto"/>
          <w:color w:val="0000FF"/>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5.1</w:t>
      </w:r>
      <w:r>
        <w:rPr>
          <w:rFonts w:ascii="Arial" w:cs="Arial" w:eastAsia="Arial" w:hAnsi="Arial"/>
          <w:sz w:val="11"/>
          <w:szCs w:val="11"/>
          <w:u w:val="single" w:color="auto"/>
          <w:color w:val="0000FF"/>
        </w:rPr>
        <w:t>ǂ</w:t>
      </w:r>
    </w:p>
    <w:p>
      <w:pPr>
        <w:spacing w:after="0" w:line="27" w:lineRule="exact"/>
        <w:rPr>
          <w:rFonts w:ascii="Times New Roman" w:cs="Times New Roman" w:eastAsia="Times New Roman" w:hAnsi="Times New Roman"/>
          <w:sz w:val="17"/>
          <w:szCs w:val="17"/>
          <w:b w:val="1"/>
          <w:bCs w:val="1"/>
          <w:u w:val="single" w:color="auto"/>
          <w:color w:val="0000FF"/>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23.1</w:t>
      </w:r>
      <w:r>
        <w:rPr>
          <w:rFonts w:ascii="Arial" w:cs="Arial" w:eastAsia="Arial" w:hAnsi="Arial"/>
          <w:sz w:val="11"/>
          <w:szCs w:val="11"/>
          <w:u w:val="single" w:color="auto"/>
          <w:color w:val="0000FF"/>
        </w:rPr>
        <w:t>ǂ</w:t>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714375</wp:posOffset>
            </wp:positionH>
            <wp:positionV relativeFrom="paragraph">
              <wp:posOffset>-19050</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u w:val="single" w:color="auto"/>
          <w:color w:val="0000FF"/>
        </w:rPr>
        <w:t>23.2</w:t>
      </w:r>
      <w:r>
        <w:rPr>
          <w:rFonts w:ascii="Arial" w:cs="Arial" w:eastAsia="Arial" w:hAnsi="Arial"/>
          <w:sz w:val="11"/>
          <w:szCs w:val="11"/>
          <w:u w:val="single" w:color="auto"/>
          <w:color w:val="0000FF"/>
        </w:rPr>
        <w:t>ǂ</w:t>
      </w:r>
    </w:p>
    <w:p>
      <w:pPr>
        <w:spacing w:after="0" w:line="20" w:lineRule="exact"/>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drawing>
          <wp:anchor simplePos="0" relativeHeight="251657728" behindDoc="1" locked="0" layoutInCell="0" allowOverlap="1">
            <wp:simplePos x="0" y="0"/>
            <wp:positionH relativeFrom="column">
              <wp:posOffset>714375</wp:posOffset>
            </wp:positionH>
            <wp:positionV relativeFrom="paragraph">
              <wp:posOffset>-19050</wp:posOffset>
            </wp:positionV>
            <wp:extent cx="28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u w:val="single" w:color="auto"/>
          <w:color w:val="0000FF"/>
        </w:rPr>
        <w:t>24.1</w:t>
      </w:r>
      <w:r>
        <w:rPr>
          <w:rFonts w:ascii="Arial" w:cs="Arial" w:eastAsia="Arial" w:hAnsi="Arial"/>
          <w:sz w:val="11"/>
          <w:szCs w:val="11"/>
          <w:u w:val="single" w:color="auto"/>
          <w:color w:val="0000FF"/>
        </w:rPr>
        <w:t>ǂ</w:t>
      </w:r>
    </w:p>
    <w:p>
      <w:pPr>
        <w:spacing w:after="0" w:line="9" w:lineRule="exact"/>
        <w:rPr>
          <w:rFonts w:ascii="Times New Roman" w:cs="Times New Roman" w:eastAsia="Times New Roman" w:hAnsi="Times New Roman"/>
          <w:sz w:val="17"/>
          <w:szCs w:val="17"/>
          <w:b w:val="1"/>
          <w:bCs w:val="1"/>
          <w:u w:val="single" w:color="auto"/>
          <w:color w:val="0000FF"/>
        </w:rPr>
      </w:pPr>
    </w:p>
    <w:p>
      <w:pPr>
        <w:ind w:left="760"/>
        <w:spacing w:after="0"/>
        <w:rPr>
          <w:rFonts w:ascii="Times New Roman" w:cs="Times New Roman" w:eastAsia="Times New Roman" w:hAnsi="Times New Roman"/>
          <w:sz w:val="18"/>
          <w:szCs w:val="18"/>
          <w:u w:val="single" w:color="auto"/>
          <w:color w:val="0000FF"/>
        </w:rPr>
      </w:pPr>
      <w:hyperlink r:id="rId13">
        <w:r>
          <w:rPr>
            <w:rFonts w:ascii="Times New Roman" w:cs="Times New Roman" w:eastAsia="Times New Roman" w:hAnsi="Times New Roman"/>
            <w:sz w:val="18"/>
            <w:szCs w:val="18"/>
            <w:u w:val="single" w:color="auto"/>
            <w:color w:val="0000FF"/>
          </w:rPr>
          <w:t>99.1</w:t>
        </w:r>
      </w:hyperlink>
    </w:p>
    <w:p>
      <w:pPr>
        <w:spacing w:after="0" w:line="36" w:lineRule="exact"/>
        <w:rPr>
          <w:rFonts w:ascii="Times New Roman" w:cs="Times New Roman" w:eastAsia="Times New Roman" w:hAnsi="Times New Roman"/>
          <w:sz w:val="17"/>
          <w:szCs w:val="17"/>
          <w:b w:val="1"/>
          <w:bCs w:val="1"/>
          <w:u w:val="single" w:color="auto"/>
          <w:color w:val="0000FF"/>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107.1</w:t>
      </w:r>
      <w:r>
        <w:rPr>
          <w:rFonts w:ascii="Arial" w:cs="Arial" w:eastAsia="Arial" w:hAnsi="Arial"/>
          <w:sz w:val="11"/>
          <w:szCs w:val="11"/>
          <w:u w:val="single" w:color="auto"/>
          <w:color w:val="0000FF"/>
        </w:rPr>
        <w:t>ǂ</w:t>
      </w:r>
    </w:p>
    <w:p>
      <w:pPr>
        <w:spacing w:after="0" w:line="27" w:lineRule="exact"/>
        <w:rPr>
          <w:rFonts w:ascii="Times New Roman" w:cs="Times New Roman" w:eastAsia="Times New Roman" w:hAnsi="Times New Roman"/>
          <w:sz w:val="17"/>
          <w:szCs w:val="17"/>
          <w:b w:val="1"/>
          <w:bCs w:val="1"/>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rFonts w:ascii="Times New Roman" w:cs="Times New Roman" w:eastAsia="Times New Roman" w:hAnsi="Times New Roman"/>
          <w:sz w:val="17"/>
          <w:szCs w:val="17"/>
          <w:b w:val="1"/>
          <w:bCs w:val="1"/>
          <w:u w:val="single" w:color="auto"/>
          <w:color w:val="0000FF"/>
        </w:rPr>
      </w:pPr>
    </w:p>
    <w:p>
      <w:pPr>
        <w:ind w:left="200" w:hanging="92"/>
        <w:spacing w:after="0"/>
        <w:tabs>
          <w:tab w:leader="none" w:pos="200" w:val="left"/>
        </w:tabs>
        <w:numPr>
          <w:ilvl w:val="0"/>
          <w:numId w:val="3"/>
        </w:numPr>
        <w:rPr>
          <w:rFonts w:ascii="Arial" w:cs="Arial" w:eastAsia="Arial" w:hAnsi="Arial"/>
          <w:sz w:val="12"/>
          <w:szCs w:val="12"/>
          <w:color w:val="auto"/>
        </w:rPr>
      </w:pPr>
      <w:r>
        <w:rPr>
          <w:rFonts w:ascii="Times New Roman" w:cs="Times New Roman" w:eastAsia="Times New Roman" w:hAnsi="Times New Roman"/>
          <w:sz w:val="18"/>
          <w:szCs w:val="18"/>
          <w:color w:val="auto"/>
        </w:rPr>
        <w:t>Filed herewith.</w:t>
      </w:r>
    </w:p>
    <w:p>
      <w:pPr>
        <w:spacing w:after="0" w:line="207" w:lineRule="exact"/>
        <w:rPr>
          <w:rFonts w:ascii="Times New Roman" w:cs="Times New Roman" w:eastAsia="Times New Roman" w:hAnsi="Times New Roman"/>
          <w:sz w:val="17"/>
          <w:szCs w:val="17"/>
          <w:b w:val="1"/>
          <w:bCs w:val="1"/>
          <w:u w:val="single" w:color="auto"/>
          <w:color w:val="0000FF"/>
        </w:rPr>
      </w:pPr>
    </w:p>
    <w:p>
      <w:pPr>
        <w:ind w:left="100"/>
        <w:spacing w:after="0"/>
        <w:tabs>
          <w:tab w:leader="none" w:pos="460" w:val="left"/>
        </w:tabs>
        <w:rPr>
          <w:sz w:val="20"/>
          <w:szCs w:val="20"/>
          <w:color w:val="auto"/>
        </w:rPr>
      </w:pPr>
      <w:r>
        <w:rPr>
          <w:rFonts w:ascii="Times New Roman" w:cs="Times New Roman" w:eastAsia="Times New Roman" w:hAnsi="Times New Roman"/>
          <w:sz w:val="18"/>
          <w:szCs w:val="18"/>
          <w:color w:val="auto"/>
        </w:rPr>
        <w:t>(a)</w:t>
        <w:tab/>
        <w:t>The Company hereby undertakes:</w:t>
      </w:r>
    </w:p>
    <w:p>
      <w:pPr>
        <w:spacing w:after="0" w:line="27" w:lineRule="exact"/>
        <w:rPr>
          <w:rFonts w:ascii="Times New Roman" w:cs="Times New Roman" w:eastAsia="Times New Roman" w:hAnsi="Times New Roman"/>
          <w:sz w:val="17"/>
          <w:szCs w:val="17"/>
          <w:b w:val="1"/>
          <w:bCs w:val="1"/>
          <w:u w:val="single" w:color="auto"/>
          <w:color w:val="0000FF"/>
        </w:rPr>
      </w:pPr>
    </w:p>
    <w:p>
      <w:pPr>
        <w:ind w:left="760" w:right="1180" w:hanging="4"/>
        <w:spacing w:after="0" w:line="250" w:lineRule="auto"/>
        <w:tabs>
          <w:tab w:leader="none" w:pos="11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w:t>
      </w:r>
    </w:p>
    <w:p>
      <w:pPr>
        <w:spacing w:after="0" w:line="9" w:lineRule="exact"/>
        <w:rPr>
          <w:rFonts w:ascii="Times New Roman" w:cs="Times New Roman" w:eastAsia="Times New Roman" w:hAnsi="Times New Roman"/>
          <w:sz w:val="17"/>
          <w:szCs w:val="17"/>
          <w:b w:val="1"/>
          <w:bCs w:val="1"/>
          <w:u w:val="single" w:color="auto"/>
          <w:color w:val="0000FF"/>
        </w:rPr>
      </w:pPr>
    </w:p>
    <w:p>
      <w:pPr>
        <w:jc w:val="both"/>
        <w:ind w:left="100"/>
        <w:spacing w:after="0" w:line="250" w:lineRule="auto"/>
        <w:rPr>
          <w:sz w:val="20"/>
          <w:szCs w:val="20"/>
          <w:color w:val="auto"/>
        </w:rPr>
      </w:pPr>
      <w:r>
        <w:rPr>
          <w:rFonts w:ascii="Times New Roman" w:cs="Times New Roman" w:eastAsia="Times New Roman" w:hAnsi="Times New Roman"/>
          <w:sz w:val="18"/>
          <w:szCs w:val="18"/>
          <w:color w:val="auto"/>
        </w:rPr>
        <w:t>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 or “Calculation of Registration Fee” table, as applicable, in the effective Registration Statement; and</w:t>
      </w:r>
    </w:p>
    <w:p>
      <w:pPr>
        <w:spacing w:after="0" w:line="2" w:lineRule="exact"/>
        <w:rPr>
          <w:rFonts w:ascii="Times New Roman" w:cs="Times New Roman" w:eastAsia="Times New Roman" w:hAnsi="Times New Roman"/>
          <w:sz w:val="17"/>
          <w:szCs w:val="17"/>
          <w:b w:val="1"/>
          <w:bCs w:val="1"/>
          <w:u w:val="single" w:color="auto"/>
          <w:color w:val="0000FF"/>
        </w:rPr>
      </w:pPr>
    </w:p>
    <w:p>
      <w:pPr>
        <w:ind w:left="100" w:firstLine="656"/>
        <w:spacing w:after="0" w:line="250" w:lineRule="auto"/>
        <w:tabs>
          <w:tab w:leader="none" w:pos="10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jc w:val="both"/>
        <w:ind w:left="10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SEC by the Company pursuant to Section 13 or Section 15(d) of the Exchange Act that are incorporated by reference in the Registration Statement.</w:t>
      </w:r>
    </w:p>
    <w:p>
      <w:pPr>
        <w:spacing w:after="0" w:line="1" w:lineRule="exact"/>
        <w:rPr>
          <w:rFonts w:ascii="Times New Roman" w:cs="Times New Roman" w:eastAsia="Times New Roman" w:hAnsi="Times New Roman"/>
          <w:sz w:val="17"/>
          <w:szCs w:val="17"/>
          <w:b w:val="1"/>
          <w:bCs w:val="1"/>
          <w:u w:val="single" w:color="auto"/>
          <w:color w:val="0000FF"/>
        </w:rPr>
      </w:pPr>
    </w:p>
    <w:p>
      <w:pPr>
        <w:jc w:val="both"/>
        <w:ind w:left="100" w:firstLine="656"/>
        <w:spacing w:after="0" w:line="250" w:lineRule="auto"/>
        <w:tabs>
          <w:tab w:leader="none" w:pos="11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Times New Roman" w:cs="Times New Roman" w:eastAsia="Times New Roman" w:hAnsi="Times New Roman"/>
          <w:sz w:val="18"/>
          <w:szCs w:val="18"/>
          <w:color w:val="auto"/>
        </w:rPr>
      </w:pPr>
    </w:p>
    <w:p>
      <w:pPr>
        <w:ind w:left="100" w:right="20" w:firstLine="656"/>
        <w:spacing w:after="0" w:line="250" w:lineRule="auto"/>
        <w:tabs>
          <w:tab w:leader="none" w:pos="116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jc w:val="both"/>
        <w:ind w:left="100" w:firstLine="8"/>
        <w:spacing w:after="0" w:line="255" w:lineRule="auto"/>
        <w:tabs>
          <w:tab w:leader="none" w:pos="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w:t>
      </w: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00" w:lineRule="exact"/>
        <w:rPr>
          <w:rFonts w:ascii="Times New Roman" w:cs="Times New Roman" w:eastAsia="Times New Roman" w:hAnsi="Times New Roman"/>
          <w:sz w:val="17"/>
          <w:szCs w:val="17"/>
          <w:b w:val="1"/>
          <w:bCs w:val="1"/>
          <w:u w:val="single" w:color="auto"/>
          <w:color w:val="0000FF"/>
        </w:rPr>
      </w:pPr>
    </w:p>
    <w:p>
      <w:pPr>
        <w:spacing w:after="0" w:line="286" w:lineRule="exact"/>
        <w:rPr>
          <w:rFonts w:ascii="Times New Roman" w:cs="Times New Roman" w:eastAsia="Times New Roman" w:hAnsi="Times New Roman"/>
          <w:sz w:val="17"/>
          <w:szCs w:val="17"/>
          <w:b w:val="1"/>
          <w:bCs w:val="1"/>
          <w:u w:val="single" w:color="auto"/>
          <w:color w:val="0000FF"/>
        </w:rPr>
      </w:pPr>
    </w:p>
    <w:p>
      <w:pPr>
        <w:ind w:left="100"/>
        <w:spacing w:after="0"/>
        <w:rPr>
          <w:sz w:val="20"/>
          <w:szCs w:val="20"/>
          <w:color w:val="auto"/>
        </w:rPr>
      </w:pPr>
      <w:r>
        <w:rPr>
          <w:rFonts w:ascii="Times New Roman" w:cs="Times New Roman" w:eastAsia="Times New Roman" w:hAnsi="Times New Roman"/>
          <w:sz w:val="14"/>
          <w:szCs w:val="14"/>
          <w:color w:val="auto"/>
        </w:rPr>
        <w:t>329924037v2</w:t>
      </w:r>
    </w:p>
    <w:p>
      <w:pPr>
        <w:sectPr>
          <w:pgSz w:w="11900" w:h="16838" w:orient="portrait"/>
          <w:cols w:equalWidth="0" w:num="1">
            <w:col w:w="11340"/>
          </w:cols>
          <w:pgMar w:left="220" w:top="1413" w:right="3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new registration statement relating to the securities offered therein, and the offering of such securities at that time shall be deemed to be the initial bona fide offering thereof.</w:t>
      </w:r>
    </w:p>
    <w:p>
      <w:pPr>
        <w:jc w:val="both"/>
        <w:ind w:firstLine="8"/>
        <w:spacing w:after="0" w:line="251" w:lineRule="auto"/>
        <w:tabs>
          <w:tab w:leader="none" w:pos="4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applicable law, the Company’s articles of incorporation or bylaws, as such may be amended from time to time, the Company’s indemnification agreements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329924037v2</w:t>
      </w:r>
    </w:p>
    <w:p>
      <w:pPr>
        <w:sectPr>
          <w:pgSz w:w="11900" w:h="16838" w:orient="portrait"/>
          <w:cols w:equalWidth="0" w:num="1">
            <w:col w:w="11240"/>
          </w:cols>
          <w:pgMar w:left="320" w:top="1417" w:right="339" w:bottom="1440" w:gutter="0" w:footer="0" w:header="0"/>
        </w:sectPr>
      </w:pPr>
    </w:p>
    <w:bookmarkStart w:id="4" w:name="page5"/>
    <w:bookmarkEnd w:id="4"/>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Princeton Junction, New Jersey, on June 17, 2026.</w:t>
      </w:r>
    </w:p>
    <w:p>
      <w:pPr>
        <w:spacing w:after="0" w:line="20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3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-7620</wp:posOffset>
            </wp:positionV>
            <wp:extent cx="1231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Edward J. Prajzner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Senior Executive Vice President and Chief Financial Officer</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each of Manuel N. Stamatakis, Edward J. Prajzner and Eileen Coggins his or her true and lawful attorney-in-fact and agent with full powers of substitution and resubstitution, for the undersigned and in the name of the undersigned, in any and all capacities, to sign any or all amendments (including post-effective amendments) to this Registration Statement on Form S-8,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329924037v2</w:t>
      </w:r>
    </w:p>
    <w:p>
      <w:pPr>
        <w:sectPr>
          <w:pgSz w:w="11900" w:h="16838" w:orient="portrait"/>
          <w:cols w:equalWidth="0" w:num="1">
            <w:col w:w="11240"/>
          </w:cols>
          <w:pgMar w:left="320" w:top="1440" w:right="339" w:bottom="1440" w:gutter="0" w:footer="0" w:header="0"/>
        </w:sectPr>
      </w:pPr>
    </w:p>
    <w:bookmarkStart w:id="5" w:name="page6"/>
    <w:bookmarkEnd w:id="5"/>
    <w:p>
      <w:pPr>
        <w:spacing w:after="0" w:line="12" w:lineRule="exact"/>
        <w:rPr>
          <w:sz w:val="20"/>
          <w:szCs w:val="20"/>
          <w:color w:val="auto"/>
        </w:rPr>
      </w:pPr>
    </w:p>
    <w:p>
      <w:pPr>
        <w:ind w:left="1920"/>
        <w:spacing w:after="0"/>
        <w:tabs>
          <w:tab w:leader="none" w:pos="6620" w:val="left"/>
          <w:tab w:leader="none" w:pos="100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Natalia Shuman</w:t>
            </w:r>
          </w:p>
        </w:tc>
        <w:tc>
          <w:tcPr>
            <w:tcW w:w="45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President and Chief Executive Officer </w:t>
            </w:r>
            <w:r>
              <w:rPr>
                <w:rFonts w:ascii="Times New Roman" w:cs="Times New Roman" w:eastAsia="Times New Roman" w:hAnsi="Times New Roman"/>
                <w:sz w:val="18"/>
                <w:szCs w:val="18"/>
                <w:i w:val="1"/>
                <w:iCs w:val="1"/>
                <w:color w:val="auto"/>
              </w:rPr>
              <w:t>(Principal Executive</w:t>
            </w:r>
          </w:p>
        </w:tc>
        <w:tc>
          <w:tcPr>
            <w:tcW w:w="0" w:type="dxa"/>
            <w:vAlign w:val="bottom"/>
          </w:tcPr>
          <w:p>
            <w:pPr>
              <w:spacing w:after="0"/>
              <w:rPr>
                <w:sz w:val="1"/>
                <w:szCs w:val="1"/>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Natalia Shuman</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6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Manuel N. Stamatakis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w:t>
            </w:r>
          </w:p>
        </w:tc>
        <w:tc>
          <w:tcPr>
            <w:tcW w:w="0" w:type="dxa"/>
            <w:vAlign w:val="bottom"/>
          </w:tcPr>
          <w:p>
            <w:pPr>
              <w:spacing w:after="0"/>
              <w:rPr>
                <w:sz w:val="1"/>
                <w:szCs w:val="1"/>
                <w:color w:val="auto"/>
              </w:rPr>
            </w:pPr>
          </w:p>
        </w:tc>
      </w:tr>
      <w:tr>
        <w:trPr>
          <w:trHeight w:val="41"/>
        </w:trPr>
        <w:tc>
          <w:tcPr>
            <w:tcW w:w="4420" w:type="dxa"/>
            <w:vAlign w:val="bottom"/>
            <w:tcBorders>
              <w:bottom w:val="single" w:sz="8" w:color="auto"/>
            </w:tcBorders>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Manuel N. Stamatakis</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J. Prajzner</w:t>
            </w:r>
          </w:p>
        </w:tc>
        <w:tc>
          <w:tcPr>
            <w:tcW w:w="45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8"/>
              </w:rPr>
              <w:t>Senior Executive Vice President, and Chief Financial Officer</w:t>
            </w:r>
          </w:p>
        </w:tc>
        <w:tc>
          <w:tcPr>
            <w:tcW w:w="0" w:type="dxa"/>
            <w:vAlign w:val="bottom"/>
          </w:tcPr>
          <w:p>
            <w:pPr>
              <w:spacing w:after="0"/>
              <w:rPr>
                <w:sz w:val="1"/>
                <w:szCs w:val="1"/>
                <w:color w:val="auto"/>
              </w:rPr>
            </w:pPr>
          </w:p>
        </w:tc>
      </w:tr>
      <w:tr>
        <w:trPr>
          <w:trHeight w:val="81"/>
        </w:trPr>
        <w:tc>
          <w:tcPr>
            <w:tcW w:w="4420" w:type="dxa"/>
            <w:vAlign w:val="bottom"/>
            <w:tcBorders>
              <w:bottom w:val="single" w:sz="8" w:color="auto"/>
            </w:tcBorders>
          </w:tcPr>
          <w:p>
            <w:pPr>
              <w:spacing w:after="0"/>
              <w:rPr>
                <w:sz w:val="7"/>
                <w:szCs w:val="7"/>
                <w:color w:val="auto"/>
              </w:rPr>
            </w:pP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Edward J. Prajzner</w:t>
            </w:r>
          </w:p>
        </w:tc>
        <w:tc>
          <w:tcPr>
            <w:tcW w:w="45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54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Nicholas DeBenedictis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DeBenedictis</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Forese</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Forese</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H. Glanton</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H. Glanton</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J. Lohmeier</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J. Lohmeier</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P. Pizzi</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P. Pizzi</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2026</w:t>
      </w:r>
    </w:p>
    <w:p>
      <w:pPr>
        <w:spacing w:after="0" w:line="486" w:lineRule="exact"/>
        <w:rPr>
          <w:sz w:val="20"/>
          <w:szCs w:val="20"/>
          <w:color w:val="auto"/>
        </w:rPr>
      </w:pPr>
    </w:p>
    <w:p>
      <w:pPr>
        <w:sectPr>
          <w:pgSz w:w="11900" w:h="16838" w:orient="portrait"/>
          <w:cols w:equalWidth="0" w:num="2">
            <w:col w:w="9500" w:space="720"/>
            <w:col w:w="10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329924037v2</w:t>
      </w:r>
    </w:p>
    <w:p>
      <w:pPr>
        <w:sectPr>
          <w:pgSz w:w="11900" w:h="16838" w:orient="portrait"/>
          <w:cols w:equalWidth="0" w:num="1">
            <w:col w:w="11220"/>
          </w:cols>
          <w:pgMar w:left="320" w:top="1440" w:right="35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107.1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Filing Fee</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Previously</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Paid</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Proposed</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Carry</w:t>
            </w:r>
          </w:p>
        </w:tc>
        <w:tc>
          <w:tcPr>
            <w:tcW w:w="8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 Connection</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Carry</w:t>
            </w:r>
          </w:p>
        </w:tc>
        <w:tc>
          <w:tcPr>
            <w:tcW w:w="780" w:type="dxa"/>
            <w:vAlign w:val="bottom"/>
            <w:gridSpan w:val="2"/>
            <w:vMerge w:val="continue"/>
          </w:tcPr>
          <w:p>
            <w:pPr>
              <w:spacing w:after="0"/>
              <w:rPr>
                <w:sz w:val="9"/>
                <w:szCs w:val="9"/>
                <w:color w:val="auto"/>
              </w:rPr>
            </w:pPr>
          </w:p>
        </w:tc>
        <w:tc>
          <w:tcPr>
            <w:tcW w:w="8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with Unsold</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Maximum</w:t>
            </w: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Amount of</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Carry</w:t>
            </w:r>
          </w:p>
        </w:tc>
        <w:tc>
          <w:tcPr>
            <w:tcW w:w="780" w:type="dxa"/>
            <w:vAlign w:val="bottom"/>
            <w:gridSpan w:val="2"/>
            <w:vMerge w:val="continue"/>
          </w:tcPr>
          <w:p>
            <w:pPr>
              <w:spacing w:after="0"/>
              <w:rPr>
                <w:sz w:val="9"/>
                <w:szCs w:val="9"/>
                <w:color w:val="auto"/>
              </w:rPr>
            </w:pPr>
          </w:p>
        </w:tc>
        <w:tc>
          <w:tcPr>
            <w:tcW w:w="78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Forward</w:t>
            </w:r>
          </w:p>
        </w:tc>
        <w:tc>
          <w:tcPr>
            <w:tcW w:w="8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Securities to</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Security</w:t>
            </w: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Fee Calculation or</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7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Aggregate</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Fee</w:t>
            </w:r>
          </w:p>
        </w:tc>
        <w:tc>
          <w:tcPr>
            <w:tcW w:w="8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8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Forward</w:t>
            </w:r>
          </w:p>
        </w:tc>
        <w:tc>
          <w:tcPr>
            <w:tcW w:w="78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8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0"/>
              </w:rPr>
              <w:t>be</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Security Class Title</w:t>
            </w:r>
          </w:p>
        </w:tc>
        <w:tc>
          <w:tcPr>
            <w:tcW w:w="140" w:type="dxa"/>
            <w:vAlign w:val="bottom"/>
            <w:vMerge w:val="restart"/>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Price Per</w:t>
            </w: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800" w:type="dxa"/>
            <w:vAlign w:val="bottom"/>
            <w:gridSpan w:val="2"/>
            <w:vMerge w:val="continue"/>
          </w:tcPr>
          <w:p>
            <w:pPr>
              <w:spacing w:after="0"/>
              <w:rPr>
                <w:sz w:val="9"/>
                <w:szCs w:val="9"/>
                <w:color w:val="auto"/>
              </w:rPr>
            </w:pPr>
          </w:p>
        </w:tc>
        <w:tc>
          <w:tcPr>
            <w:tcW w:w="86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8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Forward</w:t>
            </w:r>
          </w:p>
        </w:tc>
        <w:tc>
          <w:tcPr>
            <w:tcW w:w="7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File</w:t>
            </w:r>
          </w:p>
        </w:tc>
        <w:tc>
          <w:tcPr>
            <w:tcW w:w="7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7"/>
              </w:rPr>
              <w:t>effective</w:t>
            </w:r>
          </w:p>
        </w:tc>
        <w:tc>
          <w:tcPr>
            <w:tcW w:w="8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Carried</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Type</w:t>
            </w:r>
          </w:p>
        </w:tc>
        <w:tc>
          <w:tcPr>
            <w:tcW w:w="120" w:type="dxa"/>
            <w:vAlign w:val="bottom"/>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Carry Forward Rule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Registered</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Unit</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Fee</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Form Type</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Forward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9"/>
              </w:rPr>
              <w:t>Newly Registered Securities</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Common Stock,</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par value $.01 per</w:t>
            </w: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CCEEFF"/>
          </w:tcPr>
          <w:p>
            <w:pPr>
              <w:jc w:val="center"/>
              <w:ind w:right="166"/>
              <w:spacing w:after="0" w:line="122" w:lineRule="exact"/>
              <w:rPr>
                <w:sz w:val="20"/>
                <w:szCs w:val="20"/>
                <w:color w:val="auto"/>
              </w:rPr>
            </w:pPr>
            <w:r>
              <w:rPr>
                <w:rFonts w:ascii="Times New Roman" w:cs="Times New Roman" w:eastAsia="Times New Roman" w:hAnsi="Times New Roman"/>
                <w:sz w:val="11"/>
                <w:szCs w:val="11"/>
                <w:color w:val="auto"/>
              </w:rPr>
              <w:t>Fees to</w:t>
            </w:r>
          </w:p>
        </w:tc>
        <w:tc>
          <w:tcPr>
            <w:tcW w:w="76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Equity(1)</w:t>
            </w:r>
          </w:p>
        </w:tc>
        <w:tc>
          <w:tcPr>
            <w:tcW w:w="114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8"/>
              </w:rPr>
              <w:t>share, reserved for</w:t>
            </w:r>
          </w:p>
        </w:tc>
        <w:tc>
          <w:tcPr>
            <w:tcW w:w="11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Rule 457(h)</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2,200,000</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$17.70</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$38,940,000</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0.00013810</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$5,377.61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0" w:type="dxa"/>
            <w:vAlign w:val="bottom"/>
            <w:tcBorders>
              <w:bottom w:val="single" w:sz="8" w:color="CCEEFF"/>
            </w:tcBorders>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8"/>
              </w:rPr>
              <w:t>Be Paid</w:t>
            </w: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issuance</w:t>
            </w:r>
          </w:p>
        </w:tc>
        <w:tc>
          <w:tcPr>
            <w:tcW w:w="116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10"/>
        </w:trPr>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Carry Forward Securities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820" w:type="dxa"/>
            <w:vAlign w:val="bottom"/>
            <w:shd w:val="clear" w:color="auto" w:fill="CCEEFF"/>
          </w:tcPr>
          <w:p>
            <w:pPr>
              <w:jc w:val="center"/>
              <w:ind w:right="166"/>
              <w:spacing w:after="0" w:line="102" w:lineRule="exact"/>
              <w:rPr>
                <w:sz w:val="20"/>
                <w:szCs w:val="20"/>
                <w:color w:val="auto"/>
              </w:rPr>
            </w:pPr>
            <w:r>
              <w:rPr>
                <w:rFonts w:ascii="Times New Roman" w:cs="Times New Roman" w:eastAsia="Times New Roman" w:hAnsi="Times New Roman"/>
                <w:sz w:val="11"/>
                <w:szCs w:val="11"/>
                <w:color w:val="auto"/>
                <w:w w:val="95"/>
              </w:rPr>
              <w:t>Carry</w:t>
            </w: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20" w:type="dxa"/>
            <w:vAlign w:val="bottom"/>
            <w:shd w:val="clear" w:color="auto" w:fill="CCEEFF"/>
          </w:tcPr>
          <w:p>
            <w:pPr>
              <w:jc w:val="center"/>
              <w:ind w:right="146"/>
              <w:spacing w:after="0" w:line="108" w:lineRule="exact"/>
              <w:rPr>
                <w:sz w:val="20"/>
                <w:szCs w:val="20"/>
                <w:color w:val="auto"/>
              </w:rPr>
            </w:pPr>
            <w:r>
              <w:rPr>
                <w:rFonts w:ascii="Times New Roman" w:cs="Times New Roman" w:eastAsia="Times New Roman" w:hAnsi="Times New Roman"/>
                <w:sz w:val="11"/>
                <w:szCs w:val="11"/>
                <w:color w:val="auto"/>
              </w:rPr>
              <w:t>Forward</w:t>
            </w: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20" w:type="dxa"/>
            <w:vAlign w:val="bottom"/>
            <w:tcBorders>
              <w:bottom w:val="single" w:sz="8" w:color="CCEEFF"/>
            </w:tcBorders>
            <w:shd w:val="clear" w:color="auto" w:fill="CCEEFF"/>
          </w:tcPr>
          <w:p>
            <w:pPr>
              <w:jc w:val="center"/>
              <w:ind w:right="146"/>
              <w:spacing w:after="0"/>
              <w:rPr>
                <w:sz w:val="20"/>
                <w:szCs w:val="20"/>
                <w:color w:val="auto"/>
              </w:rPr>
            </w:pPr>
            <w:r>
              <w:rPr>
                <w:rFonts w:ascii="Times New Roman" w:cs="Times New Roman" w:eastAsia="Times New Roman" w:hAnsi="Times New Roman"/>
                <w:sz w:val="11"/>
                <w:szCs w:val="11"/>
                <w:color w:val="auto"/>
                <w:w w:val="96"/>
              </w:rPr>
              <w:t>Securities</w:t>
            </w: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color w:val="auto"/>
                <w:w w:val="97"/>
              </w:rPr>
              <w:t>Total Offering Amounts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$5,377.61</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30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Total Fees Previously Paid</w:t>
            </w:r>
          </w:p>
        </w:tc>
        <w:tc>
          <w:tcPr>
            <w:tcW w:w="6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color w:val="auto"/>
                <w:w w:val="96"/>
              </w:rPr>
              <w:t>Total Fee Offsets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Net Fee Due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$5,377.61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980" w:right="20" w:hanging="648"/>
        <w:spacing w:after="0" w:line="260"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Registration Statement registers 2,200,000 additional shares of common stock, par value $.01 per share (“Common Stock”), of Mistras Group, Inc. (the “Company”) reserved and available for issuance under the Mistras Group, Inc. 2016 Long-Term Incentive Plan, as amended and restated as of March 27, 2024 and as further amended (the “Plan”), which includes 500,000 shares to allow for the recycling of shares back into the Plan in connection with share withholding or expirations, cancellations, forfeitures, or similar events with respect to Plan awards. Pursuant to Rule 416(a) under the Securities Act of 1933, as amended (the “Securities Act”), there are also registered hereby such indeterminate number of shares of Common Stock as may become issuable by reason of any stock splits, stock dividends or other similar transactions.</w:t>
      </w:r>
    </w:p>
    <w:p>
      <w:pPr>
        <w:spacing w:after="0" w:line="73" w:lineRule="exact"/>
        <w:rPr>
          <w:rFonts w:ascii="Times New Roman" w:cs="Times New Roman" w:eastAsia="Times New Roman" w:hAnsi="Times New Roman"/>
          <w:sz w:val="16"/>
          <w:szCs w:val="16"/>
          <w:color w:val="auto"/>
        </w:rPr>
      </w:pPr>
    </w:p>
    <w:p>
      <w:pPr>
        <w:ind w:left="980" w:right="6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pursuant to Rules 457(c) and 457(h) under the Securities Act, solely for the purpose of calculating the amount of the registration fee. The price shown is based upon the average of the high and low prices of the Company’s Common Stock, as reported on the New York Stock Exchange on June 3, 2026 (rounded to the nearest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329939545v1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7" w:name="page8"/>
    <w:bookmarkEnd w:id="7"/>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060" w:type="dxa"/>
            <w:vAlign w:val="bottom"/>
          </w:tcPr>
          <w:p>
            <w:pPr>
              <w:spacing w:after="0"/>
              <w:rPr>
                <w:sz w:val="20"/>
                <w:szCs w:val="20"/>
                <w:color w:val="auto"/>
              </w:rPr>
            </w:pPr>
            <w:r>
              <w:rPr>
                <w:rFonts w:ascii="Arial" w:cs="Arial" w:eastAsia="Arial" w:hAnsi="Arial"/>
                <w:sz w:val="22"/>
                <w:szCs w:val="22"/>
                <w:color w:val="auto"/>
              </w:rPr>
              <w:t>Entity Central Index</w:t>
            </w:r>
          </w:p>
        </w:tc>
        <w:tc>
          <w:tcPr>
            <w:tcW w:w="1860" w:type="dxa"/>
            <w:vAlign w:val="bottom"/>
            <w:vMerge w:val="restart"/>
          </w:tcPr>
          <w:p>
            <w:pPr>
              <w:ind w:left="180"/>
              <w:spacing w:after="0"/>
              <w:rPr>
                <w:sz w:val="20"/>
                <w:szCs w:val="20"/>
                <w:color w:val="auto"/>
              </w:rPr>
            </w:pPr>
            <w:r>
              <w:rPr>
                <w:rFonts w:ascii="Arial" w:cs="Arial" w:eastAsia="Arial" w:hAnsi="Arial"/>
                <w:sz w:val="22"/>
                <w:szCs w:val="22"/>
                <w:color w:val="auto"/>
              </w:rPr>
              <w:t>0001436126</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22"/>
                <w:szCs w:val="22"/>
                <w:color w:val="auto"/>
              </w:rPr>
              <w:t>Key</w:t>
            </w: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22"/>
                <w:szCs w:val="22"/>
                <w:color w:val="auto"/>
              </w:rPr>
              <w:t>Fee Exhibit Type</w:t>
            </w:r>
          </w:p>
        </w:tc>
        <w:tc>
          <w:tcPr>
            <w:tcW w:w="1860" w:type="dxa"/>
            <w:vAlign w:val="bottom"/>
          </w:tcPr>
          <w:p>
            <w:pPr>
              <w:ind w:left="180"/>
              <w:spacing w:after="0"/>
              <w:rPr>
                <w:sz w:val="20"/>
                <w:szCs w:val="20"/>
                <w:color w:val="auto"/>
              </w:rPr>
            </w:pPr>
            <w:r>
              <w:rPr>
                <w:rFonts w:ascii="Arial" w:cs="Arial" w:eastAsia="Arial" w:hAnsi="Arial"/>
                <w:sz w:val="22"/>
                <w:szCs w:val="22"/>
                <w:color w:val="auto"/>
                <w:w w:val="96"/>
              </w:rPr>
              <w:t>EX-FILING FEES</w:t>
            </w:r>
          </w:p>
        </w:tc>
        <w:tc>
          <w:tcPr>
            <w:tcW w:w="0" w:type="dxa"/>
            <w:vAlign w:val="bottom"/>
          </w:tcPr>
          <w:p>
            <w:pPr>
              <w:spacing w:after="0"/>
              <w:rPr>
                <w:sz w:val="1"/>
                <w:szCs w:val="1"/>
                <w:color w:val="auto"/>
              </w:rPr>
            </w:pPr>
          </w:p>
        </w:tc>
      </w:tr>
      <w:tr>
        <w:trPr>
          <w:trHeight w:val="283"/>
        </w:trPr>
        <w:tc>
          <w:tcPr>
            <w:tcW w:w="2060" w:type="dxa"/>
            <w:vAlign w:val="bottom"/>
          </w:tcPr>
          <w:p>
            <w:pPr>
              <w:spacing w:after="0"/>
              <w:rPr>
                <w:sz w:val="20"/>
                <w:szCs w:val="20"/>
                <w:color w:val="auto"/>
              </w:rPr>
            </w:pPr>
            <w:r>
              <w:rPr>
                <w:rFonts w:ascii="Arial" w:cs="Arial" w:eastAsia="Arial" w:hAnsi="Arial"/>
                <w:sz w:val="22"/>
                <w:szCs w:val="22"/>
                <w:color w:val="auto"/>
              </w:rPr>
              <w:t>Offset Table</w:t>
            </w:r>
          </w:p>
        </w:tc>
        <w:tc>
          <w:tcPr>
            <w:tcW w:w="1860" w:type="dxa"/>
            <w:vAlign w:val="bottom"/>
          </w:tcPr>
          <w:p>
            <w:pPr>
              <w:ind w:left="18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329939545v1</w:t>
      </w:r>
    </w:p>
    <w:p>
      <w:pPr>
        <w:sectPr>
          <w:pgSz w:w="11900" w:h="16838" w:orient="portrait"/>
          <w:cols w:equalWidth="0" w:num="1">
            <w:col w:w="10139"/>
          </w:cols>
          <w:pgMar w:left="320" w:top="144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4"/>
          <w:szCs w:val="14"/>
          <w:b w:val="1"/>
          <w:bCs w:val="1"/>
          <w:color w:val="0E2B8D"/>
        </w:rPr>
        <w:drawing>
          <wp:anchor simplePos="0" relativeHeight="251657728" behindDoc="1" locked="0" layoutInCell="0" allowOverlap="1">
            <wp:simplePos x="0" y="0"/>
            <wp:positionH relativeFrom="page">
              <wp:posOffset>208280</wp:posOffset>
            </wp:positionH>
            <wp:positionV relativeFrom="page">
              <wp:posOffset>88900</wp:posOffset>
            </wp:positionV>
            <wp:extent cx="221170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11705" cy="600075"/>
                    </a:xfrm>
                    <a:prstGeom prst="rect">
                      <a:avLst/>
                    </a:prstGeom>
                    <a:noFill/>
                  </pic:spPr>
                </pic:pic>
              </a:graphicData>
            </a:graphic>
          </wp:anchor>
        </w:drawing>
        <w:drawing>
          <wp:anchor simplePos="0" relativeHeight="251657728" behindDoc="1" locked="0" layoutInCell="0" allowOverlap="1">
            <wp:simplePos x="0" y="0"/>
            <wp:positionH relativeFrom="page">
              <wp:posOffset>1579880</wp:posOffset>
            </wp:positionH>
            <wp:positionV relativeFrom="page">
              <wp:posOffset>851535</wp:posOffset>
            </wp:positionV>
            <wp:extent cx="5760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8255"/>
                    </a:xfrm>
                    <a:prstGeom prst="rect">
                      <a:avLst/>
                    </a:prstGeom>
                    <a:noFill/>
                  </pic:spPr>
                </pic:pic>
              </a:graphicData>
            </a:graphic>
          </wp:anchor>
        </w:drawing>
        <w:t>Eileen Coggins</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0E2B8D"/>
        </w:rPr>
        <w:t>Executive Vice President, General Counsel &amp; Secretary</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 (609) 716-4000</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195 Clarksville Road </w:t>
      </w:r>
      <w:r>
        <w:rPr>
          <w:rFonts w:ascii="Arial" w:cs="Arial" w:eastAsia="Arial" w:hAnsi="Arial"/>
          <w:sz w:val="14"/>
          <w:szCs w:val="14"/>
          <w:color w:val="0E2B8D"/>
        </w:rPr>
        <w:t>●</w:t>
      </w:r>
      <w:r>
        <w:rPr>
          <w:rFonts w:ascii="Times New Roman" w:cs="Times New Roman" w:eastAsia="Times New Roman" w:hAnsi="Times New Roman"/>
          <w:sz w:val="14"/>
          <w:szCs w:val="14"/>
          <w:color w:val="auto"/>
        </w:rPr>
        <w:t xml:space="preserve"> Princeton Jct., NJ 08550</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Eileen.coggins@mistrasgroup.com</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0E2B8D"/>
        </w:rPr>
        <w:t>www.mistrasgroup.com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Junction, New Jersey 08550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MISTRAS Group, Inc.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 am the Executive Vice President, General Counsel and Secretary of MISTRAS Group, Inc., a Delaware corporation (the “Company”), and have acted as counsel to the Company in connection with the preparation and filing of a Registration Statement on Form S-8 (the “Registration Statement”) under the Securities Act of 1933 (the “Act”), for the registration of an additional 2,200,000 shares of common stock, par value $0.01 per share, of the Company (the “Shares”) that may be issued under the Mistras Group, Inc. 2016 Long-Term Incentive Plan, as Amended and Restated as of March 27, 2024 and as further amended (the “Plan”).</w:t>
      </w:r>
    </w:p>
    <w:p>
      <w:pPr>
        <w:spacing w:after="0" w:line="21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rendering the opinion set forth herein, I have examined and relied on originals or copies, certified or otherwise identified to my satisfaction, the following: (i) the Plan; (ii) the Registration Statement in the form to be filed under the Act; (iii) the Second Amended and Restated Certificate of Incorporation, as amended to date and currently in effect; (iv) the Amended and Restated By-Laws of the Company, as amended to date and currently in effect; (v) certain resolutions of the Board of Directors of the Company (the “Board”) relating to the Plan, the filing of the Registration Statement and certain related matters; (vi) the certificate and report of the inspector of election at the Company’s annual meeting of shareholders held on May 19, 2026; and (vii) such other documents as I have deemed necessary or appropriate as a basis for the opinion set forth below.</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my examination, I have assumed the legal capacity of all natural persons, the genuineness of all signatures, the authenticity of all documents submitted to me as originals, the conformity to original documents of all documents submitted to me as certified, conformed copies and the authenticity of the originals of such latter documents.</w:t>
      </w:r>
    </w:p>
    <w:p>
      <w:pPr>
        <w:spacing w:after="0" w:line="20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Based upon the foregoing, I am of the opinion that the Shares to be issued under the Plan have been duly authorized and, when issued, delivered and paid for in accordance with the terms of the Plan and the agreements that accompany the Plan, the Shares will be validly issued, fully paid and nonassessable.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 am a member of the bar of the State of New Jersey and Commonwealth of Pennsylvania, and I do not express any opinion as to the laws of any other jurisdiction other than the Delaware General Corporation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consent to the filing of this opinion with the U.S. Securities and Exchange Commission as an exhibit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329933264v2</w:t>
      </w:r>
    </w:p>
    <w:p>
      <w:pPr>
        <w:sectPr>
          <w:pgSz w:w="11900" w:h="16838" w:orient="portrait"/>
          <w:cols w:equalWidth="0" w:num="1">
            <w:col w:w="11240"/>
          </w:cols>
          <w:pgMar w:left="320" w:top="142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color w:val="0E2B8D"/>
        </w:rPr>
        <w:drawing>
          <wp:anchor simplePos="0" relativeHeight="251657728" behindDoc="1" locked="0" layoutInCell="0" allowOverlap="1">
            <wp:simplePos x="0" y="0"/>
            <wp:positionH relativeFrom="page">
              <wp:posOffset>208280</wp:posOffset>
            </wp:positionH>
            <wp:positionV relativeFrom="page">
              <wp:posOffset>88900</wp:posOffset>
            </wp:positionV>
            <wp:extent cx="221170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11705" cy="600075"/>
                    </a:xfrm>
                    <a:prstGeom prst="rect">
                      <a:avLst/>
                    </a:prstGeom>
                    <a:noFill/>
                  </pic:spPr>
                </pic:pic>
              </a:graphicData>
            </a:graphic>
          </wp:anchor>
        </w:drawing>
        <w:drawing>
          <wp:anchor simplePos="0" relativeHeight="251657728" behindDoc="1" locked="0" layoutInCell="0" allowOverlap="1">
            <wp:simplePos x="0" y="0"/>
            <wp:positionH relativeFrom="page">
              <wp:posOffset>1579880</wp:posOffset>
            </wp:positionH>
            <wp:positionV relativeFrom="page">
              <wp:posOffset>851535</wp:posOffset>
            </wp:positionV>
            <wp:extent cx="5760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8255"/>
                    </a:xfrm>
                    <a:prstGeom prst="rect">
                      <a:avLst/>
                    </a:prstGeom>
                    <a:noFill/>
                  </pic:spPr>
                </pic:pic>
              </a:graphicData>
            </a:graphic>
          </wp:anchor>
        </w:drawing>
        <w:t>Eileen Coggins</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0E2B8D"/>
        </w:rPr>
        <w:t>Executive Vice President, General Counsel &amp; Secretary</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 (609) 716-4000</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195 Clarksville Road </w:t>
      </w:r>
      <w:r>
        <w:rPr>
          <w:rFonts w:ascii="Arial" w:cs="Arial" w:eastAsia="Arial" w:hAnsi="Arial"/>
          <w:sz w:val="14"/>
          <w:szCs w:val="14"/>
          <w:color w:val="0E2B8D"/>
        </w:rPr>
        <w:t>●</w:t>
      </w:r>
      <w:r>
        <w:rPr>
          <w:rFonts w:ascii="Times New Roman" w:cs="Times New Roman" w:eastAsia="Times New Roman" w:hAnsi="Times New Roman"/>
          <w:sz w:val="14"/>
          <w:szCs w:val="14"/>
          <w:color w:val="auto"/>
        </w:rPr>
        <w:t xml:space="preserve"> Princeton Jct., NJ 08550</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Eileen.coggins@mistrasgroup.com</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0E2B8D"/>
        </w:rPr>
        <w:t>www.mistrasgroup.com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Eileen Coggins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Eileen Coggins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329933264v2</w:t>
      </w:r>
    </w:p>
    <w:p>
      <w:pPr>
        <w:sectPr>
          <w:pgSz w:w="11900" w:h="16838" w:orient="portrait"/>
          <w:cols w:equalWidth="0" w:num="1">
            <w:col w:w="11240"/>
          </w:cols>
          <w:pgMar w:left="320" w:top="142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87"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Mistras Group, Inc. of our report dated March 11, 2026 relating to the financial statements and the effectiveness of internal control over financial reporting, which appears in Mistras Group Inc.'s Annual Report on Form 10-K for the year ended December 31,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609"/>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ǂ"/>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Roman"/>
      <w:start w:val="3"/>
    </w:lvl>
  </w:abstractNum>
  <w:abstractNum w:abstractNumId="5">
    <w:nsid w:val="79E2A9E3"/>
    <w:multiLevelType w:val="hybridMultilevel"/>
    <w:lvl w:ilvl="0">
      <w:lvlJc w:val="left"/>
      <w:lvlText w:val="%1"/>
      <w:numFmt w:val="lowerLetter"/>
      <w:start w:val="1"/>
    </w:lvl>
    <w:lvl w:ilvl="1">
      <w:lvlJc w:val="left"/>
      <w:lvlText w:val="(%2)"/>
      <w:numFmt w:val="decimal"/>
      <w:start w:val="2"/>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10" Type="http://schemas.openxmlformats.org/officeDocument/2006/relationships/hyperlink" Target="https://www.sec.gov/Archives/edgar/data/1436126/000095012309044623/y02145a4sv1za.htm" TargetMode="External"/><Relationship Id="rId11" Type="http://schemas.openxmlformats.org/officeDocument/2006/relationships/hyperlink" Target="https://www.sec.gov/Archives/edgar/data/1436126/000143612617000011/fy17q2exhibit31.htm" TargetMode="External"/><Relationship Id="rId12" Type="http://schemas.openxmlformats.org/officeDocument/2006/relationships/hyperlink" Target="https://www.sec.gov/Archives/edgar/data/1436126/000095012309044623/y02145a4exv3w1.htm" TargetMode="External"/><Relationship Id="rId13" Type="http://schemas.openxmlformats.org/officeDocument/2006/relationships/hyperlink" Target="https://www.sec.gov/ix?doc=/Archives/edgar/data/0001436126/000114036126013689/ny20063324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2026-06-18T11:23:35Z</dcterms:created>
  <dcterms:modified xsi:type="dcterms:W3CDTF">2026-06-18T11:23:35Z</dcterms:modified>
</cp:coreProperties>
</file>