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 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lineRule="auto" w:line="288" w:before="0" w:after="0"/>
        <w:jc w:val="center"/>
        <w:rPr>
          <w:color w:val="000000"/>
        </w:rPr>
      </w:pPr>
      <w:r>
        <w:rPr>
          <w:color w:val="000000"/>
        </w:rPr>
        <w:t> </w:t>
      </w:r>
    </w:p>
    <w:p>
      <w:pPr>
        <w:pStyle w:val="TextBody"/>
        <w:bidi w:val="0"/>
        <w:spacing w:lineRule="auto" w:line="288" w:before="0" w:after="120"/>
        <w:ind w:left="0" w:right="0" w:hanging="720"/>
        <w:jc w:val="left"/>
        <w:rPr/>
      </w:pPr>
      <w:r>
        <w:rPr>
          <w:color w:val="000000"/>
        </w:rPr>
        <w:t>☒    </w:t>
      </w:r>
      <w:r>
        <w:rPr>
          <w:rFonts w:ascii="Times New Roman;sans-serif" w:hAnsi="Times New Roman;sans-serif"/>
          <w:b/>
          <w:color w:val="000000"/>
          <w:sz w:val="24"/>
        </w:rPr>
        <w:t>ANNUAL REPORT PURSUANT TO SECTION 13 OR 15(d) OF THE SECURITIES EXCHANGE ACT OF 1934</w:t>
      </w:r>
    </w:p>
    <w:p>
      <w:pPr>
        <w:pStyle w:val="TextBody"/>
        <w:bidi w:val="0"/>
        <w:spacing w:lineRule="auto" w:line="288" w:before="0" w:after="120"/>
        <w:ind w:left="0" w:right="0" w:hanging="72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0" w:after="120"/>
        <w:ind w:left="0" w:right="0" w:hanging="72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24"/>
        </w:rPr>
        <w:t>TRANSITION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ind w:left="0" w:right="0" w:hanging="72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 to 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001-34481</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Mistras Group, Inc.</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Exact name of registrant as specified in its charter</w:t>
      </w:r>
      <w:r>
        <w:rPr>
          <w:rFonts w:ascii="Times New Roman;sans-serif" w:hAnsi="Times New Roman;sans-serif"/>
          <w:b w:val="false"/>
          <w:color w:val="000000"/>
          <w:sz w:val="20"/>
        </w:rPr>
        <w:t>)</w:t>
      </w:r>
    </w:p>
    <w:p>
      <w:pPr>
        <w:pStyle w:val="TextBody"/>
        <w:bidi w:val="0"/>
        <w:spacing w:lineRule="auto" w:line="288" w:before="0" w:after="0"/>
        <w:jc w:val="center"/>
        <w:rPr>
          <w:color w:val="000000"/>
        </w:rPr>
      </w:pPr>
      <w:r>
        <w:rPr>
          <w:color w:val="000000"/>
        </w:rPr>
        <w:t> </w:t>
      </w:r>
    </w:p>
    <w:tbl>
      <w:tblPr>
        <w:tblW w:w="5021" w:type="dxa"/>
        <w:jc w:val="center"/>
        <w:tblInd w:w="0" w:type="dxa"/>
        <w:tblLayout w:type="fixed"/>
        <w:tblCellMar>
          <w:top w:w="28" w:type="dxa"/>
          <w:left w:w="28" w:type="dxa"/>
          <w:bottom w:w="28" w:type="dxa"/>
          <w:right w:w="28" w:type="dxa"/>
        </w:tblCellMar>
      </w:tblPr>
      <w:tblGrid>
        <w:gridCol w:w="964"/>
        <w:gridCol w:w="847"/>
        <w:gridCol w:w="858"/>
        <w:gridCol w:w="109"/>
        <w:gridCol w:w="109"/>
        <w:gridCol w:w="109"/>
        <w:gridCol w:w="592"/>
        <w:gridCol w:w="592"/>
        <w:gridCol w:w="841"/>
      </w:tblGrid>
      <w:tr>
        <w:trPr/>
        <w:tc>
          <w:tcPr>
            <w:tcW w:w="9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22-3341267</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State or other jurisdiction of</w:t>
            </w:r>
          </w:p>
          <w:p>
            <w:pPr>
              <w:pStyle w:val="TableContents"/>
              <w:bidi w:val="0"/>
              <w:spacing w:lineRule="auto" w:line="240" w:before="0" w:after="0"/>
              <w:jc w:val="center"/>
              <w:rPr/>
            </w:pPr>
            <w:r>
              <w:rPr>
                <w:rFonts w:ascii="Times New Roman;sans-serif" w:hAnsi="Times New Roman;sans-serif"/>
                <w:b w:val="false"/>
                <w:i/>
                <w:color w:val="000000"/>
                <w:sz w:val="20"/>
              </w:rPr>
              <w:t>incorporation or organization</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I.R.S. Employer</w:t>
            </w:r>
          </w:p>
          <w:p>
            <w:pPr>
              <w:pStyle w:val="TableContents"/>
              <w:bidi w:val="0"/>
              <w:spacing w:lineRule="auto" w:line="240" w:before="0" w:after="0"/>
              <w:jc w:val="center"/>
              <w:rPr/>
            </w:pPr>
            <w:r>
              <w:rPr>
                <w:rFonts w:ascii="Times New Roman;sans-serif" w:hAnsi="Times New Roman;sans-serif"/>
                <w:b w:val="false"/>
                <w:i/>
                <w:color w:val="000000"/>
                <w:sz w:val="20"/>
              </w:rPr>
              <w:t>Identification Number</w:t>
            </w:r>
            <w:r>
              <w:rPr>
                <w:rFonts w:ascii="Times New Roman;sans-serif" w:hAnsi="Times New Roman;sans-serif"/>
                <w:b w:val="false"/>
                <w:color w:val="000000"/>
                <w:sz w:val="20"/>
              </w:rPr>
              <w: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195 Clarksville Road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Princeton Junction, New Jersey 08550</w:t>
      </w:r>
    </w:p>
    <w:p>
      <w:pPr>
        <w:pStyle w:val="TextBody"/>
        <w:bidi w:val="0"/>
        <w:spacing w:lineRule="auto" w:line="417"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Address of principal executive offices</w:t>
      </w:r>
      <w:r>
        <w:rPr>
          <w:rFonts w:ascii="Times New Roman;sans-serif" w:hAnsi="Times New Roman;sans-serif"/>
          <w:b w:val="false"/>
          <w:color w:val="000000"/>
          <w:sz w:val="20"/>
        </w:rPr>
        <w:t>) (</w:t>
      </w:r>
      <w:r>
        <w:rPr>
          <w:rFonts w:ascii="Times New Roman;sans-serif" w:hAnsi="Times New Roman;sans-serif"/>
          <w:b w:val="false"/>
          <w:i/>
          <w:color w:val="000000"/>
          <w:sz w:val="20"/>
        </w:rPr>
        <w:t>Zip Code</w:t>
      </w:r>
      <w:r>
        <w:rPr>
          <w:rFonts w:ascii="Times New Roman;sans-serif" w:hAnsi="Times New Roman;sans-serif"/>
          <w:b w:val="false"/>
          <w:color w:val="000000"/>
          <w:sz w:val="20"/>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(609) 716-4000</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Registrant's telephone number, including area code</w:t>
      </w:r>
      <w:r>
        <w:rPr>
          <w:rFonts w:ascii="Times New Roman;sans-serif" w:hAnsi="Times New Roman;sans-serif"/>
          <w:b w:val="false"/>
          <w:color w:val="000000"/>
          <w:sz w:val="2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Securities registered pursuant to Section 12(b) of the Act:</w:t>
      </w:r>
      <w:r>
        <w:rPr>
          <w:color w:val="000000"/>
        </w:rPr>
        <w:t> </w:t>
      </w:r>
    </w:p>
    <w:tbl>
      <w:tblPr>
        <w:tblW w:w="9383" w:type="dxa"/>
        <w:jc w:val="left"/>
        <w:tblInd w:w="0" w:type="dxa"/>
        <w:tblLayout w:type="fixed"/>
        <w:tblCellMar>
          <w:top w:w="28" w:type="dxa"/>
          <w:left w:w="28" w:type="dxa"/>
          <w:bottom w:w="28" w:type="dxa"/>
          <w:right w:w="28" w:type="dxa"/>
        </w:tblCellMar>
      </w:tblPr>
      <w:tblGrid>
        <w:gridCol w:w="1292"/>
        <w:gridCol w:w="1137"/>
        <w:gridCol w:w="1140"/>
        <w:gridCol w:w="109"/>
        <w:gridCol w:w="109"/>
        <w:gridCol w:w="109"/>
        <w:gridCol w:w="469"/>
        <w:gridCol w:w="469"/>
        <w:gridCol w:w="471"/>
        <w:gridCol w:w="109"/>
        <w:gridCol w:w="109"/>
        <w:gridCol w:w="109"/>
        <w:gridCol w:w="1099"/>
        <w:gridCol w:w="1099"/>
        <w:gridCol w:w="1553"/>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Name of each exchange on which registered</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5198"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784"/>
        <w:gridCol w:w="784"/>
        <w:gridCol w:w="787"/>
        <w:gridCol w:w="109"/>
        <w:gridCol w:w="109"/>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Large accelerated filer </w:t>
            </w: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Non-accelerated filer </w:t>
            </w: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Yes ☐  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 240.10D-1(b). Yes ☐  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Act).  Yes ☐  No </w:t>
      </w:r>
      <w:r>
        <w:rPr>
          <w:color w:val="000000"/>
        </w:rPr>
        <w: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stock held by non-affiliates of the registrant, based on the closing price of $7.72 on June 30, 2023, the last business day of the registrant's most recently completed second fiscal quarter, as reported on the New York Stock Exchange, was approximately $158.4 million.</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6, 2024, the Registrant had 30,634,785 shares of common stock outstanding.</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Part III (Items 10, 11, 12, 13 and 14) is incorporated by reference to portions of the registrant’s definitive proxy statement for its 2024 annual meeting of stockholders (the “Proxy Statement”), which is expected to be filed not later than 120 days after the registrant’s fiscal year ended December 31, 2023. Except as expressly incorporated by reference, the Proxy Statement shall not be deemed to be a part of this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Auditor Name: PricewaterhouseCoopers LLP Auditor Location: Philadelphia, Pennsylvania Auditor Firm ID: 238</w: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MISTRAS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3"/>
        <w:gridCol w:w="117"/>
        <w:gridCol w:w="117"/>
        <w:gridCol w:w="262"/>
        <w:gridCol w:w="262"/>
        <w:gridCol w:w="271"/>
        <w:gridCol w:w="3002"/>
        <w:gridCol w:w="2882"/>
        <w:gridCol w:w="2786"/>
        <w:gridCol w:w="109"/>
        <w:gridCol w:w="109"/>
        <w:gridCol w:w="155"/>
      </w:tblGrid>
      <w:tr>
        <w:trPr/>
        <w:tc>
          <w:tcPr>
            <w:tcW w:w="1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0">
              <w:r>
                <w:rPr>
                  <w:rStyle w:val="InternetLink"/>
                  <w:rFonts w:ascii="Times New Roman;sans-serif" w:hAnsi="Times New Roman;sans-serif"/>
                  <w:b w:val="false"/>
                  <w:color w:val="0000FF"/>
                  <w:sz w:val="20"/>
                  <w:u w:val="single"/>
                </w:rPr>
                <w:t>PART I</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3">
              <w:r>
                <w:rPr>
                  <w:rStyle w:val="InternetLink"/>
                  <w:rFonts w:ascii="Times New Roman;sans-serif" w:hAnsi="Times New Roman;sans-serif"/>
                  <w:b w:val="false"/>
                  <w:color w:val="0000FF"/>
                  <w:sz w:val="20"/>
                  <w:u w:val="single"/>
                </w:rPr>
                <w:t>ITEM 1.</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3">
              <w:r>
                <w:rPr>
                  <w:rStyle w:val="InternetLink"/>
                  <w:rFonts w:ascii="Times New Roman;sans-serif" w:hAnsi="Times New Roman;sans-serif"/>
                  <w:b w:val="false"/>
                  <w:color w:val="0000FF"/>
                  <w:sz w:val="20"/>
                  <w:u w:val="single"/>
                </w:rPr>
                <w:t>BUSINESS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3">
              <w:r>
                <w:rPr>
                  <w:rStyle w:val="InternetLink"/>
                  <w:rFonts w:ascii="Times New Roman;sans-serif" w:hAnsi="Times New Roman;sans-serif"/>
                  <w:b w:val="false"/>
                  <w:color w:val="0000FF"/>
                  <w:sz w:val="20"/>
                  <w:u w:val="single"/>
                </w:rPr>
                <w:t>3</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6">
              <w:r>
                <w:rPr>
                  <w:rStyle w:val="InternetLink"/>
                  <w:rFonts w:ascii="Times New Roman;sans-serif" w:hAnsi="Times New Roman;sans-serif"/>
                  <w:b w:val="false"/>
                  <w:color w:val="0000FF"/>
                  <w:sz w:val="20"/>
                  <w:u w:val="single"/>
                </w:rPr>
                <w:t>ITEM 1A.</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6">
              <w:r>
                <w:rPr>
                  <w:rStyle w:val="InternetLink"/>
                  <w:rFonts w:ascii="Times New Roman;sans-serif" w:hAnsi="Times New Roman;sans-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6">
              <w:r>
                <w:rPr>
                  <w:rStyle w:val="InternetLink"/>
                  <w:rFonts w:ascii="Times New Roman;sans-serif" w:hAnsi="Times New Roman;sans-serif"/>
                  <w:b w:val="false"/>
                  <w:color w:val="0000FF"/>
                  <w:sz w:val="20"/>
                  <w:u w:val="single"/>
                </w:rPr>
                <w:t>21</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9">
              <w:r>
                <w:rPr>
                  <w:rStyle w:val="InternetLink"/>
                  <w:rFonts w:ascii="Times New Roman;sans-serif" w:hAnsi="Times New Roman;sans-serif"/>
                  <w:b w:val="false"/>
                  <w:color w:val="0000FF"/>
                  <w:sz w:val="20"/>
                  <w:u w:val="single"/>
                </w:rPr>
                <w:t>ITEM 1B.</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9">
              <w:r>
                <w:rPr>
                  <w:rStyle w:val="InternetLink"/>
                  <w:rFonts w:ascii="Times New Roman;sans-serif" w:hAnsi="Times New Roman;sans-serif"/>
                  <w:b w:val="false"/>
                  <w:color w:val="0000FF"/>
                  <w:sz w:val="20"/>
                  <w:u w:val="single"/>
                </w:rPr>
                <w:t>UNRESOLVED STAFF COMMENTS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9">
              <w:r>
                <w:rPr>
                  <w:rStyle w:val="InternetLink"/>
                  <w:rFonts w:ascii="Times New Roman;sans-serif" w:hAnsi="Times New Roman;sans-serif"/>
                  <w:b w:val="false"/>
                  <w:color w:val="0000FF"/>
                  <w:sz w:val="20"/>
                  <w:u w:val="single"/>
                </w:rPr>
                <w:t>29</w:t>
              </w:r>
            </w:hyperlink>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2199023257399">
              <w:r>
                <w:rPr>
                  <w:rStyle w:val="InternetLink"/>
                  <w:rFonts w:ascii="Times New Roman;sans-serif" w:hAnsi="Times New Roman;sans-serif"/>
                  <w:b w:val="false"/>
                  <w:color w:val="000080"/>
                  <w:sz w:val="20"/>
                  <w:u w:val="single"/>
                </w:rPr>
                <w:t>ITEM 1</w:t>
              </w:r>
            </w:hyperlink>
            <w:hyperlink w:anchor="i13948255d4264b4782f3aa4244cf830f_2199023257399">
              <w:r>
                <w:rPr>
                  <w:rStyle w:val="InternetLink"/>
                  <w:rFonts w:ascii="Times New Roman;sans-serif" w:hAnsi="Times New Roman;sans-serif"/>
                  <w:b w:val="false"/>
                  <w:color w:val="000080"/>
                  <w:sz w:val="20"/>
                  <w:u w:val="single"/>
                </w:rPr>
                <w:t>C</w:t>
              </w:r>
            </w:hyperlink>
            <w:hyperlink w:anchor="i13948255d4264b4782f3aa4244cf830f_2199023257399">
              <w:r>
                <w:rPr>
                  <w:rStyle w:val="InternetLink"/>
                  <w:rFonts w:ascii="Times New Roman;sans-serif" w:hAnsi="Times New Roman;sans-serif"/>
                  <w:b w:val="false"/>
                  <w:color w:val="000080"/>
                  <w:sz w:val="20"/>
                  <w:u w:val="single"/>
                </w:rPr>
                <w:t>.</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2199023257399">
              <w:r>
                <w:rPr>
                  <w:rStyle w:val="InternetLink"/>
                  <w:rFonts w:ascii="Times New Roman;sans-serif" w:hAnsi="Times New Roman;sans-serif"/>
                  <w:b w:val="false"/>
                  <w:color w:val="0000FF"/>
                  <w:sz w:val="20"/>
                  <w:u w:val="single"/>
                </w:rPr>
                <w:t>CYBERSECURITY</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2199023257399">
              <w:r>
                <w:rPr>
                  <w:rStyle w:val="InternetLink"/>
                  <w:rFonts w:ascii="Times New Roman;sans-serif" w:hAnsi="Times New Roman;sans-serif"/>
                  <w:b w:val="false"/>
                  <w:color w:val="0000FF"/>
                  <w:sz w:val="20"/>
                  <w:u w:val="single"/>
                </w:rPr>
                <w:t>29</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22">
              <w:r>
                <w:rPr>
                  <w:rStyle w:val="InternetLink"/>
                  <w:rFonts w:ascii="Times New Roman;sans-serif" w:hAnsi="Times New Roman;sans-serif"/>
                  <w:b w:val="false"/>
                  <w:color w:val="0000FF"/>
                  <w:sz w:val="20"/>
                  <w:u w:val="single"/>
                </w:rPr>
                <w:t>ITEM 2.</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22">
              <w:r>
                <w:rPr>
                  <w:rStyle w:val="InternetLink"/>
                  <w:rFonts w:ascii="Times New Roman;sans-serif" w:hAnsi="Times New Roman;sans-serif"/>
                  <w:b w:val="false"/>
                  <w:color w:val="0000FF"/>
                  <w:sz w:val="20"/>
                  <w:u w:val="single"/>
                </w:rPr>
                <w:t>PROPERTIES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22">
              <w:r>
                <w:rPr>
                  <w:rStyle w:val="InternetLink"/>
                  <w:rFonts w:ascii="Times New Roman;sans-serif" w:hAnsi="Times New Roman;sans-serif"/>
                  <w:b w:val="false"/>
                  <w:color w:val="0000FF"/>
                  <w:sz w:val="20"/>
                  <w:u w:val="single"/>
                </w:rPr>
                <w:t>31</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25">
              <w:r>
                <w:rPr>
                  <w:rStyle w:val="InternetLink"/>
                  <w:rFonts w:ascii="Times New Roman;sans-serif" w:hAnsi="Times New Roman;sans-serif"/>
                  <w:b w:val="false"/>
                  <w:color w:val="0000FF"/>
                  <w:sz w:val="20"/>
                  <w:u w:val="single"/>
                </w:rPr>
                <w:t>ITEM 3.</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25">
              <w:r>
                <w:rPr>
                  <w:rStyle w:val="InternetLink"/>
                  <w:rFonts w:ascii="Times New Roman;sans-serif" w:hAnsi="Times New Roman;sans-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25">
              <w:r>
                <w:rPr>
                  <w:rStyle w:val="InternetLink"/>
                  <w:rFonts w:ascii="Times New Roman;sans-serif" w:hAnsi="Times New Roman;sans-serif"/>
                  <w:b w:val="false"/>
                  <w:color w:val="0000FF"/>
                  <w:sz w:val="20"/>
                  <w:u w:val="single"/>
                </w:rPr>
                <w:t>31</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28">
              <w:r>
                <w:rPr>
                  <w:rStyle w:val="InternetLink"/>
                  <w:rFonts w:ascii="Times New Roman;sans-serif" w:hAnsi="Times New Roman;sans-serif"/>
                  <w:b w:val="false"/>
                  <w:color w:val="0000FF"/>
                  <w:sz w:val="20"/>
                  <w:u w:val="single"/>
                </w:rPr>
                <w:t>ITEM 4.</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28">
              <w:r>
                <w:rPr>
                  <w:rStyle w:val="InternetLink"/>
                  <w:rFonts w:ascii="Times New Roman;sans-serif" w:hAnsi="Times New Roman;sans-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28">
              <w:r>
                <w:rPr>
                  <w:rStyle w:val="InternetLink"/>
                  <w:rFonts w:ascii="Times New Roman;sans-serif" w:hAnsi="Times New Roman;sans-serif"/>
                  <w:b w:val="false"/>
                  <w:color w:val="0000FF"/>
                  <w:sz w:val="20"/>
                  <w:u w:val="single"/>
                </w:rPr>
                <w:t>31</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1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31">
              <w:r>
                <w:rPr>
                  <w:rStyle w:val="InternetLink"/>
                  <w:rFonts w:ascii="Times New Roman;sans-serif" w:hAnsi="Times New Roman;sans-serif"/>
                  <w:b w:val="false"/>
                  <w:color w:val="0000FF"/>
                  <w:sz w:val="20"/>
                  <w:u w:val="single"/>
                </w:rPr>
                <w:t>PART II</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34">
              <w:r>
                <w:rPr>
                  <w:rStyle w:val="InternetLink"/>
                  <w:rFonts w:ascii="Times New Roman;sans-serif" w:hAnsi="Times New Roman;sans-serif"/>
                  <w:b w:val="false"/>
                  <w:color w:val="0000FF"/>
                  <w:sz w:val="20"/>
                  <w:u w:val="single"/>
                </w:rPr>
                <w:t>ITEM 5.</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3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34">
              <w:r>
                <w:rPr>
                  <w:rStyle w:val="InternetLink"/>
                  <w:rFonts w:ascii="Times New Roman;sans-serif" w:hAnsi="Times New Roman;sans-serif"/>
                  <w:b w:val="false"/>
                  <w:color w:val="0000FF"/>
                  <w:sz w:val="20"/>
                  <w:u w:val="single"/>
                </w:rPr>
                <w:t>31</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37">
              <w:r>
                <w:rPr>
                  <w:rStyle w:val="InternetLink"/>
                  <w:rFonts w:ascii="Times New Roman;sans-serif" w:hAnsi="Times New Roman;sans-serif"/>
                  <w:b w:val="false"/>
                  <w:color w:val="0000FF"/>
                  <w:sz w:val="20"/>
                  <w:u w:val="single"/>
                </w:rPr>
                <w:t>ITEM 6.</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37">
              <w:r>
                <w:rPr>
                  <w:rStyle w:val="InternetLink"/>
                  <w:rFonts w:ascii="Times New Roman;sans-serif" w:hAnsi="Times New Roman;sans-serif"/>
                  <w:b w:val="false"/>
                  <w:color w:val="0000FF"/>
                  <w:sz w:val="20"/>
                  <w:u w:val="single"/>
                </w:rPr>
                <w:t>Reserved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37">
              <w:r>
                <w:rPr>
                  <w:rStyle w:val="InternetLink"/>
                  <w:rFonts w:ascii="Times New Roman;sans-serif" w:hAnsi="Times New Roman;sans-serif"/>
                  <w:b w:val="false"/>
                  <w:color w:val="0000FF"/>
                  <w:sz w:val="20"/>
                  <w:u w:val="single"/>
                </w:rPr>
                <w:t>32</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40">
              <w:r>
                <w:rPr>
                  <w:rStyle w:val="InternetLink"/>
                  <w:rFonts w:ascii="Times New Roman;sans-serif" w:hAnsi="Times New Roman;sans-serif"/>
                  <w:b w:val="false"/>
                  <w:color w:val="0000FF"/>
                  <w:sz w:val="20"/>
                  <w:u w:val="single"/>
                </w:rPr>
                <w:t>ITEM 7.</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4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40">
              <w:r>
                <w:rPr>
                  <w:rStyle w:val="InternetLink"/>
                  <w:rFonts w:ascii="Times New Roman;sans-serif" w:hAnsi="Times New Roman;sans-serif"/>
                  <w:b w:val="false"/>
                  <w:color w:val="0000FF"/>
                  <w:sz w:val="20"/>
                  <w:u w:val="single"/>
                </w:rPr>
                <w:t>33</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64">
              <w:r>
                <w:rPr>
                  <w:rStyle w:val="InternetLink"/>
                  <w:rFonts w:ascii="Times New Roman;sans-serif" w:hAnsi="Times New Roman;sans-serif"/>
                  <w:b w:val="false"/>
                  <w:color w:val="0000FF"/>
                  <w:sz w:val="20"/>
                  <w:u w:val="single"/>
                </w:rPr>
                <w:t>ITEM 7A.</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64">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64">
              <w:r>
                <w:rPr>
                  <w:rStyle w:val="InternetLink"/>
                  <w:rFonts w:ascii="Times New Roman;sans-serif" w:hAnsi="Times New Roman;sans-serif"/>
                  <w:b w:val="false"/>
                  <w:color w:val="0000FF"/>
                  <w:sz w:val="20"/>
                  <w:u w:val="single"/>
                </w:rPr>
                <w:t>45</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67">
              <w:r>
                <w:rPr>
                  <w:rStyle w:val="InternetLink"/>
                  <w:rFonts w:ascii="Times New Roman;sans-serif" w:hAnsi="Times New Roman;sans-serif"/>
                  <w:b w:val="false"/>
                  <w:color w:val="0000FF"/>
                  <w:sz w:val="20"/>
                  <w:u w:val="single"/>
                </w:rPr>
                <w:t>ITEM 8.</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67">
              <w:r>
                <w:rPr>
                  <w:rStyle w:val="InternetLink"/>
                  <w:rFonts w:ascii="Times New Roman;sans-serif" w:hAnsi="Times New Roman;sans-serif"/>
                  <w:b w:val="false"/>
                  <w:color w:val="0000FF"/>
                  <w:sz w:val="20"/>
                  <w:u w:val="single"/>
                </w:rPr>
                <w:t>FINANCIAL STATEMENTS AND SUPPLEMENTARY DATA</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67">
              <w:r>
                <w:rPr>
                  <w:rStyle w:val="InternetLink"/>
                  <w:rFonts w:ascii="Times New Roman;sans-serif" w:hAnsi="Times New Roman;sans-serif"/>
                  <w:b w:val="false"/>
                  <w:color w:val="0000FF"/>
                  <w:sz w:val="20"/>
                  <w:u w:val="single"/>
                </w:rPr>
                <w:t>47</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60">
              <w:r>
                <w:rPr>
                  <w:rStyle w:val="InternetLink"/>
                  <w:rFonts w:ascii="Times New Roman;sans-serif" w:hAnsi="Times New Roman;sans-serif"/>
                  <w:b w:val="false"/>
                  <w:color w:val="0000FF"/>
                  <w:sz w:val="20"/>
                  <w:u w:val="single"/>
                </w:rPr>
                <w:t>ITEM 9.</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6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60">
              <w:r>
                <w:rPr>
                  <w:rStyle w:val="InternetLink"/>
                  <w:rFonts w:ascii="Times New Roman;sans-serif" w:hAnsi="Times New Roman;sans-serif"/>
                  <w:b w:val="false"/>
                  <w:color w:val="0000FF"/>
                  <w:sz w:val="20"/>
                  <w:u w:val="single"/>
                </w:rPr>
                <w:t>81</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63">
              <w:r>
                <w:rPr>
                  <w:rStyle w:val="InternetLink"/>
                  <w:rFonts w:ascii="Times New Roman;sans-serif" w:hAnsi="Times New Roman;sans-serif"/>
                  <w:b w:val="false"/>
                  <w:color w:val="0000FF"/>
                  <w:sz w:val="20"/>
                  <w:u w:val="single"/>
                </w:rPr>
                <w:t>ITEM 9A.</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63">
              <w:r>
                <w:rPr>
                  <w:rStyle w:val="InternetLink"/>
                  <w:rFonts w:ascii="Times New Roman;sans-serif" w:hAnsi="Times New Roman;sans-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63">
              <w:r>
                <w:rPr>
                  <w:rStyle w:val="InternetLink"/>
                  <w:rFonts w:ascii="Times New Roman;sans-serif" w:hAnsi="Times New Roman;sans-serif"/>
                  <w:b w:val="false"/>
                  <w:color w:val="0000FF"/>
                  <w:sz w:val="20"/>
                  <w:u w:val="single"/>
                </w:rPr>
                <w:t>82</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66">
              <w:r>
                <w:rPr>
                  <w:rStyle w:val="InternetLink"/>
                  <w:rFonts w:ascii="Times New Roman;sans-serif" w:hAnsi="Times New Roman;sans-serif"/>
                  <w:b w:val="false"/>
                  <w:color w:val="0000FF"/>
                  <w:sz w:val="20"/>
                  <w:u w:val="single"/>
                </w:rPr>
                <w:t>ITEM 9B.</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66">
              <w:r>
                <w:rPr>
                  <w:rStyle w:val="InternetLink"/>
                  <w:rFonts w:ascii="Times New Roman;sans-serif" w:hAnsi="Times New Roman;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66">
              <w:r>
                <w:rPr>
                  <w:rStyle w:val="InternetLink"/>
                  <w:rFonts w:ascii="Times New Roman;sans-serif" w:hAnsi="Times New Roman;sans-serif"/>
                  <w:b w:val="false"/>
                  <w:color w:val="0000FF"/>
                  <w:sz w:val="20"/>
                  <w:u w:val="single"/>
                </w:rPr>
                <w:t>82</w:t>
              </w:r>
            </w:hyperlink>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69">
              <w:r>
                <w:rPr>
                  <w:rStyle w:val="InternetLink"/>
                  <w:rFonts w:ascii="Times New Roman;sans-serif" w:hAnsi="Times New Roman;sans-serif"/>
                  <w:b w:val="false"/>
                  <w:color w:val="0000FF"/>
                  <w:sz w:val="20"/>
                  <w:u w:val="single"/>
                </w:rPr>
                <w:t>ITEM 9C.</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69">
              <w:r>
                <w:rPr>
                  <w:rStyle w:val="InternetLink"/>
                  <w:rFonts w:ascii="Times New Roman;sans-serif" w:hAnsi="Times New Roman;sans-serif"/>
                  <w:b w:val="false"/>
                  <w:color w:val="000080"/>
                  <w:sz w:val="20"/>
                  <w:u w:val="single"/>
                </w:rPr>
                <w:t>D</w:t>
              </w:r>
            </w:hyperlink>
            <w:r>
              <w:rPr>
                <w:rFonts w:ascii="Times New Roman;sans-serif" w:hAnsi="Times New Roman;sans-serif"/>
                <w:b w:val="false"/>
                <w:color w:val="3051F2"/>
                <w:sz w:val="20"/>
                <w:u w:val="single"/>
              </w:rPr>
              <w:t>ISCLOSURES REGARDING FOREIGN JURISDICTIONS THAT PREVENT INSPECTIONS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66">
              <w:r>
                <w:rPr>
                  <w:rStyle w:val="InternetLink"/>
                  <w:rFonts w:ascii="Times New Roman;sans-serif" w:hAnsi="Times New Roman;sans-serif"/>
                  <w:b w:val="false"/>
                  <w:color w:val="0000FF"/>
                  <w:sz w:val="20"/>
                  <w:u w:val="single"/>
                </w:rPr>
                <w:t>82</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1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72">
              <w:r>
                <w:rPr>
                  <w:rStyle w:val="InternetLink"/>
                  <w:rFonts w:ascii="Times New Roman;sans-serif" w:hAnsi="Times New Roman;sans-serif"/>
                  <w:b w:val="false"/>
                  <w:color w:val="0000FF"/>
                  <w:sz w:val="20"/>
                  <w:u w:val="single"/>
                </w:rPr>
                <w:t>PART III</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75">
              <w:r>
                <w:rPr>
                  <w:rStyle w:val="InternetLink"/>
                  <w:rFonts w:ascii="Times New Roman;sans-serif" w:hAnsi="Times New Roman;sans-serif"/>
                  <w:b w:val="false"/>
                  <w:color w:val="0000FF"/>
                  <w:sz w:val="20"/>
                  <w:u w:val="single"/>
                </w:rPr>
                <w:t>ITEM 10.</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75">
              <w:r>
                <w:rPr>
                  <w:rStyle w:val="InternetLink"/>
                  <w:rFonts w:ascii="Times New Roman;sans-serif" w:hAnsi="Times New Roman;sans-serif"/>
                  <w:b w:val="false"/>
                  <w:color w:val="0000FF"/>
                  <w:sz w:val="20"/>
                  <w:u w:val="single"/>
                </w:rPr>
                <w:t>DIRECTORS, EXECUTIVE OFFICERS AND CORPORATE GOVERNANCE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75">
              <w:r>
                <w:rPr>
                  <w:rStyle w:val="InternetLink"/>
                  <w:rFonts w:ascii="Times New Roman;sans-serif" w:hAnsi="Times New Roman;sans-serif"/>
                  <w:b w:val="false"/>
                  <w:color w:val="0000FF"/>
                  <w:sz w:val="20"/>
                  <w:u w:val="single"/>
                </w:rPr>
                <w:t>82</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78">
              <w:r>
                <w:rPr>
                  <w:rStyle w:val="InternetLink"/>
                  <w:rFonts w:ascii="Times New Roman;sans-serif" w:hAnsi="Times New Roman;sans-serif"/>
                  <w:b w:val="false"/>
                  <w:color w:val="0000FF"/>
                  <w:sz w:val="20"/>
                  <w:u w:val="single"/>
                </w:rPr>
                <w:t>ITEM 11.</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78">
              <w:r>
                <w:rPr>
                  <w:rStyle w:val="InternetLink"/>
                  <w:rFonts w:ascii="Times New Roman;sans-serif" w:hAnsi="Times New Roman;sans-serif"/>
                  <w:b w:val="false"/>
                  <w:color w:val="0000FF"/>
                  <w:sz w:val="20"/>
                  <w:u w:val="single"/>
                </w:rPr>
                <w:t>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78">
              <w:r>
                <w:rPr>
                  <w:rStyle w:val="InternetLink"/>
                  <w:rFonts w:ascii="Times New Roman;sans-serif" w:hAnsi="Times New Roman;sans-serif"/>
                  <w:b w:val="false"/>
                  <w:color w:val="0000FF"/>
                  <w:sz w:val="20"/>
                  <w:u w:val="single"/>
                </w:rPr>
                <w:t>82</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81">
              <w:r>
                <w:rPr>
                  <w:rStyle w:val="InternetLink"/>
                  <w:rFonts w:ascii="Times New Roman;sans-serif" w:hAnsi="Times New Roman;sans-serif"/>
                  <w:b w:val="false"/>
                  <w:color w:val="0000FF"/>
                  <w:sz w:val="20"/>
                  <w:u w:val="single"/>
                </w:rPr>
                <w:t>ITEM 12.</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8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81">
              <w:r>
                <w:rPr>
                  <w:rStyle w:val="InternetLink"/>
                  <w:rFonts w:ascii="Times New Roman;sans-serif" w:hAnsi="Times New Roman;sans-serif"/>
                  <w:b w:val="false"/>
                  <w:color w:val="0000FF"/>
                  <w:sz w:val="20"/>
                  <w:u w:val="single"/>
                </w:rPr>
                <w:t>83</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84">
              <w:r>
                <w:rPr>
                  <w:rStyle w:val="InternetLink"/>
                  <w:rFonts w:ascii="Times New Roman;sans-serif" w:hAnsi="Times New Roman;sans-serif"/>
                  <w:b w:val="false"/>
                  <w:color w:val="0000FF"/>
                  <w:sz w:val="20"/>
                  <w:u w:val="single"/>
                </w:rPr>
                <w:t>ITEM 13.</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8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84">
              <w:r>
                <w:rPr>
                  <w:rStyle w:val="InternetLink"/>
                  <w:rFonts w:ascii="Times New Roman;sans-serif" w:hAnsi="Times New Roman;sans-serif"/>
                  <w:b w:val="false"/>
                  <w:color w:val="0000FF"/>
                  <w:sz w:val="20"/>
                  <w:u w:val="single"/>
                </w:rPr>
                <w:t>83</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87">
              <w:r>
                <w:rPr>
                  <w:rStyle w:val="InternetLink"/>
                  <w:rFonts w:ascii="Times New Roman;sans-serif" w:hAnsi="Times New Roman;sans-serif"/>
                  <w:b w:val="false"/>
                  <w:color w:val="0000FF"/>
                  <w:sz w:val="20"/>
                  <w:u w:val="single"/>
                </w:rPr>
                <w:t>ITEM 14.</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87">
              <w:r>
                <w:rPr>
                  <w:rStyle w:val="InternetLink"/>
                  <w:rFonts w:ascii="Times New Roman;sans-serif" w:hAnsi="Times New Roman;sans-serif"/>
                  <w:b w:val="false"/>
                  <w:color w:val="0000FF"/>
                  <w:sz w:val="20"/>
                  <w:u w:val="single"/>
                </w:rPr>
                <w:t>PRINCIPAL ACCOUNTING FEES AND SERVICES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87">
              <w:r>
                <w:rPr>
                  <w:rStyle w:val="InternetLink"/>
                  <w:rFonts w:ascii="Times New Roman;sans-serif" w:hAnsi="Times New Roman;sans-serif"/>
                  <w:b w:val="false"/>
                  <w:color w:val="0000FF"/>
                  <w:sz w:val="20"/>
                  <w:u w:val="single"/>
                </w:rPr>
                <w:t>83</w:t>
              </w:r>
            </w:hyperlink>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1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90">
              <w:r>
                <w:rPr>
                  <w:rStyle w:val="InternetLink"/>
                  <w:rFonts w:ascii="Times New Roman;sans-serif" w:hAnsi="Times New Roman;sans-serif"/>
                  <w:b w:val="false"/>
                  <w:color w:val="0000FF"/>
                  <w:sz w:val="20"/>
                  <w:u w:val="single"/>
                </w:rPr>
                <w:t>PART IV</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93">
              <w:r>
                <w:rPr>
                  <w:rStyle w:val="InternetLink"/>
                  <w:rFonts w:ascii="Times New Roman;sans-serif" w:hAnsi="Times New Roman;sans-serif"/>
                  <w:b w:val="false"/>
                  <w:color w:val="0000FF"/>
                  <w:sz w:val="20"/>
                  <w:u w:val="single"/>
                </w:rPr>
                <w:t>ITEM 15.</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93">
              <w:r>
                <w:rPr>
                  <w:rStyle w:val="InternetLink"/>
                  <w:rFonts w:ascii="Times New Roman;sans-serif" w:hAnsi="Times New Roman;sans-serif"/>
                  <w:b w:val="false"/>
                  <w:color w:val="0000FF"/>
                  <w:sz w:val="20"/>
                  <w:u w:val="single"/>
                </w:rPr>
                <w:t>EXHIBITS AND FINANCIAL STATEMENT SCHEDULES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93">
              <w:r>
                <w:rPr>
                  <w:rStyle w:val="InternetLink"/>
                  <w:rFonts w:ascii="Times New Roman;sans-serif" w:hAnsi="Times New Roman;sans-serif"/>
                  <w:b w:val="false"/>
                  <w:color w:val="0000FF"/>
                  <w:sz w:val="20"/>
                  <w:u w:val="single"/>
                </w:rPr>
                <w:t>83</w:t>
              </w:r>
            </w:hyperlink>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96">
              <w:r>
                <w:rPr>
                  <w:rStyle w:val="InternetLink"/>
                  <w:rFonts w:ascii="Times New Roman;sans-serif" w:hAnsi="Times New Roman;sans-serif"/>
                  <w:b w:val="false"/>
                  <w:color w:val="0000FF"/>
                  <w:sz w:val="20"/>
                  <w:u w:val="single"/>
                </w:rPr>
                <w:t>ITEM 16.</w:t>
              </w:r>
            </w:hyperlink>
          </w:p>
        </w:tc>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196">
              <w:r>
                <w:rPr>
                  <w:rStyle w:val="InternetLink"/>
                  <w:rFonts w:ascii="Times New Roman;sans-serif" w:hAnsi="Times New Roman;sans-serif"/>
                  <w:b w:val="false"/>
                  <w:color w:val="0000FF"/>
                  <w:sz w:val="20"/>
                  <w:u w:val="single"/>
                </w:rPr>
                <w:t>FORM 10-K SUMMARY</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196">
              <w:r>
                <w:rPr>
                  <w:rStyle w:val="InternetLink"/>
                  <w:rFonts w:ascii="Times New Roman;sans-serif" w:hAnsi="Times New Roman;sans-serif"/>
                  <w:b w:val="false"/>
                  <w:color w:val="0000FF"/>
                  <w:sz w:val="20"/>
                  <w:u w:val="single"/>
                </w:rPr>
                <w:t>85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(this "Annual Report") contains forward-looking statements within the meaning of Section 27A of the Securities Act of 1933, as amended (the "Securities Act"), and Section 21E of the Securities Exchange Act of 1934, as amended (the "Exchange Act"), regarding Mistras Group, Inc. ("Mistras," "MISTRAS," "the Company," "us," "we," "our" and similar expressions) and our business, financial condition, results of operations and prospects.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terminology, such as “goals,” “expects,” “anticipates,” “intends,” “plans,” “believes,” “seeks,” “estimates,” “may,” “could,” “should,” “would,” “predicts,” “appears,” “projects,” or the negative of such terms or other similar expressions, although the absence of such words does not mean that a statement is not forward-looking. Factors that could cause or contribute to differences in results and outcomes from those in our forward-looking statements include, without limitation, those discussed elsewhere in this Annual Report in Part I, Item 1A. “Risk Factors,” Part II, Item 7, “Management’s Discussion and Analysis of Financial Condition and Results of Operations” and in this Item 1. We undertake no obligation to (and expressly disclaim any obligation to) revise or update any forward-looking statements made herein whether as a result of new information, future events or otherwise, except as may be required under applicable securities laws. However, you should consult any further disclosures we may make on these or related topics in our reports on Form 8-K or Form 10-Q filed with the Securities and Exchange Commission ("SEC").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discussions should be read in conjunction with the sections of this Annual Report entitled “Management’s Discussion and Analysis of Financial Condition and Results of Operations” and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OUR BUSINESS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Mistras Group, Inc. is a leading "one source" multinational provider of integrated technology-enabled asset protection solutions, helping to maximize the safety and operational uptime for civilization’s most critical industrial and civil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Backed by an innovative, data-driven asset protection portfolio, proprietary technologies, and a decades-long legacy of industry leadership, the Company helps customers with asset-intensive infrastructure in the oil and gas, petrochemical, aerospace and defense, industrials, power generation and transmission (including alternative and renewable energy), other process industries and infrastructure, research and engineering and other industries towards achieving and maintaining operational excellence. By supporting these customers that help fuel our vehicles and power our society; inspecting components that are trusted for commercial, defense, and private space; and building monitoring equipment to help avoid catastrophic incidents, the Company helps the world at large.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enhances value for its customers by providing data driven solutions that digitalize the asset protection process and provide valuable insights to our customers that maximize uptime of the assets monitored. Our data analytical solutions offerings, coupled with the traditional non-destructive testing ("NDT"), provide us a competitive advantage over our competitors. With our ability to integrate asset protection throughout supply chains and centralizing data management, we are able to provide insights and actionable recommendations to our customers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core capabilities also include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role our solutions play in enhancing the safe and efficient operation of our customers'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mechanical services, including heat tracing, pre-inspection insulation stripping, coating applications, re-insulation, engineering assessments and long-term condition-monitoring. Our traditional NDT solutions, coupled with our data analytical solutions offerings, allow us to provide accessible and easily understood data to our customers that allows them to identify when an asset may fail, in order to prioritize inspections and repair.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our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focused on providing our advanced asset protection solutions to our customers using proprietary, technology-enabled software and testing instruments, including those developed by our Products and Systems segment. In the past,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long-term growth can be realized in our target markets. Our business and financial results are impacted by world-wide macro- and micro-economic conditions generally, as well as those within our target markets. Among other things, we expect the timing of our oil and gas customers inspection expenditures to be impacted by oil price fluctuations.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continued providing our customers with an innovative asset protection software ecosystem through our MISTRAS OneSuite platform. The OneSuite platform offers functions of MISTRAS' software and services brands as integrated applications on a cloud environment. OneSuite serves as a single access portal for customers' data activities and provides access to 90 plus applications being offered on one centralized platform.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long-term relationships as a critical solutions provider to many of the leading companies with asset-intensive infrastructure in our target markets. These markets primarily consist 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Oil and Gas (Downstream, Midstream and Upstream)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Aerospace and Defense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Industrial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Power Generation and Transmission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Infrastructure, Research and Engineering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Process Industries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Petrochemical</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revenues are generated by deploying technicians at our customers' locations. A majority of our revenues from aerospace and defense as well as certain manufacturing customers are generated by performing inspections and testing at our various in-house laboratories.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generated revenues of $705.5 million, $687.4 million and $677.1 million for the years ended December 31, 2023, 2022 and 2021, respectively. We generated net loss of $17.4 million, a net income of $6.6 million and net loss of $3.9 million for the years ended December 31, 2023, 2022, and 2021, respectively. For the years ended December 31, 2023, 2022 and 2021, we generated approximately 82%, 83% and 82%, respectively, of our revenues from our North America segment. Our revenues are diversified, with our top ten customers accounting for approximately 35%, 33% and 33% of our revenues during the years ended December 31, 2023, 2022 and 2021, respectively, with no customer accounting for greater than 10% of our revenues in any such year.</w:t>
      </w:r>
    </w:p>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OUR SPECIALIZED SOLUTIONS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As a provider of asset protection solutions, we combine our industry-leading services, products, data management and analytical solutions technologies to provide a unique and custom-tailored solution for each customer’s individual asset protection needs, ranging from routine inspections to complex, plant-wide asset integrity management programs.</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Field Inspections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field inspections portfolio includes traditional and advanced NDT techniques and inline inspection for pipelines. We offer these solutions on an individual basis, or as parts of enterprise inspection and testing programs.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NDT is the examination of an asset without materially impacting its structural integrity. The ability to inspect infrastructure assets and not interfere with their operating performance makes NDT a highly-attractive alternative to many traditional techniques, which may require shutting down an asset or entire facility. Typical issues for which our technicians inspect include potential corrosion, cracking, pitting, leaking, faults and flaws in piping, storage tanks and pressure vessels, as well as a wide range of other industrial assets and public infrastructure.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automated data acquisition solutions utilize smart sensing and monitoring, robotic inspection systems, and digitized spot inspections to provide asset integrity data with greater insight into current and potentially future asset conditions.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Field inspection services lend themselves to integration with our other offerings, and as such have often served as the initial entry point to more advanced customer engagements that require additional solutions. After an initial field inspection is performed, we are able to provide multiple supplemental solutions, such as maintenance services, engineering consulting and data analytical solutions services we provide, that further serve to solidify our relationships with our customers and drive additional revenue.</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Data Analytical Solutions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asset protection solutions that we provide throughout our customers’ asset lifecycles generate mechanical integrity data that needs to be effectively archived, managed, and analyzed. A common difficulty that our customers face is the ability to easily access and analyze large volumes of data from multiple data collection and input sources. We recognize that this data is most valuable to our customers when it is accessible and integrated (regardless of vendor, tool, or facility), and we have taken significant steps to digitalizing asset protection processes through our data analytical solutions product offerings.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data acquisition capabilities capture asset data to help our customers follow regulatory compliance, ensure mechanical integrity, and reduce unplanned outages. We capture data using manned and automated techniques that minimize the impact on our customers' operations. Customers can access our collected data for all facilities, structures, and assets that we manage from one easy to use dashboard, which enables customers to evaluate trending and benchmarking across multiple sites seamlessly.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data is managed in our asset protection software ecosystem, OneSuite. Our OneSuite software platform offers functions of our popular software and services brands as integrated applications in a cloud environment. Our OneSuite software platform serves as a single access portal for customers' data activities and provides access to 90 plus integrated applications being offered in one centralized platform.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customers take advantage of our data analytics capabilities that utilize technology to automatically generate insights and actionable recommendations that can be implemented to improve our customers' overall productivity. Our managed services integrate our data capabilities with data analysts, field personnel and engineers to provide a comprehensive solution to our customers that reduces our customers' overall costs.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customers within the </w:t>
      </w:r>
      <w:r>
        <w:rPr>
          <w:rFonts w:ascii="Times New Roman;sans-serif" w:hAnsi="Times New Roman;sans-serif"/>
          <w:b w:val="false"/>
          <w:i/>
          <w:color w:val="000000"/>
          <w:sz w:val="20"/>
        </w:rPr>
        <w:t xml:space="preserve">oil and gas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petrochemical industries take advantage of our industry-leading application</w:t>
      </w:r>
      <w:r>
        <w:rPr>
          <w:color w:val="000000"/>
        </w:rPr>
        <w:t xml:space="preserve"> </w:t>
      </w:r>
      <w:r>
        <w:rPr>
          <w:rFonts w:ascii="Times New Roman;sans-serif" w:hAnsi="Times New Roman;sans-serif"/>
          <w:b w:val="false"/>
          <w:i/>
          <w:color w:val="000000"/>
          <w:sz w:val="20"/>
        </w:rPr>
        <w:t xml:space="preserve">Plant Condition Management Software (PCMS®). </w:t>
      </w:r>
      <w:r>
        <w:rPr>
          <w:rFonts w:ascii="Times New Roman;sans-serif" w:hAnsi="Times New Roman;sans-serif"/>
          <w:b w:val="false"/>
          <w:color w:val="000000"/>
          <w:sz w:val="20"/>
        </w:rPr>
        <w:t>This application is one of the most widely used asset integrity management systems (“AIMS”). We estimate that our PCMS application is currently used by approximately 50% of the U.S. refiners, as well as by leading midstream pipeline energy companies and major oil and gas companies in Canada and Europe. This allows us to provide our customers with industry-leading insights across all their facilities and enables us to provide additional software and solutions to these customers and perform recurring maintenance where necessary.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pipeline customers utilize our </w:t>
      </w:r>
      <w:r>
        <w:rPr>
          <w:rFonts w:ascii="Times New Roman;sans-serif" w:hAnsi="Times New Roman;sans-serif"/>
          <w:b w:val="false"/>
          <w:i/>
          <w:color w:val="000000"/>
          <w:sz w:val="20"/>
        </w:rPr>
        <w:t>Onstream®</w:t>
      </w:r>
      <w:r>
        <w:rPr>
          <w:color w:val="000000"/>
        </w:rPr>
        <w:t xml:space="preserve"> </w:t>
      </w:r>
      <w:r>
        <w:rPr>
          <w:rFonts w:ascii="Times New Roman;sans-serif" w:hAnsi="Times New Roman;sans-serif"/>
          <w:b w:val="false"/>
          <w:color w:val="000000"/>
          <w:sz w:val="20"/>
        </w:rPr>
        <w:t xml:space="preserve">services and </w:t>
      </w:r>
      <w:r>
        <w:rPr>
          <w:rFonts w:ascii="Times New Roman;sans-serif" w:hAnsi="Times New Roman;sans-serif"/>
          <w:b w:val="false"/>
          <w:i/>
          <w:color w:val="000000"/>
          <w:sz w:val="20"/>
        </w:rPr>
        <w:t>New Century®</w:t>
      </w:r>
      <w:r>
        <w:rPr>
          <w:color w:val="000000"/>
        </w:rPr>
        <w:t xml:space="preserve"> </w:t>
      </w:r>
      <w:r>
        <w:rPr>
          <w:rFonts w:ascii="Times New Roman;sans-serif" w:hAnsi="Times New Roman;sans-serif"/>
          <w:b w:val="false"/>
          <w:color w:val="000000"/>
          <w:sz w:val="20"/>
        </w:rPr>
        <w:t>software platform to capture, manage and analyze pipeline integrity data in the midstream and upstream sectors of the oil and gas industry. We provide among the most comprehensive, data-driven pipeline protection solutions available to the industry. Our proprietary pipeline data analysis solutions enable deep integration of inline inspection ("ILI") big data with real-time risk analytics and business intelligence ("BI") to provide capabilities for supporting pipeline integrity, which we believe provides us with an important competitive advantage.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wind, power and infrastructure customers implement our online condition-monitoring solutions that provide real-time reports and analysis of infrastructure to alert facility personnel to damages before critical failures occur, while our flexible, IIoT compatible, cloud-based online monitoring portal centralizes and analyzes all collected monitoring data. These monitoring solutions are often installed in hazardous or hard-to-reach locations, helping to enhance safety by reducing the need to send technicians into unsafe locations.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Laboratory Testing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network of in-house laboratories located across North America and Europe offers quality assurance and quality control ("QA/QC") solutions for new and existing metal and alloy components, materials, and composites.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in-house laboratories work with our customers to test and measure utilized components throughout their lifetimes, from preparation and production to post-processing and in-service component monitoring. Our laboratory QA/QC solutions help to meet customer needs throughout their manufacturing cycles, with a focus on optimizing production logistics. Our in-house laboratory solutions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Non-destructive evaluation/inspection ("NDE"/"NDI")</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Destructive testing ("DT")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Metallurgical testing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Chemical analysis testing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Mechanical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Machining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Pre-machining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Casting repair solutions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Finishing services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often inspect and test components prior to assembly to screen for defects and discontinuities introduced in the manufacturing process. We also inspect existing components to ensure they remain fit-for-purpose.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laboratories hold a wide variety of certifications, such as: Nadcap (formerly NADCAP, the National Aerospace and Defense Contractors Accreditation Program), AS9100/ISO-9001, Federal Aviation Administration Repair Station, and the International Traffic in Arms Regulations/Export Administration Regulations, that allow us to perform inspections which meet or exceed stringent regulatory and manufacturers' requirements. With these certifications come a comprehensive range of approvals from prime contractors of major projects, militaries and internationally-renowned original equipment manufacturers ("OEMs") from many of our key markets, including the oil and gas, aerospace and defense, power generation and industrial markets. </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Maintenance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perform maintenance and light mechanical services to prepare assets for inspection and to return them to working condition post inspection. These services include corrosion removal, mitigation and prevention; insulation installation and removal; electrical services; heat tracing, industrial cleaning; pipefitting; and welding. Our light mechanical services are often offered as complementary, value-added solutions to inspections, such as removing insulation in order to inspect piping, then re-installing insulation.</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multi-disciplined technicians offer maintenance and light mechanical services in hard-to-access areas, in combination with rope access or diving strategies.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Mechanical services are still a small part of our business, and we carefully try to avoid providing any such services that conflict with our inspection services.</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Engineering Consulting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broad range of engineering consulting services, primarily for process equipment, technologies and facilities. Our engineering consultations include plant operations and management support, turnaround/shutdown planning, profit improvement, facilities planning studies, engineering design, process safety reviews, energy optimization evaluations, benchmarking/key performance indicator development and technical training.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Asset Integrity Management ("AIMS") and Mechanical Integrity ("MI") services help improve asset reliability and regulatory compliance through a systematic, engineering-based approach to ensure the ongoing integrity and safety of equipment and industrial facilities. AIMS/MI services can include conducting an inventory of infrastructure assets; developing, implementing and training personnel in executing inspection and maintenance procedures; and managing MI programs. We help to identify gaps between existing and desired practices and establish quality assurance standards for fabrication, engineering and installation of infrastructure assets.</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Access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Much of our work is conducted in hard-to-access locations, including those in at-height, subsea and confined locations. We utilize scaffolding and rope access to access at-height and confined assets; certified divers for subsea inspection and maintenance; and unmanned (drone) aerial, land-based and subsea systems to deliver a wide range of inspection applications, with an emphasis on minimizing at-height access and confined space entry.</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Equipment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design and manufacture portable, handheld, wireless and turnkey NDT equipment, along with corresponding data acquisition sensors and software, for spot inspections and long-term, unattended monitoring applications.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sell these solutions as individual components, or as complete systems, which include a combination of sensors, amplifiers, signal processing electronics, knowledge-based software and decision and feedback electronics. We also sell integrated service-and-system technology packages, in which our field technicians utilize our proprietary and specialized testing procedures and hardware, advanced pattern recognition, neural network software and databases to compare test results against our prior testing data or industry standards.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range of acoustic emission ("AE") products and are a leader in the design and manufacture of AE sensors, instruments and turnkey systems used for monitoring and testing materials, pressure components, processes, and structures. We also design and manufacture ultrasonic testing ("UT") equipment.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hardware products are fabricated, assembled and tested in our ISO-9001-certified facility in Princeton Junction, New Jersey. We also design and manufacture automated ultrasonic systems and scanners in France.</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Centers of Excellence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Another differentiator in our business model is our Centers of Excellence ("COEs"), which offer support for asset, technology or industry-specific solutions. Our subject matter experts engage in strategic sales opportunities to offer customers value-added solutions using advanced technologies and methods. The COEs help to standardize our approach to common problems in our key market segments. Our COEs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Acoustic Emission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American Petroleum Institute ("API") Turnarounds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AIMS/MI/Engineering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Automated Ultrasonics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Fossil Power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Guided Wave Ultrasonics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Mechanical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Nuclear Power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Phased Array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Rope Access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Wind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Tank Inspection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Tube Inspection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Unmanned Systems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ASSET PROTECTION INDUSTRY OVERVIEW</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Asset protection plays a crucial role in assuring the integrity and reliability of critical infrastructure. As an asset protection solutions provider, we seek to maximize the uptime and safety of critical infrastructure, by helping customers to detect, locate, mitigate, and prevent damages such as corrosion, cracks, leaks, manufacturing flaws and other concerns to operating and structural integrity. In addition to these core utilities, the storage and analysis of collected inspection and MI data is also a key aspect of asset protection.</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NDT has historically been a prominent solution in the asset protection industry due to its capacity to detect defects without compromising the structural integrity of the tested materials or equipment. Traditionally, the supply of NDT inspection services has been provided by many relatively small vendors, who provide services in a more localized geographic region. A trend has emerged, however, for customers to increasingly engage a select few vendors capable of providing a wider spectrum of asset protection solutions for global infrastructure, in addition to an increased demand for advanced non-destructive testing ("ANDT") solutions and data acquisition software, both of which require a highly-trained workforce.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these trends, those vendors offering integrated solutions, scalable operations, skilled personnel and a global footprint are expected to have a distinct competitive advantage. Moreover, we believe that vendors that are able to effectively deliver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advanced solutions and data analytics, by virtue of their access to customers’ data, create a significant barrier to entry for competitors, leading to the opportunity to further create significant recurring revenues.</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Key Dynamics of the Asset Protection Industry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represent key dynamics of the asset protection industry, and that the market available to us will continue to grow as these macro-market trends continue to develop:</w:t>
      </w:r>
    </w:p>
    <w:p>
      <w:pPr>
        <w:pStyle w:val="TextBody"/>
        <w:bidi w:val="0"/>
        <w:spacing w:lineRule="auto" w:line="288" w:before="0" w:after="160"/>
        <w:jc w:val="left"/>
        <w:rPr/>
      </w:pPr>
      <w:r>
        <w:rPr>
          <w:rFonts w:ascii="Times New Roman;sans-serif" w:hAnsi="Times New Roman;sans-serif"/>
          <w:b w:val="false"/>
          <w:i/>
          <w:color w:val="000000"/>
          <w:sz w:val="20"/>
        </w:rPr>
        <w:t xml:space="preserve">Digital Transformation of Asset Protection. </w:t>
      </w:r>
      <w:r>
        <w:rPr>
          <w:rFonts w:ascii="Times New Roman;sans-serif" w:hAnsi="Times New Roman;sans-serif"/>
          <w:b w:val="false"/>
          <w:color w:val="000000"/>
          <w:sz w:val="20"/>
        </w:rPr>
        <w:t>Plants in the oil and gas, petrochemical and other process industries are recognizing the need to evolve their traditional, paper-based mechanical integrity programs in favor of digitalized solutions. The rise of big data intelligence, and our data analytical solutions offerings, provide our customers with actionable insights from raw asset integrity data. The growing digitization of asset protection provides opportunities for contractors with a wide range of asset protection expertise and integrated data platforms to provide customers with data analytical solutions to help customers maximize uptime while controlling costs.</w:t>
      </w:r>
    </w:p>
    <w:p>
      <w:pPr>
        <w:pStyle w:val="TextBody"/>
        <w:bidi w:val="0"/>
        <w:spacing w:lineRule="auto" w:line="288" w:before="0" w:after="160"/>
        <w:jc w:val="left"/>
        <w:rPr/>
      </w:pPr>
      <w:r>
        <w:rPr>
          <w:rFonts w:ascii="Times New Roman;sans-serif" w:hAnsi="Times New Roman;sans-serif"/>
          <w:b w:val="false"/>
          <w:i/>
          <w:color w:val="000000"/>
          <w:sz w:val="20"/>
        </w:rPr>
        <w:t>Extending the Useful Life of Aging Infrastructure While Increasing Utilization</w:t>
      </w:r>
      <w:r>
        <w:rPr>
          <w:rFonts w:ascii="Times New Roman;sans-serif" w:hAnsi="Times New Roman;sans-serif"/>
          <w:b w:val="false"/>
          <w:color w:val="000000"/>
          <w:sz w:val="20"/>
        </w:rPr>
        <w:t>. Due to the prohibitive costs and challenges of building new infrastructure, many companies have chosen to extend the useful life of existing assets through enhancements, rather than replacing these assets. This has resulted in the significant aging and increased utilization of existing infrastructure in our target markets. Because aging infrastructure requires more frequent inspection and maintenance in comparison to new infrastructure, companies and public authorities continue to spend on asset protection to ensure their aging infrastructure assets continue to operate effectively.</w:t>
      </w:r>
      <w:r>
        <w:rPr>
          <w:color w:val="000000"/>
        </w:rPr>
        <w:t xml:space="preserve"> </w:t>
      </w:r>
    </w:p>
    <w:p>
      <w:pPr>
        <w:pStyle w:val="TextBody"/>
        <w:bidi w:val="0"/>
        <w:spacing w:lineRule="auto" w:line="288" w:before="0" w:after="160"/>
        <w:jc w:val="left"/>
        <w:rPr/>
      </w:pPr>
      <w:r>
        <w:rPr>
          <w:rFonts w:ascii="Times New Roman;sans-serif" w:hAnsi="Times New Roman;sans-serif"/>
          <w:b w:val="false"/>
          <w:i/>
          <w:color w:val="000000"/>
          <w:sz w:val="20"/>
        </w:rPr>
        <w:t>Outsourcing of Non-Core Activities and Technical Resource Constraints</w:t>
      </w:r>
      <w:r>
        <w:rPr>
          <w:rFonts w:ascii="Times New Roman;sans-serif" w:hAnsi="Times New Roman;sans-serif"/>
          <w:b w:val="false"/>
          <w:color w:val="000000"/>
          <w:sz w:val="20"/>
        </w:rPr>
        <w:t>. Due to the increasing sophistication and automation of NDT programs, a decreasing supply of skilled professionals and increasing governmental regulations, companies are increasingly outsourcing NDT to third-party providers with advanced solution portfolios, engineering expertise and trained workforces.</w:t>
      </w:r>
    </w:p>
    <w:p>
      <w:pPr>
        <w:pStyle w:val="TextBody"/>
        <w:bidi w:val="0"/>
        <w:spacing w:lineRule="auto" w:line="288" w:before="0" w:after="160"/>
        <w:jc w:val="left"/>
        <w:rPr/>
      </w:pPr>
      <w:r>
        <w:rPr>
          <w:rFonts w:ascii="Times New Roman;sans-serif" w:hAnsi="Times New Roman;sans-serif"/>
          <w:b w:val="false"/>
          <w:i/>
          <w:color w:val="000000"/>
          <w:sz w:val="20"/>
        </w:rPr>
        <w:t>Increasing Corrosion from Low-Quality Inputs</w:t>
      </w:r>
      <w:r>
        <w:rPr>
          <w:rFonts w:ascii="Times New Roman;sans-serif" w:hAnsi="Times New Roman;sans-serif"/>
          <w:b w:val="false"/>
          <w:color w:val="000000"/>
          <w:sz w:val="20"/>
        </w:rPr>
        <w:t>. The increased availability and low cost of crude oil from areas such as shale plays and oil sands resources have led to the use of lower-grade raw materials and feedstock. This leads to higher rates of corrosion, especially in refining processes involving petroleum with higher sulfur content, which increases the need for asset protection solutions to detect and/or proactively prevent corrosion-related issues.</w:t>
      </w:r>
    </w:p>
    <w:p>
      <w:pPr>
        <w:pStyle w:val="TextBody"/>
        <w:bidi w:val="0"/>
        <w:spacing w:lineRule="auto" w:line="288" w:before="0" w:after="160"/>
        <w:jc w:val="left"/>
        <w:rPr/>
      </w:pPr>
      <w:r>
        <w:rPr>
          <w:rFonts w:ascii="Times New Roman;sans-serif" w:hAnsi="Times New Roman;sans-serif"/>
          <w:b w:val="false"/>
          <w:i/>
          <w:color w:val="000000"/>
          <w:sz w:val="20"/>
        </w:rPr>
        <w:t>Increasing Use of Advanced Materials</w:t>
      </w:r>
      <w:r>
        <w:rPr>
          <w:rFonts w:ascii="Times New Roman;sans-serif" w:hAnsi="Times New Roman;sans-serif"/>
          <w:b w:val="false"/>
          <w:color w:val="000000"/>
          <w:sz w:val="20"/>
        </w:rPr>
        <w:t xml:space="preserve">. Customers in various target markets - particularly aerospace and defense - are increasingly utilizing advanced materials, such as composites and other unique technologies in their assets. These materials often cannot be tested using traditional NDT techniques. We believe that demand for more advanced testing and assessment solutions will increase as the utilization of these advanced materials increases during the design, manufacturing, operating and quality control phases. </w:t>
      </w:r>
    </w:p>
    <w:p>
      <w:pPr>
        <w:pStyle w:val="TextBody"/>
        <w:bidi w:val="0"/>
        <w:spacing w:lineRule="auto" w:line="288" w:before="0" w:after="160"/>
        <w:jc w:val="left"/>
        <w:rPr/>
      </w:pPr>
      <w:r>
        <w:rPr>
          <w:rFonts w:ascii="Times New Roman;sans-serif" w:hAnsi="Times New Roman;sans-serif"/>
          <w:b w:val="false"/>
          <w:i/>
          <w:color w:val="000000"/>
          <w:sz w:val="20"/>
        </w:rPr>
        <w:t>Meeting Safety Regulations</w:t>
      </w:r>
      <w:r>
        <w:rPr>
          <w:rFonts w:ascii="Times New Roman;sans-serif" w:hAnsi="Times New Roman;sans-serif"/>
          <w:b w:val="false"/>
          <w:color w:val="000000"/>
          <w:sz w:val="20"/>
        </w:rPr>
        <w:t>. Owners and operators of refineries, pipelines and petrochemical and chemical plants increasingly face strict government regulations and more stringent process safety enforcement standards. This includes the continued implementation of the Occupational Safety and Health Administration’s National Emphasis Program. Failure to meet these standards can result in significant financial liabilities, increased scrutiny by government and industry regulators, higher insurance premiums and tarnished corporate brand value. As a result, these owners and operators are seeking highly-reliable asset protection suppliers with a track record of assisting customers in meeting increasingly stringent regulations. Our customers benefit from our extensive engineering consulting base that supports them in devising mechanical integrity programs that both meet regulatory compliance standards and enable enhanced safety and uptime at the customer's facilities.</w:t>
      </w:r>
    </w:p>
    <w:p>
      <w:pPr>
        <w:pStyle w:val="TextBody"/>
        <w:bidi w:val="0"/>
        <w:spacing w:lineRule="auto" w:line="288" w:before="0" w:after="0"/>
        <w:jc w:val="left"/>
        <w:rPr/>
      </w:pPr>
      <w:r>
        <w:rPr>
          <w:rFonts w:ascii="Times New Roman;sans-serif" w:hAnsi="Times New Roman;sans-serif"/>
          <w:b w:val="false"/>
          <w:i/>
          <w:color w:val="000000"/>
          <w:sz w:val="20"/>
        </w:rPr>
        <w:t>Expanding Addressable End-Markets</w:t>
      </w:r>
      <w:r>
        <w:rPr>
          <w:rFonts w:ascii="Times New Roman;sans-serif" w:hAnsi="Times New Roman;sans-serif"/>
          <w:b w:val="false"/>
          <w:color w:val="000000"/>
          <w:sz w:val="20"/>
        </w:rPr>
        <w:t xml:space="preserve">. The continued emergence of and advances in asset protection technologies and software-based systems are increasing the demand for asset protection solutions in applications where existing techniques were previously ineffective. </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i/>
          <w:color w:val="000000"/>
          <w:sz w:val="20"/>
        </w:rPr>
        <w:t>Expanding Aerospace and Defense Industry</w:t>
      </w:r>
      <w:r>
        <w:rPr>
          <w:rFonts w:ascii="Times New Roman;sans-serif" w:hAnsi="Times New Roman;sans-serif"/>
          <w:b w:val="false"/>
          <w:color w:val="000000"/>
          <w:sz w:val="20"/>
        </w:rPr>
        <w:t xml:space="preserve">. We believe that increased demand will continue to come over the next several years from the commercial industry due to the approximately decade-long backlog for next-generation commercial aircraft to be built, driving the need for advanced solutions that drive cost and quality efficiencies. Demand continues to be stable in the defense industry while demand in the private space industry is growing. </w:t>
      </w:r>
    </w:p>
    <w:p>
      <w:pPr>
        <w:pStyle w:val="TextBody"/>
        <w:bidi w:val="0"/>
        <w:spacing w:lineRule="auto" w:line="288" w:before="0" w:after="0"/>
        <w:jc w:val="left"/>
        <w:rPr/>
      </w:pPr>
      <w:r>
        <w:rPr>
          <w:rFonts w:ascii="Times New Roman;sans-serif" w:hAnsi="Times New Roman;sans-serif"/>
          <w:b w:val="false"/>
          <w:i/>
          <w:color w:val="000000"/>
          <w:sz w:val="20"/>
        </w:rPr>
        <w:t xml:space="preserve">Crude Oil Prices. </w:t>
      </w:r>
      <w:r>
        <w:rPr>
          <w:rFonts w:ascii="Times New Roman;sans-serif" w:hAnsi="Times New Roman;sans-serif"/>
          <w:b w:val="false"/>
          <w:color w:val="000000"/>
          <w:sz w:val="20"/>
        </w:rPr>
        <w:t xml:space="preserve">Volatility in the energy sector has been profound during the 2015-2022 period with moderation occurring during 2023. The collapse of world oil prices in 2015 and 2016 undermined industry expansion. While energy prices recovered in 2017 and 2018, they once more declined, and subsequently rebounded in the second half of 2021 and the first half of 2022 with near record high prices and crack spreads. This resulted in refineries delaying turnarounds during 2022 until oil prices decreased and stabilized in the second half of 2022. The stabilization continued throughout 2023 without major peaks and fluctuations as seen in prior periods. The on-going war in Ukraine and the conflict in the Middle East between Israel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Hamas, coupled with continued macroeconomic uncertainty in 2024, are expected to continue to significantly influence oil prices for the foreseeable future.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Expanding Pipeline Integrity Regulations: </w:t>
      </w:r>
      <w:r>
        <w:rPr>
          <w:rFonts w:ascii="Times New Roman;sans-serif" w:hAnsi="Times New Roman;sans-serif"/>
          <w:b w:val="false"/>
          <w:color w:val="000000"/>
          <w:sz w:val="20"/>
        </w:rPr>
        <w:t>The United States Pipeline &amp; Hazardous Materials Safety Administration’s “Mega Rule” adopted in October 2019, expands pipeline integrity regulations on more than 500,000 miles of pipelines that carry natural gas, oil and other hazardous materials throughout the United States. Some of these requirements will take operators decades to fulfill. These regulations require inspection and integrity data records throughout a pipeline’s lifetime to be “reliable, traceable, verifiable, and complete,” increasing the demand for integrated inspection, engineering, monitoring, and data management and analysis solutions.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Consolidation of Refineries:</w:t>
      </w:r>
      <w:r>
        <w:rPr>
          <w:color w:val="000000"/>
        </w:rPr>
        <w:t xml:space="preserve"> </w:t>
      </w:r>
      <w:r>
        <w:rPr>
          <w:rFonts w:ascii="Times New Roman;sans-serif" w:hAnsi="Times New Roman;sans-serif"/>
          <w:b w:val="false"/>
          <w:color w:val="000000"/>
          <w:sz w:val="20"/>
        </w:rPr>
        <w:t xml:space="preserve">Consolidation of refinery ownership will create both pressure on refinery service providers due to increased customer purchasing power and provide an opportunity to those same refinery service providers to become preferred providers to these larger customers.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competitive strengths contribute to our being a leading provider of asset protection solutions and will allow us to further capitalize on growth opportunities in our industry:</w:t>
      </w:r>
    </w:p>
    <w:p>
      <w:pPr>
        <w:pStyle w:val="TextBody"/>
        <w:bidi w:val="0"/>
        <w:spacing w:lineRule="auto" w:line="288" w:before="0" w:after="160"/>
        <w:jc w:val="left"/>
        <w:rPr/>
      </w:pPr>
      <w:r>
        <w:rPr>
          <w:rFonts w:ascii="Times New Roman;sans-serif" w:hAnsi="Times New Roman;sans-serif"/>
          <w:b w:val="false"/>
          <w:i/>
          <w:color w:val="000000"/>
          <w:sz w:val="20"/>
        </w:rPr>
        <w:t>OneSource Provider for Asset Protection Solutions</w:t>
      </w:r>
      <w:r>
        <w:rPr>
          <w:rFonts w:ascii="Times New Roman;sans-serif" w:hAnsi="Times New Roman;sans-serif"/>
          <w:b w:val="false"/>
          <w:color w:val="000000"/>
          <w:sz w:val="20"/>
        </w:rPr>
        <w:t>. We believe we have one of the most comprehensive portfolios of integrated asset protection solutions worldwide, which positions us to be a leading single-source provider for our customers’ asset protection requirements. This is particularly a competitive strength in regards to turnarounds and shutdowns - during which facilities temporarily cease portions of their operations in order to perform plant-wide inspections, maintenance and repairs - as the services being requested and performed during these work stoppages make up significant portions of refinery, process and power plant maintenance budgets. Demand for our solutions increases during these outages, as facilities seek third-party providers to perform a wide spectrum of asset protection operations while the plant is offline. In addition, as companies are increasingly outsourcing their NDT needs to third-party providers, we believe that the ability to offer a comprehensive package of solutions provides us with a competitive advantage.</w:t>
      </w:r>
    </w:p>
    <w:p>
      <w:pPr>
        <w:pStyle w:val="TextBody"/>
        <w:bidi w:val="0"/>
        <w:spacing w:lineRule="auto" w:line="288" w:before="0" w:after="0"/>
        <w:jc w:val="left"/>
        <w:rPr/>
      </w:pPr>
      <w:r>
        <w:rPr>
          <w:rFonts w:ascii="Times New Roman;sans-serif" w:hAnsi="Times New Roman;sans-serif"/>
          <w:b w:val="false"/>
          <w:i/>
          <w:color w:val="000000"/>
          <w:sz w:val="20"/>
        </w:rPr>
        <w:t xml:space="preserve">Integrated Data Management: </w:t>
      </w:r>
      <w:r>
        <w:rPr>
          <w:rFonts w:ascii="Times New Roman;sans-serif" w:hAnsi="Times New Roman;sans-serif"/>
          <w:b w:val="false"/>
          <w:color w:val="000000"/>
          <w:sz w:val="20"/>
        </w:rPr>
        <w:t>Our expertise and proprietary research and development in data analytical solutions throughout the asset protection cycle provides a competitive advantage. With solutions for integrated data acquisition, storage, visualization and analytics, our integrated data analytical solutions well-position us for the oil and gas increasing movement towards digitalizing and centralizing asset protection to fewer, highly-skilled and multi-disciplined vendors. Many of our data analytical solutions are platform-agnostic, allowing us to integrate into customers' existing operations, and thereby expanding the potential customer pool for our solutions. Our expertise and experience also allow us to tailor our offerings to meet specific customer needs, which sets us apart from our competitors. Our presence in our customers’ operations throughout their asset lifecycles also ideally positions us to be their primary vendor to centralize their asset integrity data collection, management and analysis, creating mutually-beneficial opportunities to scale our relationships.</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i/>
          <w:color w:val="000000"/>
          <w:sz w:val="20"/>
        </w:rPr>
        <w:t>Long-Standing Trusted Provider to a Diversified and Growing Customer Base</w:t>
      </w:r>
      <w:r>
        <w:rPr>
          <w:rFonts w:ascii="Times New Roman;sans-serif" w:hAnsi="Times New Roman;sans-serif"/>
          <w:b w:val="false"/>
          <w:color w:val="000000"/>
          <w:sz w:val="20"/>
        </w:rPr>
        <w:t>. We have become a trusted partner to a large and growing customer base across numerous global markets through our proven, decades-long track record of successful operations. Our customers include some of the largest and most well-recognized firms in the oil and gas, chemicals, power generation and transmission and aerospace and defense industries, as well as public authorities.</w:t>
      </w:r>
    </w:p>
    <w:p>
      <w:pPr>
        <w:pStyle w:val="TextBody"/>
        <w:bidi w:val="0"/>
        <w:spacing w:lineRule="auto" w:line="288" w:before="0" w:after="160"/>
        <w:jc w:val="left"/>
        <w:rPr/>
      </w:pPr>
      <w:r>
        <w:rPr>
          <w:rFonts w:ascii="Times New Roman;sans-serif" w:hAnsi="Times New Roman;sans-serif"/>
          <w:b w:val="false"/>
          <w:i/>
          <w:color w:val="000000"/>
          <w:sz w:val="20"/>
        </w:rPr>
        <w:t>Repository of Customer-Specific Inspection Data</w:t>
      </w:r>
      <w:r>
        <w:rPr>
          <w:rFonts w:ascii="Times New Roman;sans-serif" w:hAnsi="Times New Roman;sans-serif"/>
          <w:b w:val="false"/>
          <w:color w:val="000000"/>
          <w:sz w:val="20"/>
        </w:rPr>
        <w:t>. Through our world-class enterprise data management and analysis software, PCMS, we have accumulated extensive, proprietary process data that allows us to provide our customers with value-added services, such as benchmarking, "RBI" and reliability-centered maintenance.</w:t>
      </w:r>
    </w:p>
    <w:p>
      <w:pPr>
        <w:pStyle w:val="TextBody"/>
        <w:bidi w:val="0"/>
        <w:spacing w:lineRule="auto" w:line="288" w:before="0" w:after="160"/>
        <w:jc w:val="left"/>
        <w:rPr/>
      </w:pPr>
      <w:r>
        <w:rPr>
          <w:rFonts w:ascii="Times New Roman;sans-serif" w:hAnsi="Times New Roman;sans-serif"/>
          <w:b w:val="false"/>
          <w:i/>
          <w:color w:val="000000"/>
          <w:sz w:val="20"/>
        </w:rPr>
        <w:t>Proprietary Products, Software and Technology Packages</w:t>
      </w:r>
      <w:r>
        <w:rPr>
          <w:rFonts w:ascii="Times New Roman;sans-serif" w:hAnsi="Times New Roman;sans-serif"/>
          <w:b w:val="false"/>
          <w:color w:val="000000"/>
          <w:sz w:val="20"/>
        </w:rPr>
        <w:t>. Our deep knowledge base in asset protection services and equipment enables us to offer technology packages, in which our field technicians utilize our proprietary and specialized testing procedures and hardware, advanced pattern recognition, neural network software and databases to compare test results against our prior testing data or national and international structural integrity standards.</w:t>
      </w:r>
    </w:p>
    <w:p>
      <w:pPr>
        <w:pStyle w:val="TextBody"/>
        <w:bidi w:val="0"/>
        <w:spacing w:lineRule="auto" w:line="288" w:before="0" w:after="160"/>
        <w:jc w:val="left"/>
        <w:rPr/>
      </w:pPr>
      <w:r>
        <w:rPr>
          <w:rFonts w:ascii="Times New Roman;sans-serif" w:hAnsi="Times New Roman;sans-serif"/>
          <w:b w:val="false"/>
          <w:i/>
          <w:color w:val="000000"/>
          <w:sz w:val="20"/>
        </w:rPr>
        <w:t>Deep Domain Knowledge and Extensive Industry Experience</w:t>
      </w:r>
      <w:r>
        <w:rPr>
          <w:rFonts w:ascii="Times New Roman;sans-serif" w:hAnsi="Times New Roman;sans-serif"/>
          <w:b w:val="false"/>
          <w:color w:val="000000"/>
          <w:sz w:val="20"/>
        </w:rPr>
        <w:t>. We have extensive asset protection experience and data, dating back several decades of operations. We have gained this through our industry leadership in developing advanced asset protection solutions, including research and development of advanced NDT technologies and applications, process engineering technologies, online plant asset integrity management with sensor fusion; and enterprise software solutions for plant-wide and fleet-wide inspection data archiving and management.</w:t>
      </w:r>
    </w:p>
    <w:p>
      <w:pPr>
        <w:pStyle w:val="TextBody"/>
        <w:bidi w:val="0"/>
        <w:spacing w:lineRule="auto" w:line="288" w:before="0" w:after="160"/>
        <w:jc w:val="left"/>
        <w:rPr/>
      </w:pPr>
      <w:r>
        <w:rPr>
          <w:rFonts w:ascii="Times New Roman;sans-serif" w:hAnsi="Times New Roman;sans-serif"/>
          <w:b w:val="false"/>
          <w:i/>
          <w:color w:val="000000"/>
          <w:sz w:val="20"/>
        </w:rPr>
        <w:t xml:space="preserve">Technological Research and Development. </w:t>
      </w:r>
      <w:r>
        <w:rPr>
          <w:rFonts w:ascii="Times New Roman;sans-serif" w:hAnsi="Times New Roman;sans-serif"/>
          <w:b w:val="false"/>
          <w:color w:val="000000"/>
          <w:sz w:val="20"/>
        </w:rPr>
        <w:t xml:space="preserve">The NDT industry continues to move towards more advanced, automated solutions, requiring service providers to find safer and more cost-efficient inspection techniques. We believe that we remain ahead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technological curve by backing our extensive industry expertise with the investment of resources in research and development. Some of the advanced inspection technologies developed by our internal research and development teams include an automated radiographic testing ("aRT") crawler for corrosion under insulation ("CUI") inspections in above ground pipelines and piping; our Large Structure Inspection ("LSI") scanner, and our real-time radiography ("RTR") crawler for 360° inspections of pipeline girth welds.</w:t>
      </w:r>
    </w:p>
    <w:p>
      <w:pPr>
        <w:pStyle w:val="TextBody"/>
        <w:bidi w:val="0"/>
        <w:spacing w:lineRule="auto" w:line="288" w:before="0" w:after="160"/>
        <w:jc w:val="left"/>
        <w:rPr/>
      </w:pPr>
      <w:r>
        <w:rPr>
          <w:rFonts w:ascii="Times New Roman;sans-serif" w:hAnsi="Times New Roman;sans-serif"/>
          <w:b w:val="false"/>
          <w:i/>
          <w:color w:val="000000"/>
          <w:sz w:val="20"/>
        </w:rPr>
        <w:t>Collaborating with Our Customers</w:t>
      </w:r>
      <w:r>
        <w:rPr>
          <w:rFonts w:ascii="Times New Roman;sans-serif" w:hAnsi="Times New Roman;sans-serif"/>
          <w:b w:val="false"/>
          <w:color w:val="000000"/>
          <w:sz w:val="20"/>
        </w:rPr>
        <w:t>. We have historically expanded our asset protection solution portfolio in response to our customers’ unique performance specifications. Our technology packages have often been developed in close cooperation and partnership with key customers and industry organizations.</w:t>
      </w:r>
    </w:p>
    <w:p>
      <w:pPr>
        <w:pStyle w:val="TextBody"/>
        <w:bidi w:val="0"/>
        <w:spacing w:lineRule="auto" w:line="288" w:before="0" w:after="160"/>
        <w:jc w:val="left"/>
        <w:rPr/>
      </w:pPr>
      <w:r>
        <w:rPr>
          <w:rFonts w:ascii="Times New Roman;sans-serif" w:hAnsi="Times New Roman;sans-serif"/>
          <w:b w:val="false"/>
          <w:i/>
          <w:color w:val="000000"/>
          <w:sz w:val="20"/>
        </w:rPr>
        <w:t>Experienced Management Team</w:t>
      </w:r>
      <w:r>
        <w:rPr>
          <w:rFonts w:ascii="Times New Roman;sans-serif" w:hAnsi="Times New Roman;sans-serif"/>
          <w:b w:val="false"/>
          <w:color w:val="000000"/>
          <w:sz w:val="20"/>
        </w:rPr>
        <w:t>. Our management team has a track record of asset protection organizational leadership. These individuals also have successfully driven operational growth organically and through acquisitions, which we believe is important to facilitate future growth in the asset protection industry.</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growth strategy emphasizes the following key elements:</w:t>
      </w:r>
    </w:p>
    <w:p>
      <w:pPr>
        <w:pStyle w:val="TextBody"/>
        <w:bidi w:val="0"/>
        <w:spacing w:lineRule="auto" w:line="288" w:before="0" w:after="0"/>
        <w:jc w:val="left"/>
        <w:rPr/>
      </w:pPr>
      <w:r>
        <w:rPr>
          <w:rFonts w:ascii="Times New Roman;sans-serif" w:hAnsi="Times New Roman;sans-serif"/>
          <w:b w:val="false"/>
          <w:i/>
          <w:color w:val="000000"/>
          <w:sz w:val="20"/>
        </w:rPr>
        <w:t xml:space="preserve">Continue to Digitalize Asset Protection Data and Processes. </w:t>
      </w:r>
      <w:r>
        <w:rPr>
          <w:rFonts w:ascii="Times New Roman;sans-serif" w:hAnsi="Times New Roman;sans-serif"/>
          <w:b w:val="false"/>
          <w:color w:val="000000"/>
          <w:sz w:val="20"/>
        </w:rPr>
        <w:t>We place a data-centric focus on asset protection, enabling our customers to ease some of their biggest areas of concern (particularly the timely and accurate transfer of asset integrity data from the field to their IDMS, as well as the data’s visibility and accessibility once uploaded). We expect that the demand for our data analytical solutions which provides big data intelligence and remote data visibility will continue to grow, and we are investing in data analytical solutions that help our customers visualize and generate actionable insight from their asset integrity data, regardless of data input. We are also actively seeking to optimize our customers’ asset protection workflows and processes, by creating digital paths between data applications to increase data visibility and reduce manual data entry and human error.</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i/>
          <w:color w:val="000000"/>
          <w:sz w:val="20"/>
        </w:rPr>
        <w:t>Expand Our Focus in the Aerospace and Defense Industries</w:t>
      </w:r>
      <w:r>
        <w:rPr>
          <w:rFonts w:ascii="Times New Roman;sans-serif" w:hAnsi="Times New Roman;sans-serif"/>
          <w:b w:val="false"/>
          <w:color w:val="000000"/>
          <w:sz w:val="20"/>
        </w:rPr>
        <w:t xml:space="preserve">. We believe that the introduction of next-generation airframes and aircraft engines has created an inherent demand for inspection, testing, machining and mechanical services required for the production of parts. The recent interest in the use of additive manufacturing techniques to create components also necessitates advanced inspection and testing solutions. </w:t>
      </w:r>
    </w:p>
    <w:p>
      <w:pPr>
        <w:pStyle w:val="TextBody"/>
        <w:bidi w:val="0"/>
        <w:spacing w:lineRule="auto" w:line="288" w:before="0" w:after="160"/>
        <w:jc w:val="left"/>
        <w:rPr/>
      </w:pPr>
      <w:r>
        <w:rPr>
          <w:rFonts w:ascii="Times New Roman;sans-serif" w:hAnsi="Times New Roman;sans-serif"/>
          <w:b w:val="false"/>
          <w:i/>
          <w:color w:val="000000"/>
          <w:sz w:val="20"/>
        </w:rPr>
        <w:t xml:space="preserve">Expand Our Focus in the Pipeline Integrity Industry. </w:t>
      </w:r>
      <w:r>
        <w:rPr>
          <w:rFonts w:ascii="Times New Roman;sans-serif" w:hAnsi="Times New Roman;sans-serif"/>
          <w:b w:val="false"/>
          <w:color w:val="000000"/>
          <w:sz w:val="20"/>
        </w:rPr>
        <w:t>We intend to continue broadening our solutions for the pipeline market. Recent industry regulations significantly expanded pipeline integrity management regulations, requiring pipeline owner/operators to inspect, document, and assess the risk of operating conditions for existing lines. This provides us with the opportunity to provide asset protection solutions for both the new construction and integrity phases. In 2019, we acquired a company that provides pipeline integrity management software and services to energy transportation companies. We acquired an inline inspection provider in 2018 and have implemented our PCMS software for several pipeline operators to support their integrity data management.</w:t>
      </w:r>
    </w:p>
    <w:p>
      <w:pPr>
        <w:pStyle w:val="TextBody"/>
        <w:bidi w:val="0"/>
        <w:spacing w:lineRule="auto" w:line="288" w:before="0" w:after="160"/>
        <w:jc w:val="left"/>
        <w:rPr/>
      </w:pPr>
      <w:r>
        <w:rPr>
          <w:rFonts w:ascii="Times New Roman;sans-serif" w:hAnsi="Times New Roman;sans-serif"/>
          <w:b w:val="false"/>
          <w:i/>
          <w:color w:val="000000"/>
          <w:sz w:val="20"/>
        </w:rPr>
        <w:t xml:space="preserve">Expanding our Mechanical Services Portfolio. </w:t>
      </w:r>
      <w:r>
        <w:rPr>
          <w:rFonts w:ascii="Times New Roman;sans-serif" w:hAnsi="Times New Roman;sans-serif"/>
          <w:b w:val="false"/>
          <w:color w:val="000000"/>
          <w:sz w:val="20"/>
        </w:rPr>
        <w:t>We believe that performing mechanical services to complement inspections, such as removing and reapplying insulation or preparing surfaces for coating or painting, is an important market differentiator for us. This is particularly true, for example, when considering the cost-efficiencies our customers realize when our rope access technicians perform these services at height without the use of scaffolding. Many of our customers already require these services, but utilize multiple vendors to do so, creating an opportunity for us to provide greater value to a customer base that increasingly requires enhanced speed and efficiency.</w:t>
      </w:r>
    </w:p>
    <w:p>
      <w:pPr>
        <w:pStyle w:val="TextBody"/>
        <w:bidi w:val="0"/>
        <w:spacing w:lineRule="auto" w:line="288" w:before="0" w:after="160"/>
        <w:jc w:val="left"/>
        <w:rPr/>
      </w:pPr>
      <w:r>
        <w:rPr>
          <w:rFonts w:ascii="Times New Roman;sans-serif" w:hAnsi="Times New Roman;sans-serif"/>
          <w:b w:val="false"/>
          <w:i/>
          <w:color w:val="000000"/>
          <w:sz w:val="20"/>
        </w:rPr>
        <w:t>Continue to Develop Technology-Enabled and Digital Asset Protection Solutions</w:t>
      </w:r>
      <w:r>
        <w:rPr>
          <w:rFonts w:ascii="Times New Roman;sans-serif" w:hAnsi="Times New Roman;sans-serif"/>
          <w:b w:val="false"/>
          <w:color w:val="000000"/>
          <w:sz w:val="20"/>
        </w:rPr>
        <w:t>. We intend to maintain and enhance our technological leadership by continuing to invest in developing new technology, applications and data services. The release of our OneSuite ecosystem underscores our dedication to continue deepening synergies between our solutions to provide our customers with uniquely-integrated offerings, which we believe makes us a more attractive vendor for customers seeking to centralize their asset protection. We have actively continued to develop technologies that enhance the flow of data throughout multiple operational phases and facilities, through our integrated pipeline integrity data portfolio, and our cloud-based monitoring data portal.</w:t>
      </w:r>
    </w:p>
    <w:p>
      <w:pPr>
        <w:pStyle w:val="TextBody"/>
        <w:bidi w:val="0"/>
        <w:spacing w:lineRule="auto" w:line="288" w:before="0" w:after="0"/>
        <w:jc w:val="left"/>
        <w:rPr/>
      </w:pPr>
      <w:r>
        <w:rPr>
          <w:rFonts w:ascii="Times New Roman;sans-serif" w:hAnsi="Times New Roman;sans-serif"/>
          <w:b w:val="false"/>
          <w:i/>
          <w:color w:val="000000"/>
          <w:sz w:val="20"/>
        </w:rPr>
        <w:t>Expand our Solution Offerings to Existing Customers</w:t>
      </w:r>
      <w:r>
        <w:rPr>
          <w:rFonts w:ascii="Times New Roman;sans-serif" w:hAnsi="Times New Roman;sans-serif"/>
          <w:b w:val="false"/>
          <w:color w:val="000000"/>
          <w:sz w:val="20"/>
        </w:rPr>
        <w:t>. We believe that branching into adjacent, complementary services, such as mechanical services, increases our value proposition and our ability to capture additional business. Many of our customers are multinational corporations with asset protection requirements at multiple locations. We believe that expanding our solution offerings and merging and visualizing data across facilities for enterprise data analysis, combined with the trend of customers outsourcing asset protection to service providers with integrated offerings, provides opportunities for significant additional recurring revenues.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i/>
          <w:color w:val="000000"/>
          <w:sz w:val="20"/>
        </w:rPr>
        <w:t>Continue to Expand Our Customer Base into New End Markets</w:t>
      </w:r>
      <w:r>
        <w:rPr>
          <w:rFonts w:ascii="Times New Roman;sans-serif" w:hAnsi="Times New Roman;sans-serif"/>
          <w:b w:val="false"/>
          <w:color w:val="000000"/>
          <w:sz w:val="20"/>
        </w:rPr>
        <w:t>. We believe we have significant opportunities to expand our customer base in relatively new end markets, including the renewable energy industry, specifically, wind and other alternative energy, natural gas transportation industries, pipeline integrity and additive manufacturing. The expansion of our addressable markets is being driven by the increased recognition and adoption of advanced asset protection technologies (such as unmanned drone inspection devices, robotics, etc.) that are supplanting traditional methods.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Capitalize on Acquisitions</w:t>
      </w:r>
      <w:r>
        <w:rPr>
          <w:rFonts w:ascii="Times New Roman;sans-serif" w:hAnsi="Times New Roman;sans-serif"/>
          <w:b w:val="false"/>
          <w:color w:val="000000"/>
          <w:sz w:val="20"/>
        </w:rPr>
        <w:t>. We have completed several acquisitions to supplement and enhance our solutions, add new customers, expand our sales channels and accelerate our expected growth. Due to our current debt levels and restrictions related to the debt covenants in our credit facility, we do not expect to make any acquisitions in 2024 other than small acquisitions with the banks’ approval. However, once we reduce our debt, we expect to make selective acquisitions beyond 2024.</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Our Segments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have three operating segments: (i) North America (which we previously referred to as our Services segment), (ii) International and (iii) Products and Systems:</w:t>
      </w:r>
    </w:p>
    <w:p>
      <w:pPr>
        <w:pStyle w:val="TextBody"/>
        <w:bidi w:val="0"/>
        <w:spacing w:lineRule="auto" w:line="288" w:before="0" w:after="0"/>
        <w:jc w:val="left"/>
        <w:rPr/>
      </w:pPr>
      <w:r>
        <w:rPr>
          <w:rFonts w:ascii="Times New Roman;sans-serif" w:hAnsi="Times New Roman;sans-serif"/>
          <w:b w:val="false"/>
          <w:i/>
          <w:color w:val="000000"/>
          <w:sz w:val="20"/>
        </w:rPr>
        <w:t>North America</w:t>
      </w:r>
      <w:r>
        <w:rPr>
          <w:color w:val="000000"/>
        </w:rPr>
        <w:t xml:space="preserve"> </w:t>
      </w:r>
      <w:r>
        <w:rPr>
          <w:rFonts w:ascii="Times New Roman;sans-serif" w:hAnsi="Times New Roman;sans-serif"/>
          <w:b w:val="false"/>
          <w:color w:val="000000"/>
          <w:sz w:val="20"/>
        </w:rPr>
        <w:t>provides asset protection solutions with the largest concentration in the United States, followed by 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i/>
          <w:color w:val="000000"/>
          <w:sz w:val="20"/>
        </w:rPr>
        <w:t>International</w:t>
      </w:r>
      <w:r>
        <w:rPr>
          <w:color w:val="000000"/>
        </w:rPr>
        <w:t xml:space="preserve"> </w:t>
      </w:r>
      <w:r>
        <w:rPr>
          <w:rFonts w:ascii="Times New Roman;sans-serif" w:hAnsi="Times New Roman;sans-serif"/>
          <w:b w:val="false"/>
          <w:color w:val="000000"/>
          <w:sz w:val="20"/>
        </w:rPr>
        <w:t>offers services, products and systems similar to those of the other segments to select markets within Europe, the Middle East, Africa, Asia and South America, but not to customers in China and South Korea, which are served by the Products and Systems segment</w:t>
      </w:r>
    </w:p>
    <w:p>
      <w:pPr>
        <w:pStyle w:val="TextBody"/>
        <w:bidi w:val="0"/>
        <w:spacing w:lineRule="auto" w:line="288" w:before="0" w:after="0"/>
        <w:jc w:val="left"/>
        <w:rPr/>
      </w:pPr>
      <w:r>
        <w:rPr>
          <w:rFonts w:ascii="Times New Roman;sans-serif" w:hAnsi="Times New Roman;sans-serif"/>
          <w:b w:val="false"/>
          <w:i/>
          <w:color w:val="000000"/>
          <w:sz w:val="20"/>
        </w:rPr>
        <w:t>Products and Systems</w:t>
      </w:r>
      <w:r>
        <w:rPr>
          <w:color w:val="000000"/>
        </w:rPr>
        <w:t xml:space="preserve"> </w:t>
      </w:r>
      <w:r>
        <w:rPr>
          <w:rFonts w:ascii="Times New Roman;sans-serif" w:hAnsi="Times New Roman;sans-serif"/>
          <w:b w:val="false"/>
          <w:color w:val="000000"/>
          <w:sz w:val="20"/>
        </w:rPr>
        <w:t xml:space="preserve">designs, manufactures, sells, installs and services the Company’s asset protection products and systems, including equipment and instrumentation, predominantly in the United States. </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color w:val="000000"/>
          <w:sz w:val="20"/>
        </w:rPr>
        <w:t xml:space="preserve">For a discussion of segment revenues, operating results and other financial information, including geographic areas in which we generated revenues, see “Management’s Discussion and Analysis of Financial Condition and Results of Operations” in Item 7, as well as Note </w:t>
      </w:r>
      <w:r>
        <w:rPr>
          <w:rFonts w:ascii="Times New Roman;sans-serif" w:hAnsi="Times New Roman;sans-serif"/>
          <w:b w:val="false"/>
          <w:i/>
          <w:color w:val="000000"/>
          <w:sz w:val="20"/>
        </w:rPr>
        <w:t>2-Revenue</w:t>
      </w:r>
      <w:r>
        <w:rPr>
          <w:color w:val="000000"/>
        </w:rPr>
        <w:t xml:space="preserve"> </w:t>
      </w:r>
      <w:r>
        <w:rPr>
          <w:rFonts w:ascii="Times New Roman;sans-serif" w:hAnsi="Times New Roman;sans-serif"/>
          <w:b w:val="false"/>
          <w:color w:val="000000"/>
          <w:sz w:val="20"/>
        </w:rPr>
        <w:t xml:space="preserve">and Note </w:t>
      </w:r>
      <w:r>
        <w:rPr>
          <w:rFonts w:ascii="Times New Roman;sans-serif" w:hAnsi="Times New Roman;sans-serif"/>
          <w:b w:val="false"/>
          <w:i/>
          <w:color w:val="000000"/>
          <w:sz w:val="20"/>
        </w:rPr>
        <w:t>19-Segment Disclosure</w:t>
      </w:r>
      <w:r>
        <w:rPr>
          <w:color w:val="000000"/>
        </w:rPr>
        <w:t xml:space="preserve"> </w:t>
      </w:r>
      <w:r>
        <w:rPr>
          <w:rFonts w:ascii="Times New Roman;sans-serif" w:hAnsi="Times New Roman;sans-serif"/>
          <w:b w:val="false"/>
          <w:color w:val="000000"/>
          <w:sz w:val="20"/>
        </w:rPr>
        <w:t>in the notes to our audited consolidated financial statements in Item 8 of this Annual Report.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by Industry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charts represent our disaggregated revenue by industry for the years ended December 31, 2023, 2022 and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drawing>
          <wp:inline distT="0" distB="0" distL="0" distR="0">
            <wp:extent cx="5238750" cy="333375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5238750" cy="3333750"/>
                    </a:xfrm>
                    <a:prstGeom prst="rect">
                      <a:avLst/>
                    </a:prstGeom>
                  </pic:spPr>
                </pic:pic>
              </a:graphicData>
            </a:graphic>
          </wp:inline>
        </w:drawing>
      </w:r>
    </w:p>
    <w:p>
      <w:pPr>
        <w:pStyle w:val="TextBody"/>
        <w:bidi w:val="0"/>
        <w:spacing w:before="0" w:after="0"/>
        <w:jc w:val="left"/>
        <w:rPr/>
      </w:pPr>
      <w:r>
        <w:rPr/>
        <w:drawing>
          <wp:inline distT="0" distB="0" distL="0" distR="0">
            <wp:extent cx="5238750" cy="333375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5238750" cy="33337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drawing>
          <wp:inline distT="0" distB="0" distL="0" distR="0">
            <wp:extent cx="5838825" cy="36195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5838825" cy="3619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Target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but fragmented market. Domestically, the market is serviced by several national competitors and many regional and/or local companies. Internationally, our primary competitors are divisions of large companies, with additional competition from small independent local companies which may be limited to a specific product, service or technology and focused on a niche market or geographic region. We focus our strategic sales, marketing and product development efforts on a range of infrastructure-intensive based industries and governmental authorities. We view energy-related infrastructure and commercial aerospace as our largest market opportunities. We perform inspection and mechanical services for customers in both industries.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are comprised of services offerings at our laboratories and at customer facilities. Data Analytical Solutions revenues are comprised of revenue derived from data software sales &amp; subscriptions, implementation services and analytics that offer insights and recommendations to improve asset integrity. Data Analytical Solutions revenue is derived from work performed by Mistras employees in our facilities, or at customer locations, using our proprietary portfolio of software applications. Field Services revenues are comprised of revenue derived primarily by technicians performing asset inspections and maintenance services for our customers at locations other than Mistras properties. Shop Laboratory revenues are comprised of quality assurance inspections of components and materials at our Mistras in-house laboratory facilities. Other revenues are comprised of locations that perform both asset inspection services and testing of components and materials at in-house Mistras laboratories.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economic factors which drive the aerospace market, including: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multi-year backlog for next generation commercial aircraft to be built, including several large and mid-sized aircraft built by Boeing and Airbus, among other manufacturers;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continuing regulatory scrutiny to ensure public safety serves to ensure the continued need for inspection and mechanical services to be performed.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energy market, there are various economic indicators that drive our business, especially in the U.S. domestic markets. It is unclear what the short and long term effects of the war between Russia and Ukraine is likely to have on the world economy and certain of our target markets, including particularly the oil and gas market. Excerpted below are forecasts from various Energy Information Administration (EIA) outlook reports, which are subject to change based on these factors: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Electricity generation from coal is projected to fall throughout the mid 2020s and the decrease will be partially offset by an increase in the forecast of combined utility-scale solar and wind generation.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EIA noted U.S. crude oil production averaged 11.9 million barrels per day (bpd) in 2022 and rose to an average 12.9 million bpd in 2023. The EIA forecasts production to continue to increase to an average 13.3 million bpd in 2024 and further increase to 13.5 million bpd in 2025.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Oil and Gas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supply oil and gas asset protection solutions to downstream (refining), midstream (transportation and storage) and upstream (exploration and production) operations.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our vast solutions portfolio to help identify current and future asset performance, and actively prevent, mitigate or otherwise address potential issues, including corrosion, cracking, leaking and other damages that may lead to safety, productivity or environmental concerns. Our solutions help identify conditions that if not remedied, could lead to potential catastrophic failures in tanks, vessels, valves, buried and above ground pipelines, pumps, motors, compressors and other critical assets found throughout the oil and gas production and delivery supply chain.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actively seek to evolve our solutions through technological enhancements and research and development to discover new applications. Online monitoring and permanently-mounted sensors, as well as the use of drones and other alternative delivery devices, are all being considered as oil and gas infrastructure owners look to “smart” technologies that reduce human intervention while delivering highly-accurate inspection and integrity data. We also have actively sought to further enhance our integrated approach to asset protection, through the development of our complementary mechanical service portfolio.</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the oil and gas market is poised to leverage digital solutions to facilitate process improvements as well as increase plant reliability and improve process and personnel safety. This provides an opportunity for us to synergistically leverage our digital asset protection solutions. Digital transmission of data in various industry sectors, with built-in analytic functions, will allow our customers to better leverage inspection data that is being generated in the field.</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While we expect off-stream inspection of critical assets to remain a routine practice, we anticipate an increase in the demand for non-invasive or on-stream inspections. Non-invasive inspections enable companies to minimize the costs associated with shutting down equipment during testing, while enabling the economic and safety advantages of advanced planning and/or predictive maintenance.</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Aerospace and Defense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aerospace industry continued to rebound from COVID-19 throughout 2023 with backlog and production levels approaching and exceeding pre-pandemic levels for certain OEMs for the first time since the pandemic. We serve this rapidly growing target market by providing a full range of inspection, testing, machining, mechanical, finishing, additive manufacturing and equipment solutions, for which we are Nadcap certified. Our state-of-the-art in-house laboratories maintain numerous accreditations from industry organizations, including Nadcap, and some of the largest manufacturers in the world, such as Boeing, Safran, Airbus, Bombardier and Embraer.</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Advanced composite materials found in new classes of aircraft require advanced asset protection solutions, including x-ray of critical engine components, ultrasonic fatigue testing of complete aircraft structures and corrosion detection and other critical components. Many OEMs are shifting towards condition-based maintenance utilizing embedded monitoring sensors to track component structural and operational integrity over time as opposed to performing maintenance on time-based intervals. We expect demand for our solutions to increase with the adoption of these new-age materials and distributed online sensor networks. We also expect demand for asset protection solutions to increase with the continued adoption of additive manufacturing techniques. </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Industrials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quality control requirements driven by the need for zero-to-low-defect component tolerance within automated, robotic-intensive industries such as automotive, consumer electronics and medical industries serve as key drivers for increased demand in asset protection, particularly for in-house inspection and testing. We expect that increasingly stringent quality-control requirements and competitive forces will drive the demand for more-costly finishing and polishing which, in turn, creates opportunities for integrated partnerships between us and our customers throughout the production lifecycle.</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Power Generation and Transmission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asset protection solutions for customers in the combined cycle, fossil, nuclear, transmission and distribution and wind/alternative energy industries. We believe that in recent years, acceptance of asset protection solutions has grown in this industry due to the aging of critical power generation and transmission infrastructure.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growing availability of cheap natural gas, along with environmental concerns with coal, has stimulated the construction of new natural gas-fired power plants across North America, creating opportunities for us to provide specialized solutions in multiple phases. These include facility design consultations, NDT services during construction and plant operations and long-term condition monitoring. We anticipate sharp growth in these types of plants as natural gas pricing remains low, and the environmental impacts of coal remain unattractive to the public.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solutions for inspection, maintenance, monitoring and data services for wind turbines and their components. These include NDT services — often performed through rope and/or drone access — to identify corrosion, cracking, and other defects that can affect the safety and operational effectiveness of wind turbines, along with remedial solutions to repair minor damages identified during inspections.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Other Process Industries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asset protection solutions are crucial for process industries, or industries in which raw materials are treated or prepared in a series of stages, including chemicals, pharmaceuticals, food processing, pulp and paper and metals and mining. As the process facilities are increasingly facing aging infrastructure, high utilization, growing capacity constraints and increasing capital costs, we believe asset protection solutions will continue to grow in importance in maintenance planning, quality and cost control and prevention of catastrophic failure.</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Infrastructure, Research and Engineering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high-profile infrastructure catastrophes have caused public authorities to more actively seek ways to prevent similar events from occurring. Public authorities tasked with new construction and maintenance of existing public infrastructure increasingly use asset protection solutions to inspect these assets, including the use of embedded sensors to enable online monitoring throughout the life of the asset.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have provided testing and structural health monitoring and data analytical solutions on bridges and structures worldwide, including some of the largest and most well-known bridges in the United States and United Kingdom. Our sensors continuously monitor these assets, alerting owner/operators when defects are detected. Our monitoring teams also provide regular reports that include early warnings of suspect areas before an alarm is generated.</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Petrochemical</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asset protection NDT services for customers within the petrochemical industry, as they transform byproducts into goods which are utilized in many end products such as plastics, soaps, fertilizers, synthetic fibers and rubber. Our solutions help identify conditions that if not remedied, could lead to potential catastrophic failures in tanks, vessels, valves, buried and above ground pipelines, pumps, motors, compressors and other critical assets found throughout the petrochemical production process.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actively seek to evolve our solutions through technological enhancements and R&amp;D to discover new applications. Online monitoring and permanently-mounted sensors provide real-time data to petrochemical owners and operators and provide an opportunity for us to synergistically leverage our asset protection solutions into our MISTRAS Digital platform, OneSuite. Digital transmission of data in various industry sectors, with built-in analytic functions, will allow our customers to better leverage inspection data that is being generated in the field. We also have actively sought to further enhance our integrated approach to asset protection, through the development of our complementary mechanical service portfolio.</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our asset protection solutions to a global customer base of diverse companies primarily in our target markets. No customer represented 10% or more of our revenue in any of the years ended December 31, 2023, 2022 or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Geographic Areas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operations in 10 countries and occasionally conduct business in a few other countries. Most of our revenues are derived from our U.S., Canadian and European operations and we do not have operations in Russia, and we do not do business in Russia, Ukraine or other areas which are impacted by the Russian invasion of Ukraine. See Note </w:t>
      </w:r>
      <w:r>
        <w:rPr>
          <w:rFonts w:ascii="Times New Roman;sans-serif" w:hAnsi="Times New Roman;sans-serif"/>
          <w:b w:val="false"/>
          <w:i/>
          <w:color w:val="000000"/>
          <w:sz w:val="20"/>
        </w:rPr>
        <w:t>2-Revenue</w:t>
      </w:r>
      <w:r>
        <w:rPr>
          <w:color w:val="000000"/>
        </w:rPr>
        <w:t xml:space="preserve"> </w:t>
      </w:r>
      <w:r>
        <w:rPr>
          <w:rFonts w:ascii="Times New Roman;sans-serif" w:hAnsi="Times New Roman;sans-serif"/>
          <w:b w:val="false"/>
          <w:color w:val="000000"/>
          <w:sz w:val="20"/>
        </w:rPr>
        <w:t xml:space="preserve">and Note </w:t>
      </w:r>
      <w:r>
        <w:rPr>
          <w:rFonts w:ascii="Times New Roman;sans-serif" w:hAnsi="Times New Roman;sans-serif"/>
          <w:b w:val="false"/>
          <w:i/>
          <w:color w:val="000000"/>
          <w:sz w:val="20"/>
        </w:rPr>
        <w:t>19-Segment Disclosure</w:t>
      </w:r>
      <w:r>
        <w:rPr>
          <w:color w:val="000000"/>
        </w:rPr>
        <w:t xml:space="preserve"> </w:t>
      </w:r>
      <w:r>
        <w:rPr>
          <w:rFonts w:ascii="Times New Roman;sans-serif" w:hAnsi="Times New Roman;sans-serif"/>
          <w:b w:val="false"/>
          <w:color w:val="000000"/>
          <w:sz w:val="20"/>
        </w:rPr>
        <w:t>to our audited consolidated financial statements in this Annual Report for further disclosure of our revenues, long-lived assets and other financial information regarding our international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our asset protection solutions through our direct sales and marketing activities worldwide. In addition, our project and laboratory managers, as well as our management, are trained on our solutions and often are the source of sales leads and customer contacts. Our direct sales and marketing teams work closely with our customers to demonstrate the benefits and capabilities of our asset protection solutions, refine our asset protection solutions based on changing market and customer needs and identify potential opportunities. We divide our sales and marketing efforts into services sales, products and systems sales and marketing and utilize marketing automation and customer relationship management ("CRM") systems to collect, manage and collaborate customer information with our teams globally. Our CRM systems also provide critical data to provide accurate forecasting and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hardware products are manufactured in our Princeton Junction, New Jersey facility. This facility includes the capabilities and personnel to fully produce all of our AE products and NDT Automation Ultrasonic equipment. We also design and manufacture automated ultrasonic systems and scanners in France.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4,800 employees worldwide, of which 3,200 were located in the United States, 500 in Canada and 1,100 in our other non-U.S. locations. Our employees include full and part time employees throughout our organization. As described below, we value our employees and have established various programs to promote the satisfaction, health and safety of our employees. Less than 0.01% of our employees in the United States are unionized.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employees are key to achieving our goals and strategy. We have committed resources throughout our organization to ensure that we are attracting, developing, and retaining talented employees needed to support all aspects of our activities. Our core values and business ethics guide and direct all activities undertaken by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health and safety of our employees is paramount. We have also developed key initiatives and strategies regarding our talent and people initiatives. Below, we describe some of the key initiatives and values around health and safety. Management regularly updates our Board of Directors with regards to our safety and people strategy and how we are performing in these areas. In 2020, our Board established the Environmental, Social and Safety Committee. This Committee, which consists of independent directors, monitors and oversees the strategic direction of our initiatives in support of our core values and our environmental, social and governance initiatives.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Talent, Leadership and Employee Development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development and engagement begins with our senior management team, which has considerable industry experience and expertise. Leveraging this experience and expertise, our senior management team is able to continuously review our organizational structure and provide opportunities for the growth and development for our employees.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continued commitment to our employees, we have established various programs to promote lifelong learning and development opportunities for our employees. These include a mix of voluntary and mandatory training programs, which are provided in-person, virtually or on the job. We also provide employees the ability to continue to gain additional professional certifications to contribute to their career advancement. We utilize a web-based training center which is available to field technicians for career advancement and includes over 500 web-based classes. In addition, we are committed to ensuring all employees are compensated at a living wage. All local minimum wage requirements are met and where no wage laws are in place, employees are compensated competitively, in accordance with industry standards.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human rights policy places a high priority on diversity and equal opportunity and provides our employees with management’s expectations related to human rights and labor practices.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Another program we instituted focuses on our connection by a common thread of caring – about one another, our customers, the environment, and the work we do. We seek to foster a culture of togetherness, safety, respect, and contribution which enables each individual member to feel that he or she is a part of something bigger. A community of caring professionals with a genuine passion for helping people and making a difference together – that is the heart of the program we call “Caring Connects.”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Safety-Conscious Culture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safety the backbone of our operations. Our asset protection solutions aim to ensure that industrial assets and facilities remain in safe, reliable working condition, which in turn enhances safety for our customers, the public, and the environment. Our laboratory and field personnel are trained to operate according to strict safety and quality standards so that our processes and procedures regarding hazardous materials, worker safety, and accident prevention are sound and effective. Further to this, we are constantly evaluating these processes and procedures to ensure that they remain of high quality and are effective, and we consider changes in the manner in which work is performed or lessons that have been learned from any sources, such as industry data. We work to help ensure that our customers are in full compliance with all federal, state, and local regulations. Our practices, policies and procedures are designed to help ensure we perform our duties through the use of safe, industry-best practices, seeking to minimize risk wherever possible.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emphasize a “MISTRAS’ safety-conscious” culture with the intent that it becomes embedded in the day-to-day work of all our employees. We use various training tools and other practices to instill attitudes, beliefs, perceptions, and values that all employees share in the mandate to create and maintain a safe work environment for all.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continuously monitor our safety performance through analysis of our company-wide safety statistics, which help us to determine behavioral trends while also instilling a culture of proactivity. For the year ended December 31, 2023, our Total Recordable Incident Rate ("TRIR") was 0.3 while Days Away, Restricted and Transferred Rate was 0.18 and Lost Work Day Rate remained 0.12. For the year ended December 31, 2022, our TRIR was 0.41.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seasonal. This seasonality relates primarily to our oil and gas target market, and to a lesser extent within our other target markets. U.S. refineries’ non-peak periods are generally in the fall, when they are retooling to produce more heating oil for winter, and in the spring, when they are retooling to produce more gasoline for summer. The peak periods for these customers are the summer and winter months, when they run at peak capacity and are not retooling or performing turnarounds or shut downs. As a result, our revenues in the summer and winter months are typically lower than our revenues in the fall and spring, when demand for our asset protection solutions from the oil and gas as well as the fossil power industries increases during their non-peak production periods. Because we are increasing our work in the fall and spring, our cash flows are lower in those quarters than in the summer and winter, as collections of receivables lag behind revenues. We expect that this seasonality will continue.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but fragmented, market. Our primary competitors include large public and private companies, divisions of large companies and various small companies which generally are limited to a specific product or technology and focused on a niche market or geographic region. We believe that few, if any, of our competitors currently provide the full range of asset protection and NDT products, enterprise software ("PCMS") and the traditional and advanced services solutions that we offer. Our competition with respect to NDT services include Acuren, SGS Group, the Team IHT Segment and APPLUS RTD. Our competition with respect to our PCMS software includes UltraPIPE, Lloyd’s Register Capstone, Inc. and Meridium Systems. In the traditional NDT market, we believe the principal competitive factors include project management, availability of qualified personnel, execution, price, reputation and quality, whereas in the advanced NDT market, reputation, quality and size tend to be the most significant competitive factors. We believe that the NDT market has significant barriers to entry which would make it difficult for new competitors to enter the market. These barriers include: (i) having to acquire or develop advanced NDT services, products and systems technologies, which in our case occurred over many years of customer engagements and at significant internal research and development expense, (ii) complex regulations and safety codes that require significant industry experience, (iii) license requirements and evolved quality and safety programs, (iv) costly and time-consuming certification processes, (v) capital requirements and (vi) emphasis by large customers on size and critical mass, length of relationship and past service record.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is principally conducted by engineers and scientists at our Princeton Junction, New Jersey headquarters, and supplemented by other employees in the United States and throughout the world, including Canada, France, Greece the United Kingdom, Brazil and the Netherlands. Our total professional staff includes employees who hold Ph.D.’s and engineers and employees who hold Level III certification, the highest level of certification from the American Society of Non-Destructive Testing (ASNT).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strategic research and development investments in our data analytical solutions technologies that support integration with our other solution offerings to enhance cost- and time-efficiencies, maximize uptime and safety and improve the flow of data from field technicians to inspection databases. These strategic investments enable us to enhance our service offerings to customers and provide valuable insights and predictive analysis.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invested significant research and development in pre-machining and advanced testing technologies in a purpose-built facility for an aerospace customer, with the goal of reducing the customer’s production cycle logistics and costs.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also work with customers to develop new products or applications for our technology, including: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Testing of new composites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Detecting crack propagation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Wireless and communications technologies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Development of permanently embedded inspection systems to provide continuous, online, in-service monitoring of critical structural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are reflected in our Consolidated Statements of Income (Loss) as research and engineering expenses. Our company-sponsored research and engineering expenses were approximately $1.7 million, $2.0 million and $2.5 million for the years ended December 31, 2023, 2022 and 2021, respectively. While we have historically funded most of our research and development expenditures, from time to time we also receive customer-sponsored research and development funding. Most of the projects are in our target markets, however, a few of the projects could lead to other future market opportunities.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held 12 U.S. patents by direct ownership and 5 patent applications pending in the United States. All the patent applications pending have been filed since 2018. While we do not rely on these patents or licenses to provide a majority of our proprietary asset protection solutions, certain of these patents do provide us with a competitive advantage and we believe they will be an asset to our growth strategy. Our trademarks and service marks provide us and our solutions with a certain amount of brand recognition in our markets. We do not consider any single patent, trademark or service mark material to our financial condition or results of operations.</w:t>
      </w:r>
    </w:p>
    <w:p>
      <w:pPr>
        <w:pStyle w:val="TextBody"/>
        <w:bidi w:val="0"/>
        <w:spacing w:lineRule="auto" w:line="288" w:before="0" w:after="160"/>
        <w:jc w:val="left"/>
        <w:rPr/>
      </w:pPr>
      <w:r>
        <w:rPr>
          <w:rFonts w:ascii="Times New Roman;sans-serif" w:hAnsi="Times New Roman;sans-serif"/>
          <w:b w:val="false"/>
          <w:color w:val="000000"/>
          <w:sz w:val="20"/>
        </w:rPr>
        <w:t>As of December 31, 2023, the primary trademarks and service marks that we held in the United States included MISTRAS</w:t>
      </w:r>
      <w:r>
        <w:rPr>
          <w:rFonts w:ascii="Times New Roman;sans-serif" w:hAnsi="Times New Roman;sans-serif"/>
          <w:b w:val="false"/>
          <w:color w:val="000000"/>
          <w:sz w:val="13"/>
        </w:rPr>
        <w:t>®</w:t>
      </w:r>
      <w:r>
        <w:rPr>
          <w:rFonts w:ascii="Times New Roman;sans-serif" w:hAnsi="Times New Roman;sans-serif"/>
          <w:b w:val="false"/>
          <w:color w:val="000000"/>
          <w:sz w:val="20"/>
        </w:rPr>
        <w:t>, our stylized globe design and our tag line "One Source for Asset Protection Solutions". Other key trademarks or service marks that we utilize in localized markets or product advertising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Onstream® (word and logo)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PCMS® (word and logo)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Ropeworks®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MISTRAS Digital</w:t>
      </w:r>
      <w:r>
        <w:rPr>
          <w:rFonts w:ascii="Times New Roman;sans-serif" w:hAnsi="Times New Roman;sans-serif"/>
          <w:b w:val="false"/>
          <w:color w:val="000000"/>
          <w:sz w:val="13"/>
        </w:rPr>
        <w: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OneSuite™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Sensoria™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OneSource™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CALIPERAY™ (word and logo)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Physical Acoustics PAC logo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Streamview™</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Sensor Highway™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TankPAC</w:t>
      </w:r>
      <w:r>
        <w:rPr>
          <w:rFonts w:ascii="Times New Roman;sans-serif" w:hAnsi="Times New Roman;sans-serif"/>
          <w:b w:val="false"/>
          <w:color w:val="000000"/>
          <w:sz w:val="13"/>
        </w:rPr>
        <w: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VPAC™</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Transformer Clinic™</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FieldCal™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UTwin®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AEwin®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Pocket AE®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Pocket UT®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Many elements of our asset protection solutions involve proprietary know-how, technology or data that are not covered by patents or patent applications because they are not patentable or would be difficult to enforce, including technical processes, algorithms and procedures. We believe that this proprietary know-how, technology and data is the most important component of our intellectual property used in our asset protection solutions and is a primary differentiator of our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many of our employees have entered into confidentiality and proprietary information agreements with us. Our employee handbook and these agreements require our employees not to use or disclose our confidential information and to assign to us all the inventions, designs and technologies they develop during the course of employment with us, as well as addressing other intellectual property protection issues. We also seek confidentiality agreements from our customers and business partners before we disclose any sensitive aspects of our technologies or business strategies. We are not currently involved in any material intellectual property claims.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Governmental Regulations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were our executive officers for the year ended December 31, 2023 and their background and experience. </w:t>
      </w:r>
    </w:p>
    <w:p>
      <w:pPr>
        <w:pStyle w:val="TextBody"/>
        <w:bidi w:val="0"/>
        <w:spacing w:lineRule="auto" w:line="288" w:before="0" w:after="0"/>
        <w:jc w:val="center"/>
        <w:rPr>
          <w:color w:val="000000"/>
        </w:rPr>
      </w:pPr>
      <w:r>
        <w:rPr>
          <w:color w:val="000000"/>
        </w:rPr>
        <w:t> </w:t>
      </w:r>
    </w:p>
    <w:tbl>
      <w:tblPr>
        <w:tblW w:w="9024" w:type="dxa"/>
        <w:jc w:val="center"/>
        <w:tblInd w:w="0" w:type="dxa"/>
        <w:tblLayout w:type="fixed"/>
        <w:tblCellMar>
          <w:top w:w="28" w:type="dxa"/>
          <w:left w:w="28" w:type="dxa"/>
          <w:bottom w:w="28" w:type="dxa"/>
          <w:right w:w="28" w:type="dxa"/>
        </w:tblCellMar>
      </w:tblPr>
      <w:tblGrid>
        <w:gridCol w:w="689"/>
        <w:gridCol w:w="604"/>
        <w:gridCol w:w="611"/>
        <w:gridCol w:w="109"/>
        <w:gridCol w:w="109"/>
        <w:gridCol w:w="109"/>
        <w:gridCol w:w="130"/>
        <w:gridCol w:w="130"/>
        <w:gridCol w:w="131"/>
        <w:gridCol w:w="109"/>
        <w:gridCol w:w="109"/>
        <w:gridCol w:w="109"/>
        <w:gridCol w:w="1774"/>
        <w:gridCol w:w="1774"/>
        <w:gridCol w:w="2527"/>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Manuel N. Stamatakis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Interim President and Chief Executive Officer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J. Prajzner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Executive Vice President and Chief Financial Officer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Gennaro D'Alterio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Commercial Officer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Keefe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Secretary</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Lange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Group Executive Vice President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President of Services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Manuel "Manny" N. Stamatakis</w:t>
      </w:r>
      <w:r>
        <w:rPr>
          <w:color w:val="000000"/>
        </w:rPr>
        <w:t xml:space="preserve"> </w:t>
      </w:r>
      <w:r>
        <w:rPr>
          <w:rFonts w:ascii="Times New Roman;sans-serif" w:hAnsi="Times New Roman;sans-serif"/>
          <w:b w:val="false"/>
          <w:color w:val="000000"/>
          <w:sz w:val="20"/>
        </w:rPr>
        <w:t>joined Mistras Board of Directors in 2002, became the Chair of the Governance Committee as well as a member of the Audit Committee and Compensation Committee in 2009 and Lead Director in 2010.</w:t>
      </w:r>
      <w:r>
        <w:rPr>
          <w:color w:val="000000"/>
        </w:rPr>
        <w:t xml:space="preserve"> </w:t>
      </w:r>
      <w:r>
        <w:rPr>
          <w:rFonts w:ascii="Times New Roman;sans-serif" w:hAnsi="Times New Roman;sans-serif"/>
          <w:b w:val="false"/>
          <w:color w:val="000000"/>
          <w:sz w:val="20"/>
        </w:rPr>
        <w:t xml:space="preserve">On October 9, 2023, Mr. Stamatakis became the Chairman of the Board, and on the same day became our Interim President Chief Executive Officer to replace our prior President and Chief Executive Officer, Dennis Bertolotti. At that same time, Mr. Stamatakis resigned from all the committees of the Board and as our lead director. Mr. Stamatakis currently chairs the Project Phoenix Steering Committee, an initiative for which he is both the chief architect and driving force.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An accomplished entrepreneur for over 30 years, Mr. Stamatakis is an executive officer of Capital Management Enterprises, Inc., a financial services and employee benefits consulting firm based in Pennsylvania.</w:t>
      </w:r>
      <w:r>
        <w:rPr>
          <w:color w:val="000000"/>
        </w:rPr>
        <w:t xml:space="preserve"> </w:t>
      </w:r>
      <w:r>
        <w:rPr>
          <w:rFonts w:ascii="Times New Roman;sans-serif" w:hAnsi="Times New Roman;sans-serif"/>
          <w:b w:val="false"/>
          <w:color w:val="000000"/>
          <w:sz w:val="20"/>
        </w:rPr>
        <w:t>Mr. Stamatakis has held multiple board and chairmanship positions over the years, including Chairman of the Delaware River Port Authority, The Drexel College of Medicine, the Pennsylvania Supreme Court Investment Advisory Board, and the Philadelphia Shipyard Development Corporation which was the catalyst to bringing shipbuilding back to the Philadelphia region. He earned a B.S. in Industrial Engineering from Pennsylvania State University and received an honorary Doctor of Business Administration from Drexel University.</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i/>
          <w:color w:val="000000"/>
          <w:sz w:val="20"/>
          <w:shd w:fill="FFFFFF" w:val="clear"/>
        </w:rPr>
        <w:t>Edward J. Prajzner</w:t>
      </w:r>
      <w:r>
        <w:rPr>
          <w:color w:val="000000"/>
          <w:shd w:fill="FFFFFF" w:val="clear"/>
        </w:rPr>
        <w:t xml:space="preserve"> </w:t>
      </w:r>
      <w:r>
        <w:rPr>
          <w:rFonts w:ascii="Times New Roman;sans-serif" w:hAnsi="Times New Roman;sans-serif"/>
          <w:b w:val="false"/>
          <w:color w:val="000000"/>
          <w:sz w:val="20"/>
          <w:shd w:fill="FFFFFF" w:val="clear"/>
        </w:rPr>
        <w:t xml:space="preserve">joined Mistras in January 2018 as our Senior Vice President, Chief Financial Officer and Treasurer, was subsequently promoted to Executive Vice President and on March 26, 2023, was promoted to become our Senior Executive Vice President and Chief Financial Officer. </w:t>
      </w:r>
      <w:r>
        <w:rPr>
          <w:rFonts w:ascii="Times New Roman;sans-serif" w:hAnsi="Times New Roman;sans-serif"/>
          <w:b w:val="false"/>
          <w:color w:val="000000"/>
          <w:sz w:val="20"/>
        </w:rPr>
        <w:t>Prior to joining Mistras, Mr. Prajzner worked at CECO Environmental Corp., a global service provider to environmental, energy and filtration industries, and served as Chief Financial Officer and Secretary from 2014 to 2017, Vice President of Finance and Chief Accounting Officer from 2013 until his appointment as Chief Financial Officer in 2014, and Corporate Controller and Chief Accounting Officer from 2012 to 2013. Mr. Prajzner also served in senior finance roles at CDI Corporation (now AE Industrial Partners) and American Infrastructure (now Allan Myers). Mr. Prajzner began his career in public accounting at Ernst &amp; Young, received his B.S. in accountancy from Villanova University, his MBA in finance from Temple University and is a certified public accountant.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Gennaro "Jerry" D'Alterio</w:t>
      </w:r>
      <w:r>
        <w:rPr>
          <w:color w:val="000000"/>
        </w:rPr>
        <w:t xml:space="preserve"> </w:t>
      </w:r>
      <w:r>
        <w:rPr>
          <w:rFonts w:ascii="Times New Roman;sans-serif" w:hAnsi="Times New Roman;sans-serif"/>
          <w:b w:val="false"/>
          <w:color w:val="000000"/>
          <w:sz w:val="20"/>
        </w:rPr>
        <w:t>joined Mistras on September 11, 2023, as Executive Vice President and Chief Commercial Officer. Prior to joining Mistras, Mr. D'Alterio most recently served as the Vice President of Product Management and Director, Global Business Development at CECO Environmental Corporation’s Fluid Handling &amp; Filtration segment, where he also held the positions of President and Global President. With over 20 years of proven executive leadership and demonstrated ability to drive both revenue growth and profitability, across a wide range of industries, Mr. D’Alterio excels at driving best-in-class commercial operating models and transformations while fostering success-oriented, winning cultures. Mr. D'Alterio holds an MBA and a Bachelor of Science in Mechanical Engineering from Villanova University. He is certified in LEAN enterprise and manufacturing, is member of the Hydraulic Institute and the International Desalination Association, and serves on the Board of the Aquatic Animal Life Support Operators organization.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Michael C. Keefe</w:t>
      </w:r>
      <w:r>
        <w:rPr>
          <w:color w:val="000000"/>
        </w:rPr>
        <w:t xml:space="preserve"> </w:t>
      </w:r>
      <w:r>
        <w:rPr>
          <w:rFonts w:ascii="Times New Roman;sans-serif" w:hAnsi="Times New Roman;sans-serif"/>
          <w:b w:val="false"/>
          <w:color w:val="000000"/>
          <w:sz w:val="20"/>
        </w:rPr>
        <w:t>joined Mistras in December 2009. Prior to joining Mistras, Mr. Keefe worked at International Fight League, a then publicly-traded sports promotion company, from 2007 until 2009, in various executive positions. From 1990 until 2006, Mr. Keefe served in various legal roles with Lucent Technologies and AT&amp;T, the last four years of which he served as Vice President, Corporate and Securities Law and Assistant Secretary. Mr. Keefe received a BS in Business Administration (Accounting) from Seton Hall University and a J.D. from Seton Hall University School of Law.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Michael J. Lange</w:t>
      </w:r>
      <w:r>
        <w:rPr>
          <w:color w:val="000000"/>
        </w:rPr>
        <w:t xml:space="preserve"> </w:t>
      </w:r>
      <w:r>
        <w:rPr>
          <w:rFonts w:ascii="Times New Roman;sans-serif" w:hAnsi="Times New Roman;sans-serif"/>
          <w:b w:val="false"/>
          <w:color w:val="000000"/>
          <w:sz w:val="20"/>
        </w:rPr>
        <w:t>joined Mistras when we acquired Quality Services Laboratories in November 2000, and was elected a Director in 2003. Mr. Lange has held various executive level positions with Mistras, becoming Senior Executive Vice President, effective June 1, 2016. Mr. Lange is a well-recognized authority in Radiography and has held an ASNT Level III Certificate for almost 20 years. Mr. Lange received an Associate of Science degree in NDT from the Spartan School of Aeronautics.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John A. Smith</w:t>
      </w:r>
      <w:r>
        <w:rPr>
          <w:color w:val="000000"/>
        </w:rPr>
        <w:t xml:space="preserve"> </w:t>
      </w:r>
      <w:r>
        <w:rPr>
          <w:rFonts w:ascii="Times New Roman;sans-serif" w:hAnsi="Times New Roman;sans-serif"/>
          <w:b w:val="false"/>
          <w:color w:val="000000"/>
          <w:sz w:val="20"/>
        </w:rPr>
        <w:t xml:space="preserve">joined Mistras in 2008 and has held various positions, including Vice President of Operations, then became Senior Vice President of Operations in 2018 before becoming Executive Vice President and President of Services on October 1, 2023. Mr. Smith began his career as a non-destructive testing (NDT) technician with CONAM Inspection and Engineering Services before launching his own business, Elite Inspection Services Company. He owned and operated Elite for 16 years, until Mistras acquired the company in 2008. During his NDT career, Mr. Smith held multiple certifications from the American Society for Nondestructive Testing (ASNT).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are appointed by, and serve at the discretion of, our board of directors. There are no family relationships among any of our directors or executive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Website and Available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Our website address is </w:t>
      </w:r>
      <w:r>
        <w:rPr>
          <w:rFonts w:ascii="Times New Roman;sans-serif" w:hAnsi="Times New Roman;sans-serif"/>
          <w:b w:val="false"/>
          <w:i/>
          <w:color w:val="000000"/>
          <w:sz w:val="20"/>
        </w:rPr>
        <w:t>www.mistrasgroup.com.</w:t>
      </w:r>
      <w:r>
        <w:rPr>
          <w:color w:val="000000"/>
        </w:rPr>
        <w:t xml:space="preserve"> </w:t>
      </w:r>
      <w:r>
        <w:rPr>
          <w:rFonts w:ascii="Times New Roman;sans-serif" w:hAnsi="Times New Roman;sans-serif"/>
          <w:b w:val="false"/>
          <w:color w:val="000000"/>
          <w:sz w:val="20"/>
        </w:rPr>
        <w:t xml:space="preserve">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and should not be considered part of this Annual Report or any other filing with the SEC. All of our SEC filings are also available at the SEC’s website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In addition, materials we file with the SEC may be read and copied at the SEC’s Public Reference Room at 100 F Street, NE, Washington, DC 20549. The public may obtain information on the operation of the Public Reference Room by calling the SEC at 1-800-SEC-0330.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color w:val="000000"/>
          <w:sz w:val="20"/>
        </w:rPr>
        <w:t>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before making an investment decision. The statements contained in this section constitute cautionary statements under the Private Securities Litigation Reform Act of 1995. If any of these risks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For example, the COVID-19 pandemic has had a dramatic negative impact on the health of citizens of many countries, and resulted in major disruptions in economies and markets around the world, including our key markets. In addition, it is unclear what effects the on-going war between Russia and Ukraine and the conflict in the Middle East between Israel and Hamas are likely to have on the world economy and certain of our target markets, including particularly the oil and gas market, in the near and long term. In addition, macroeconomic factors such as inflation, unemployment, and interest rates, amongst others, will impact our business. Accordingly, you should not consider the following to be a complete discussion of all risks and uncertainties pertaining to us and our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Due to our dependency on customers in the oil and gas industry, we are susceptible to prolonged negative trends relating to this industry that could adversely affect our operating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in the oil and gas industry have accounted for a substantial portion of our historical revenues. Specifically, they accounted for approximately 59%, 56%, and 54% of our revenues for the years ended December 31, 2023, 2022 and 2021, respectively. Although we have expanded our customer base into industries other than the oil and gas industry, we still receive a majority of our revenues from this industry. Our services are vital to the operators of plants, refineries, and pipelines, and we have expanded our services offerings, such as expanding our mechanical and in-line inspection services capabilities. However, economic slowdowns or low oil prices have, and could continue to, result in cutbacks in contracts for our services. In addition, low oil prices could depress the level of new exploration and construction, which would adversely affect our market opportunities. If the price of oil were to decrease, our revenues, profits and cash flows may be reduced. If the price of oil reaches record, or near record levels as it did in 2022, we may experience delays or deferrals in performing inspection services to customers in the oil and gas industry.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expand our market presence in the aerospace, power generation and transmission, and the chemical processing industries, among others, these markets are also cyclical in nature and as such, are subject to economic downturns. In addition, it is unclear what the continued effects the war between Russia and Ukraine and the conflict in the Middle East between Israel and Hamas are likely to have on the world economy and certain of our target markets, including particularly the oil and gas market, in the near and long term. However, during 2022, we experienced unfavorable foreign currency exchange impacts as it relates to our European operations. Additionally, the Russian-Ukrainian war continues to create disruptions in the oil and gas market and the supply chain in general, which is resulting in some disruption to our business operations. Our European operations are currently experiencing increased costs associated with higher energy costs, among others, due in part to the Russian-Ukrainian war.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affected by climate change and market or regulatory responses to climate change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Climate change could have a material adverse effect on our results of operations, financial condition, and liquidity. Restrictions on emissions, including those that have already been adopted and others that are expected to be adopted in the future, could affect our customers that (i) use commodities to produce energy, (ii) use significant amounts of fossil fuel to produce or deliver commodities, or (iii) manufacture or produce goods that consume significant amounts of fossil fuels or burn fossil fuels. Significant cost increases, government regulation, or changes of consumer preferences for goods or services relating to alternative sources of energy or emissions reductions could materially affect the markets we serve (including the oil and gas industry), which in turn could have a material adverse effect on our results of operations, financial condition and liquidity. Government incentives encouraging the use of alternative sources of energy also could affect certain of our customers and the markets we serve in an unpredictable manner. Any of these factors, individually or with one or more of the other factors, or other unforeseen impacts of climate change could have a material adverse effect on our results of operations, financial condition and liquidity.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changes in international, federal, state and local legislation and regulation based on concerns about climate change and increasing climate-related disclosures, including the rules proposed by the SEC, could result in increased compliance and data collection costs if, and when, such laws and regulations become effective.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international operations are subject to risks relating to non-U.S.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we generated approximately 29%, 29%, and 30% of our revenues outside the United States, respectively. In addition, our international operations as a percentage of our business may increase over time. Our primary operations outside the United States are in Canada, Germany, France, the United Kingdom, the Netherlands and Brazil. We also have operations in Belgium, Greece and India. There are numerous risks inherent in doing business in international markets, including: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fluctuations in currency exchange rates and interest rates;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regional micro and macro-economic pressures, inflationary costs, energy costs and geopolitical factors;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compliance with applicable foreign regulations and licensing requirements, and U.S. laws and regulation with respect to conducting business in other countries, including export controls, sanctions, anti-terrorist and anti-bribery laws;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cost and uncertainty of obtaining data and creating solutions that are relevant to particular geographic markets;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need to provide sufficient levels of technical support in different locations;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complexity of maintaining effective policies and procedures in locations around the world;</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political instability, war or conflicts and civil unrest;</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increased risk of hacking, malware or security breaches of our data and databases;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restrictions or limitations on outsourcing contracts or services abroad;</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restrictions or limitations on the repatriation of funds, or tax consequences on the non-repatriation of overseas operationally generated funds;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potentially adverse tax consequences.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results could be adversely affected by a reduction in business with our 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We derive a significant amount of revenues from a few customers. Taken as a group, our top ten customers were responsible for approximately 35%, 33%, and 33% of our revenues for the years ended December 31, 2023, 2022 and 2021, respectively. This concentration pertains almost exclusively to our North America segment, which accounted for</w:t>
      </w:r>
      <w:r>
        <w:rPr>
          <w:color w:val="EE2724"/>
        </w:rPr>
        <w:t xml:space="preserve"> </w:t>
      </w:r>
      <w:r>
        <w:rPr>
          <w:rFonts w:ascii="Times New Roman;sans-serif" w:hAnsi="Times New Roman;sans-serif"/>
          <w:b w:val="false"/>
          <w:color w:val="000000"/>
          <w:sz w:val="20"/>
        </w:rPr>
        <w:t xml:space="preserve">82%, 83% and 82% of our revenues for the years ended December 31, 2023, 2022 and 2021, respectively. These customers are primarily in the oil and gas sector.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significant customers could result in lower revenues and could harm our business, financial condition or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and the industries we currently serve, are currently subject to governmental regulation, and may become subject to modified or new government regulation that may negatively impact our ability to market our asset protection solutions.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comply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North America segment is currently licensed to handle radioactive materials by the U.S. Nuclear Regulatory Commission, more than 30 state regulatory agencies and the Canadian Nuclear Safety Commission.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being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In the future,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of providing these solutions and have a corresponding adverse effect on our margins.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(formerly National Aerospace and Defense Contractors Accreditation Program) and similar certifications for certain of our locations. We continually review our NDT solutions for compliance with the requirements of industry specification standards and the Nadcap special processes quality requirements. However, if we fail to maintain our ISO, Nadcap or other certifications, our business may be harmed because our customers generally require that we have these certifications before they purchase our NDT solutions.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 accident or incident involving our asset protection solutions could expose us to claims, harm our reputation and adversely affect our ability to compete for business and, as a result, harm our operating performance.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would likely face significant claims relating to personal injury, property damage or other losses. Even if our results are correct and complete, we may face claims for such injuries or damage simply because we tested the structure or facility in question. In addition, during the course of a single engagement, such as the inspection of a pipeline, we often perform tests on thousands of welds. Even if the accuracy of only a small number of these test results are questioned, a customer may attempt to refuse payment for the entire project. While we do have insurance, our insurance coverage does not cover non-payment by customers and may not be adequate to cover the damages from any of the prior referenced claims, forcing us to bear these uninsured damages directly, which could harm our operating results and may result in additional expenses and possible loss of revenues. An accident or incident for which we are found partially or fully responsible, even if fully insured, or even an incident at a customer or site for which we provide services although we were found not to be responsible,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Many of the sites at which we work are inherently dangerous workplaces. If we fail to maintain a safe work environment, we may incur losses and lose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could incur costs for the injuries and lost productivity. In addition,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software or system produces inaccurate information or are incompatible with the systems used by our customers and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make us unable to successfully provide our solutions, it could lead to a loss of revenues and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could result in lost revenues. Software or system defects or inaccurate data may lead to customer dissatisfaction and could cause our customers to seek to hold us liable for any damages incurred. As a result, we could lose customers, our reputation may be harmed and our financial condition and results of operations could be materially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serve a commercial, and industrial customer base that uses a wide variety of constantly changing hardware, software solutions and operating systems. Our asset protection solutions need to interface with these systems in order to gather and assess data. Our business depends on the following factors, among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integrate our technology with new and existing hardware and software systems, of either Mistras or a customer;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anticipate and support new standards, especially internet-based standards;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integrate additional software modules under development by either us or a customer, with our existing technology and operational processes.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adequately address any of these factors, our results of operations and prospects for growth and profitability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would be adversely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and retain a sufficient number of trained certified technicians, engineers and scientists at competitive wages, changes in laws and other labor issues could materially affect our financial performance.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success depends, in part, upon our ability to attract, develop and retain a sufficient number of trained certified technicians, engineers and scientists at competitive wages. The demand for such employees fluctuates as the demand for NDT and inspection services fluctuates. When the demand for qualified technicians increases, we will often experience increased labor costs, which we may not recover in the amounts we can charge our customers. The markets for our products and services require us to use personnel trained and certified in accordance with standards set by domestic or international standard-setting bodies, such as the American Society of Non-Destructive Testing or the API.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our costs of labor or related costs increase for other reasons or if new or revised labor laws, rules or regulations or healthcare laws are adopted or implemented that further increase our labor costs, our financial performance could be materially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initiatives to improve our financial performance may not achieve results within expected time frames, or at expected levels.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undertaken strategies to transform our business so that we may operate more effectively, streamline and rationalize our cost structures, and look for strategic opportunities to expand our revenue and become more profitable. The extent of our future success depends on how successful we are in these endeavors.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commenced a broad review of our operations, which we refer to as "Project Phoenix". Through Project Phoenix, we have been exploring ways to improve profitability and Adjusted EBITDA, through meaningful margin improvement and sustained cost savings. We have completed most phases of the project, wherein efficiency and profitability opportunities were identified, actionable initiatives were validated, and many of these actions have been implemented prospectively. Project Phoenix has resulted in significant cost reductions, primarily through headcount reductions, more efficient workflows, and streamlining of processes, and also led to developing and initiating action plans to increase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Project Phoenix initiatives will benefit the Company and our stockholders in the long run. However, we cannot be certain that some of the cost reductions could result in problems with our operations, lost opportunities, weakening of controls and procedures or other adverse effects if we misjudged the impact of the headcount reductions and other changes that we have implemented and are currently implementing. In addition, headcount reductions can result in lower employee morale and result in employees deciding to leave the Company, which would further adversely impact our businesses.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operate in competitive markets and if we are unable to compete successfully, we could lose market share and revenues and our margins could decline.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could attempt to combine asset protection solutions into an integrated offering to customers who already purchase other types of products or services from them. Our competitors may offer asset protection solutions at lower prices than ours in order to attempt to gain market share. Smaller niche competitors with small customer bases could be aggressive in their pricing in order to retain customers. These competitive factors could reduce our market share, revenues and profits.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success of our businesses depends, in part, on our ability to develop new asset protection solutions, increase the functionality of our current offerings and meet the needs and demands of our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asset protection solutions is impacted by technological change, uncertain product lifecycles, shifts in customer demands and evolving industry standards and regulations. If we fail to execute effective business strategies, or fail to successfully develop and market new asset protection solutions that comply with present or emerging industry regulations and technology standards, our competitive standing and results could suffer. Also, new regulations or technology standards could increase our cost of doing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our customers have requested greater value and functionality in our solutions. As part of our strategy to enhance our asset protection solutions and grow our business, we continue to make investments in the research and development of new technologies, inspection tools and methodologies. We believe our future success will depend, in part, on our ability to continue to design new, competitive and broader asset protection solutions, enhance our current solutions and provide new, value-added services. Many traditional NDT and inspection services are subject to price competition by our customers. Accordingly, the need to demonstrate our value-added services is becoming more important.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including against possible alternative products developed and marketed by our competitors, we may experience a loss of customers or otherwise be likely to lose opportunities to earn revenues and to gain customers or access to markets, and our business and results of operations will be adversely affected.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develop new solutions, if our customers, or potential customers, do not see the value our solutions have over competing products and services, our operating results could be adversely impacted. In addition, because the asset protection solutions industry is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 If we cannot convince our customers of the advantages and value of our advanced NDT services, we could lose large contracts or suffer lower profit margin.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seasonal nature of our business reduces our revenues and profitability in the winter and summer and related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seasonal. The fall and spring revenues are typically higher than our revenues in the winter and summer because demand for our asset protection solutions from the oil and gas as well as the fossil and nuclear power industries increases during their non-peak production periods. For instance, U.S. refineries’ non-peak periods are generally in the fall, when they are retooling to produce more heating oil for winter, and in the spring, when they are retooling to produce more gasoline for summer. As a result of these trends, we generally have reduced cash flows in the fall and spring, as collections of receivables lag behind revenues, normally requiring us to increase our borrowings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agreement contains financial covenants that require us to maintain compliance with specified financial ratios. If we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fail to comply with these covenants, the lenders could prevent us from borrowing under our credit agreement, require us to pay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amounts outstanding, require that we cash collateralize letters of credit issued under the credit agreement and restrict us from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making acquisitions. If the maturity of our indebtedness is accelerated, we then may not have sufficient funds available for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repayment or the ability to borrow or obtain sufficient funds to replace the accelerated indebtedness on terms acceptable to us,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at all. We believe that it is probable, based on the New Credit Agreement (as defined herein), that we will be able to comply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the financial covenants in our existing credit agreement and that sufficient credit remains available under the credit agreement to meet our liquidity needs. However, due to the uncertainties being caused by the significant volatility in oil prices and volatility in the aerospace production, such matters cannot be predicted with certainty.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credit agreement also imposes restrictions on our ability to engage in certain activities, such as creating liens,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making certain investments, incurring more debt, disposing of certain property, paying dividends and making distributions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entering into a new line of business. While these restrictions have not impeded our business operations to date, if our plans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these restrictions could be burdensome or require that we pay fees to have the restrictions waived. In addition, due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debt levels and restrictions related to the debt covenants in our credit facility, we do not expect to make 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in 2024 other than small acquisitions with the banks’ approval.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risks regarding our information technology and 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disruptions of our information technology systems or breaches of information security could adversely affect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We rely upon information technology systems to operate many parts of our business. We routinely collect, store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transmit large amounts of sensitive or confidential information, including data from the results of our testing and inspections.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deploy and operate various technical and procedural controls to maintain the confidentiality and integrity of such sensitive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confidential information. Furthermore, as we automate more of our inspection process and procedures, including through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use of MISTRAS Digital, we become more vulnerable to security breaches and other system disruptions. In addition, we rely 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for significant elements of our information technology infrastructure and, as a result, we are managing many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vendor relationships with third parties who may or could have access to our confidential information. The size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complexity of our information technology and information security systems, and those of our third-party vendors with whom we contract (and the large amounts of confidential information that is present on them), make such systems potentially vulnerable to service interruptions or to security breaches from inadvertent or intentional actions by our employees or vendors, or from attacks by malicious third parties. Such attacks are of ever-increasing levels of sophistication and expertise, including organized criminal groups, “hacktivists” and others. Due to the nature of some of these attacks, there is a risk that they may remain undetected for a period of time. While we have invested in the protection of data and information technology, there can be no assurance that our efforts will prevent service interruptions or security breaches. Any such interruption or breach of our systems could adversely affect our business operations and/or result in the loss of critical or sensitive confidential information, and could result in financial, legal, business and reputational harm to us. We maintain cyber liability insurance. However, this insurance may not be sufficient to cover the financial, legal, business or reputational losses that may result from an interruption or breach of our systems. The occurrence or perception of security breaches in connection with our asset protection solutions or our customers’ concerns about internet security or the security of our solutions, whether warranted or not, would likely harm our reputation and business, inhibit market acceptance of our asset protection solutions and cause us to lose customers, any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which would harm our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much of our computer and communications hardware is located at a single facility. We have a back-up data-center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storage in a different geographic area. Should a natural disaster or some other event occur that damages our primary data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center or significantly disrupts its operation, such as human error, fire, flood, power loss, telecommunications failure, break-ins,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terrorist attacks, acts of war and similar events, we could suffer temporary interruption of key functions and capabilities before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back-up facility is fully operational.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Events such as natural disasters, industrial accidents, epidemics, pandemics, war and acts of terrorism, and adverse weather</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conditions could disrupt our business or the business of our customers, which could significantly harm our operations, financial results and cash flow.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and those of our customers are susceptible to the occurrence of catastrophic events outside our control, which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include events like epidemics, pandemics and other health crises, severe weather conditions, industrial accidents, and acts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war and terrorism, to name a few. We continue to actively monitor the conflict in the Middle East between Israel and Hamas, and the war between Russia and Ukraine and the sanctions imposed upon Russia in order to assess impacts to our customers and our operations. At this time, we do not believe there is a material impact on our operations, however the future impact of the conflict, and additional sanctions imposed, are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such events could cause a serious business disruption that reduces our customers’ need or interest in purchasing our asset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protection solutions. In the past, such events have resulted in order cancellations and delays because customer equipment,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facilities or operations have been damaged, or are not then operational or available. A large portion of our customer base has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operations in the Gulf of Mexico, which is subject to hurricanes and tropical storms. Hurricane-related disruptions to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customers’ operations have adversely affected our revenues in the past. Such events in the future may result in substantial delays in the provision of solutions to our customers and the loss of valuable equipment. In addition, our results can be adversely impacted by severe winter weather conditions, which can result in lost workdays and temporary closures of customer facilities or outdoor projects.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these events could disrupt commodity prices or financial markets or have other negative macroeconomic impacts,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such as the conflict in the Middle East between Hamas and Israel and the on-going war between Ukraine and Russia, which could harm our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 significant stockholder has significant influence over the direction of our business. The concentrated ownership of our common stock may prevent other stockholders from influencing significant corporate decisions.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shd w:fill="FFFFFF" w:val="clear"/>
        </w:rPr>
        <w:t>Dr. Sotirios J. Vahaviolos, our fo</w:t>
      </w:r>
      <w:r>
        <w:rPr>
          <w:rFonts w:ascii="Times New Roman;sans-serif" w:hAnsi="Times New Roman;sans-serif"/>
          <w:b w:val="false"/>
          <w:color w:val="000000"/>
          <w:sz w:val="20"/>
        </w:rPr>
        <w:t>under and Chairman Emeritus, owns approximately 6% of our outstanding common stock, his three adult children own an additional 6%, in the aggregate, and a grantor retained annuity trust he created, for which his daughter is the sole trustee, owns approximately 22%. As a result, Dr. Vahaviolos and his family have significant control over the Company and they have the ability to exert substantial influence over all matters requiring approval by our stockholders,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stockholders with differing interests from Dr. Vahaviolos and his family.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currently have no plans to pay dividends on our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Shares eligible for future sale may cause the market price for our common stock to decline even if our business is doing well.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Future sales by us or by our existing stockholders of substantial amounts of our common stock in the public market, or the perception that these sales may occur, could cause the market price of our </w:t>
      </w:r>
      <w:r>
        <w:rPr>
          <w:rFonts w:ascii="Times New Roman;sans-serif" w:hAnsi="Times New Roman;sans-serif"/>
          <w:b w:val="false"/>
          <w:color w:val="000000"/>
          <w:sz w:val="20"/>
          <w:shd w:fill="FFFFFF" w:val="clear"/>
        </w:rPr>
        <w:t>common stock to decline. This could also impair our ability to raise additional capital in the future through the sale of our equity securities. We cann</w:t>
      </w:r>
      <w:r>
        <w:rPr>
          <w:rFonts w:ascii="Times New Roman;sans-serif" w:hAnsi="Times New Roman;sans-serif"/>
          <w:b w:val="false"/>
          <w:color w:val="000000"/>
          <w:sz w:val="20"/>
        </w:rPr>
        <w:t>ot predict the size of future issuances of our common stock or the effect, if any, that future sales and issuances of shares of our common stock, or the perception of such sales or issuances, would have on the market price of our common stock. We currently have approximately 170 million shares of common stock available for issuance.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Provisions of our certificate of incorporation, bylaws and of Delaware law could discourage, delay or prevent a change of control of our company, which may adversely affect the market price of our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provisions of our certificate of incorporation and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allow the authorized number of directors to be changed only by resolution of our board of directors;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require that vacancies on the board of directors, including newly created directorships, be filled only by a majority vote of directors then in office;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require that stockholder actions must be effected at a duly called stockholder meeting by prohibiting stockholder action by written consent;</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prohibit cumulative voting in the election of directors, which may otherwise allow holders of less than a majority of stock to elect some directors;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establish advance notice requirements for stockholder nominations to our board of directors or for stockholder proposals that can be acted on at stockholder meetings and limit the right to call special meetings of stockholders to the Chairman of our board, our Chief Executive Officer, our board of directors acting pursuant to a resolution adopted by a majority of directors or our Secretary upon the written request of stockholders entitled to cast not less than 35% of all the votes entitled to be cast at such meeting.</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stock price could fluctuate for numerous reasons, including variations in our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operating results have fluctuated in the past and may do so in the future. Accordingly, we believe that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period-to-period comparisons of our results of operations may be the best indicators of our business. You should not rely upon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 subject to general economic, market, industry, and competitive conditions, the risk factors discussed herein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numerous other conditions outside of our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Deteriorations in economic conditions in certain markets or other factors may cause us to recognize additional impairment charges for our goodwill.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recognized goodwill impairment charges of $13.8 million within the International reporting units. Future deterioration in industry or economic conditions in which we operate, including increased inflationary costs, energy costs, labor costs, social pressures and disruptions in Europe, the Middle East or elsewhere as a result of the war between Russia and Ukraine and the conflict between Israel and Hamas, disruptions to our business, not effectively integrating acquired businesses, macroeconomic factors or other factors, may cause impairment charges to our goodwill in future periods.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privacy and data security/protection laws in the jurisdictions in which we operate and may be exposed to substantial costs and liabilities associated with such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surrounding information security and privacy is increasingly demanding, with frequent imposition of new and changing requirements. The European Union's General Data Protection Regulation (“GDPR”), which became effective in May 2018, imposed significant new requirements on how companies process and transfer personal data, as well as significant fines for non-compliance. In addition to GDPR, many states in the U.S. and provinces in Canada have enacted, or are considering, data privacy requirements similar to GDPR, and thus we will need to ensure our procedures comply with these various state and provincial laws. Compliance with changes in privacy and information security laws and standards may result in significant expense due to increased investment in technology and the development of new operational processes, which could have a material adverse effect on our financial condition and results of operations. In addition, the payment of potentially significant fines or penalties in the event of a breach of privacy and information security laws, as well as the negative publicity associated with such a breach, could damage our reputation and adversely impact product demand and customer relationships.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lose key members of our senior management team upon whom we are dependent, we may be less effective in managing our operations and may have more difficulty achieving our strategic objectives.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to a considerable degree upon the availability, contributions, vision, skills, experience and effort of our senior management team. We have in place various compensation programs, such as an annual cash incentive program, equity incentive program and a severance policy, each designed to incentivize and retain our key senior managers. At this time, we do not have any reason to believe that we may lose the services of any of these key persons in the foreseeable future and we believe our compensation programs will help us retain these individuals. However, an unplanned loss or interruption of the service of numerous key members of our senior management team could harm our business, financial condition and results of operations and could significantly reduce our ability to manage our operations and implement our strategy.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Intellectual property may impact our business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and any patent or patent applications, trademarks or copyrights held by us or to be issued to us, may not adequately protect us. To date, we have relied principally on copyright, trademark and trade secrecy laws, as well as confidentiality agreements and licensing arrangements, and more recently, patent protection, to establish and protect our intellectual property. However, we have not obtained confidentiality agreements from all our customers. Although we obligate our employees to confidentiality, we cannot be certain that these obligations will be honored or enforceable in all circumstances.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business growth, which might not be available.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Our current credit facility meets our current needs, except that due to our current debt levels, the facility limits our ability to make acquisitions without the banks' approval until our debt ratio improves. If we were to secure other debt financing in the future, it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including through acquisitions, or respond to business challenges.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1B.</w:t>
      </w:r>
      <w:r>
        <w:rPr>
          <w:color w:val="000000"/>
        </w:rPr>
        <w:t xml:space="preserve">                                       </w:t>
      </w:r>
      <w:r>
        <w:rPr>
          <w:rFonts w:ascii="Times New Roman;sans-serif" w:hAnsi="Times New Roman;sans-serif"/>
          <w:b/>
          <w:color w:val="000000"/>
          <w:sz w:val="20"/>
        </w:rPr>
        <w:t>UNRESOLVED STAFF COMMENTS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0" w:name="i5b287713dc6a44629e16c0c0485657d8_2105"/>
      <w:bookmarkEnd w:id="0"/>
      <w:r>
        <w:rPr>
          <w:rFonts w:ascii="Times New Roman;sans-serif" w:hAnsi="Times New Roman;sans-serif"/>
          <w:b/>
          <w:color w:val="000000"/>
          <w:sz w:val="20"/>
        </w:rPr>
        <w:t>ITEM 1C.</w:t>
      </w:r>
      <w:r>
        <w:rPr>
          <w:color w:val="000000"/>
        </w:rPr>
        <w:t xml:space="preserve">                                                </w:t>
      </w:r>
      <w:r>
        <w:rPr>
          <w:rFonts w:ascii="Times New Roman;sans-serif" w:hAnsi="Times New Roman;sans-serif"/>
          <w:b/>
          <w:color w:val="000000"/>
          <w:sz w:val="20"/>
        </w:rPr>
        <w:t>CYBERSECURITY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prioritize the protection of our data assets, the private data of our employees, customers, and vendors, and personal information. To assess, identify, and manage the risks of cybersecurity threats to our information systems and the associated costs, we maintain a robust cybersecurity program that is integrated into the Company’s overall Enterprise Risk Management strategy. We understand that threats from hackers and other cyber criminals continues to adapt and become more sophisticated, and so must our response to these threats.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(“the Board”) is responsible for oversight of our information security program. The Audit Committee, Enterprise Risk Committee, and the Information Technology Leadership Team support the Board in the oversight of our information security program and are focused on cybersecurity and data privacy risk, including compliance with all applicable laws and regulations, incident response planning, timely identification and assessment of incidents, incident recovery and business continuity considerations.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Divisional Vice President of IT has a biannual meeting with the Audit Committee and other senior executives to provide an update of our current cyber security posture, IT Risk assessment, and compliance with multiple applicable regulations, frameworks, and other privacy initiatives. The Divisional Vice President of IT, along with the Information Technology Leadership Team, also meet with other senior executives every other week throughout the year to discuss on-going cyber security and governance initiatives and risk mitigations. The Divisional Vice President of IT has fifteen years of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experience, including ten years with Mistras Group, and the Information Technology Leadership Team has a combined fifteen years of cybersecurity experience, including a combined ten years with Mistras Group. The Divisional Vice President of IT and members of the Information Technology Leadership Team maintain industry recognized credentials relevant to their roles.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Divisional Vice President of IT manages both an Information Security team and an IT Risk team within the Department of Information Technology. The IT Risk team is responsible for governance and compliance related to regulations and frameworks for data classification, data privacy, handling of private data and CUI, and internal policies and procedures. The Cyber Security team is responsible for identifying and implementing technologies to mitigate IT risk, enhance data security, and identify and defend against attacks. Both teams work closely together to establish the cybersecurity policies for the Company, evaluate the current risk profile, and to prevent, investigate, mitigate, and remediate any cyber-attacks on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IT Risk team uses an asset-based risk approach for evaluating cybersecurity risks and appropriate risk mitigation. All IT assets are reviewed against a broad range of risks twice a year and are evaluated for likelihood of occurrence and impact should they occur. These risks are then mapped to our global inventory of systems and the type of data as well as the number of systems to which a risk applies are evaluated. These factors are used to determine a risk score for each of the reviewed risks, and mitigations are subsequently applied to reduce those risk scores to determine the areas of focus for increasing mitigations. This exercise is logged biannually to monitor improvement.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several physical, automated, and administrative controls in place to mitigate the success and extent of any cyber breaches. Our controls are designed to require review of tasks which may occur in the normal course of business but are also common vectors of attack. Automated controls are implemented in all cases where one is feasible, and in other cases standard procedures or documented instructions are in place to ensure that actions are proper and approved before they occur.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Policies related to cybersecurity risks are documented, reviewed annually, and published internally, which define the correct processes for identifying, containing, remediating, and responding to cybersecurity incidents. Our data protection policies define the establishment of the classification of types of data. Based upon this data classification, we determine an incident’s materiality and establish the appropriate response, the incident management team, and the communications required to be distributed to third parties. Incident management policies are in place to establish the proper communication channels and responsible parties for different levels of materiality of an incident. We practice these policies and procedures in a tabletop or simulated fashion multiple times annually.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employee plays a role in safeguarding our data assets, and the protection of our data is ingrained in every employee’s day to day activities. Employees must participate in annual Cyber Security training. Simulated testing occurs multiple times throughout the year, including drop testing and SPAM / PHISHING campaigns, and the results are tracked for compliance and we address any weaknesses identified in such trainings and testings as necessary.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Security team performs internal threat hunting, vulnerability scanning, log aggregation, and identity monitoring on an on-going basis. Web site, code, and configuration vulnerability scans are performed as necessary to ensure that changes do not introduce vulnerabilities into our systems. Information Security and IT Risk personnel receive regular training to ensure up-to-date expert knowledge.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cybersecurity risk assessment, identification, management, and mitigation efforts, we engage third party cyber security experts. Cyber security assessments are performed at least annually, results are documented and reviewed, and mitigation plans are put in place to reduce any threats identified. The classification of data processed by any system is considered when implementing mitigations.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importance of overseeing and identifying material risks from cybersecurity threats associated with our use of third-party vendors. We perform a thorough review of the cyber security measures in place, including any documented third-party audits, for any partners who process our data. Sign-off is required by the Information Security team before agreements can be put in place.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current preventative actions and response activities provide adequate measures of protection against security breaches and generally reduce our cybersecurity risks. However, cybersecurity threats are constantly evolving, are becoming more frequent and more sophisticated and are being made by groups of individuals with a wide range of expertise and motives, which increases the difficulty of detecting and successfully defending against them. While we have implemented measures to safeguard our operational and technology systems and have established a culture of continuous learning, monitoring and improvement, the evolving nature of cybersecurity attacks and vulnerabilities means that these protections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always be effective. However, as of the date of this Annual Report, management has determined that none of the cybersecurity attacks that we have experienced has resulted in a material impact on our financial condition, results of operations or business strategy. In addition, as of the date of this Annual Report, we are not aware of any risks from cybersecurity threats that have materially affected or are reasonably likely to materially affect us, including our business strategy,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how cybersecurity threats have affected or are reasonably likely to materially affect our business strategy, results of operations or financial condition, see Part I, Item 1A, “Risk Factors—Risks Related to Our Business—We face risks regarding our information technology and security”.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PROPERTIES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operated approximately 110 facilities in 11 countries, with our corporate headquarters located in Princeton Junction, New Jersey. Our headquarters in Princeton Junction is our primary location, where most of our manufacturing and research and development is conducted. While we lease most of our facilities, as of December 31, 2023, we owned properties located in Monroe, North Carolina; Trainer, Pennsylvania; LaPorte, Texas; Burlington, Washington; Evanston, Wyoming; and Jonquiere, Quebec, Canada. Our North America segment utilizes approximately 70 facilities throughout North America (including Canada and Mexico). Our Products and Systems segment’s primary location is in our Princeton Junction, New Jersey facility. Our International segment has approximately 35 facilities including locations in Belgium, Brazil, France, Germany, Greece, India, the Netherlands and the United Kingdom. We believe that all of our facilities are well maintained and are suitable and adequate for the foreseeable future.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We are subject to periodic legal proceedings, investigations and claims that arise in the ordinary course of business. See “Legal Proceedings and Government Investigations - Litigation and Commercial Claims” in Note </w:t>
      </w:r>
      <w:r>
        <w:rPr>
          <w:rFonts w:ascii="Times New Roman;sans-serif" w:hAnsi="Times New Roman;sans-serif"/>
          <w:b w:val="false"/>
          <w:i/>
          <w:color w:val="000000"/>
          <w:sz w:val="20"/>
        </w:rPr>
        <w:t>18-Commitments and Contingencies</w:t>
      </w:r>
      <w:r>
        <w:rPr>
          <w:color w:val="000000"/>
        </w:rPr>
        <w:t xml:space="preserve"> </w:t>
      </w:r>
      <w:r>
        <w:rPr>
          <w:rFonts w:ascii="Times New Roman;sans-serif" w:hAnsi="Times New Roman;sans-serif"/>
          <w:b w:val="false"/>
          <w:color w:val="000000"/>
          <w:sz w:val="20"/>
        </w:rPr>
        <w:t>to our audited consolidated financial statements contained in Item 8 of this Annual Report for a description of legal proceedings involving us and our business,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MARKET FOR REGISTRANT’S COMMON EQUITY, RELATED STOCKHOLDER MATTERS AND ISSUER PURCHASE OF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for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currently trades on the New York Stock Exchange under the ticker symbol “MG.”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6, 2024, there were 10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15th Avenue, Brooklyn, New York 11219.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cash dividends have been paid on our Common Stock to date. We currently intend to retain our future earnings, if any, to finance the expansion of our business and do not expect to pay any cash dividends in the foreseeable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Sale of Unregistered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line graph below compares the cumulative total shareholder value return of our common shares with the cumulative total returns of an overall stock market index, the Russell 3000, and our peer group index. This graph assumes an investment of $100 in our common shares and each index (with all dividends reinvested) on December 31, 2018.</w:t>
      </w:r>
    </w:p>
    <w:p>
      <w:pPr>
        <w:pStyle w:val="TextBody"/>
        <w:bidi w:val="0"/>
        <w:spacing w:before="0" w:after="0"/>
        <w:jc w:val="left"/>
        <w:rPr/>
      </w:pPr>
      <w:r>
        <w:rPr/>
      </w:r>
    </w:p>
    <w:p>
      <w:pPr>
        <w:pStyle w:val="TextBody"/>
        <w:bidi w:val="0"/>
        <w:spacing w:before="0" w:after="0"/>
        <w:jc w:val="left"/>
        <w:rPr/>
      </w:pPr>
      <w:r>
        <w:rPr/>
        <w:drawing>
          <wp:inline distT="0" distB="0" distL="0" distR="0">
            <wp:extent cx="6515100" cy="3067050"/>
            <wp:effectExtent l="0" t="0" r="0" b="0"/>
            <wp:docPr id="3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4" descr=""/>
                    <pic:cNvPicPr>
                      <a:picLocks noChangeAspect="1" noChangeArrowheads="1"/>
                    </pic:cNvPicPr>
                  </pic:nvPicPr>
                  <pic:blipFill>
                    <a:blip r:embed="rId5"/>
                    <a:stretch>
                      <a:fillRect/>
                    </a:stretch>
                  </pic:blipFill>
                  <pic:spPr bwMode="auto">
                    <a:xfrm>
                      <a:off x="0" y="0"/>
                      <a:ext cx="6515100" cy="3067050"/>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shares of our common stock we acquired during the fourth quarter of 2023. All purchases were effected pursuant to the surrender of shares by employees to satisfy minimum tax withholding obligations in connection with the vesting of restricted stock units. </w:t>
      </w:r>
    </w:p>
    <w:tbl>
      <w:tblPr>
        <w:tblW w:w="5686" w:type="dxa"/>
        <w:jc w:val="left"/>
        <w:tblInd w:w="0" w:type="dxa"/>
        <w:tblLayout w:type="fixed"/>
        <w:tblCellMar>
          <w:top w:w="28" w:type="dxa"/>
          <w:left w:w="28" w:type="dxa"/>
          <w:bottom w:w="28" w:type="dxa"/>
          <w:right w:w="28" w:type="dxa"/>
        </w:tblCellMar>
      </w:tblPr>
      <w:tblGrid>
        <w:gridCol w:w="625"/>
        <w:gridCol w:w="549"/>
        <w:gridCol w:w="550"/>
        <w:gridCol w:w="705"/>
        <w:gridCol w:w="705"/>
        <w:gridCol w:w="706"/>
        <w:gridCol w:w="444"/>
        <w:gridCol w:w="1076"/>
        <w:gridCol w:w="326"/>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Month Ending</w:t>
            </w:r>
          </w:p>
        </w:tc>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(or</w:t>
              <w:br/>
              <w:t>Units) Purchased</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w:t>
              <w:br/>
              <w:t>Share (or Unit)</w:t>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2023</w:t>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30, 2023</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118,102 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7.</w:t>
      </w:r>
      <w:r>
        <w:rPr>
          <w:color w:val="000000"/>
        </w:rPr>
        <w:t xml:space="preserve">                                                </w:t>
      </w: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(this “MD&amp;A”) provides a discussion of our results of operations and financial position for the year ended December 31, 2023. This section generally discusses 2023 and 2022 items and year-to-year comparisons between 2023 and 2022. Discussions of 2021 items and year-to-year comparisons between 2022 and 2021 are included in Part II–Item 7, Management's Discussion and Analysis of Financial Condition and Results of Operations of our Annual Report on Form 10-K for the fiscal year ended December 31, 2022 filed with the SEC on March 15, 2023, which discussion is incorporated herein by reference. This MD&amp;A should be read together with our audited consolidated financial statements and related notes included in Item 8 in this Annual Report. Unless otherwise specified or the context otherwise requires, “Mistras,” "MISTRAS," the "Company,” “we,” “us” and “our” refer to Mistras Group, Inc. and its consolidated subsidiaries. This MD&amp;A includes the following sections: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Forward-Looking Statements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COVID-19 and Other Updates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Overview</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Note about Non-GAAP Measures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Consolidated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Liquidity and Capital Resources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Critical Accounting Estimates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Recent Accounting Pronouncements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including this MD&amp;A, contains forward-looking statements within the meaning of Section 27A of the Securities Act and Section 21E of the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 See “Forward-Looking Statements” at the beginning of Item 1 of this Annual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COVID-19 and Other Updates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our business and operations were negatively impacted the past several years by the COVID-19 pandemic, at the time of this Annual Report, the effects of the COVID-19 pandemic have subsided and our operations have normalized to pre-pandemic levels.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unable to predict with certainty the effects that inflationary pressures and the Russian-Ukrainian war may have on our business, results of operations or liquidity or in other ways which we cannot yet determine. To date, our European operations have experienced increased costs associated with higher energy costs, among others, due in part to the on-going war between Russia &amp; Ukraine. We will continue to monitor market conditions and respond accordingly.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"one source" multinational provider of integrated technology-enabled asset protection solutions, helping to maximize the safety and operational uptime for civilization’s most critical industrial and civil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Backed by an innovative, data-driven asset protection portfolio, proprietary technologies, strong commitment to Environmental, Social, and Governance ("ESG") initiatives, and a decades-long legacy of industry leadership, MISTRAS leads customers in the oil and gas, petrochemical, aerospace and defense, renewable and nonrenewable power, civil infrastructure, and manufacturing industries towards achieving operational and environmental excellence. By supporting these customers that help fuel our vehicles and power our society; inspecting components that are trusted for commercial, defense, and space craft; building real-time monitoring equipment to enable safe travel across bridges; and helping to propel sustainability, MISTRAS helps the world at large.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enhances value for its customers by integrating asset protection throughout supply chains and centralizing integrity data through a suite of Industrial IoT-connected digital software and monitoring solutions. The Company’s core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capabilities also include non-destructive testing ("NDT") field and in-line inspections enhanced by advanced robotics, laboratory quality control and assurance testing, sensing technologies and NDT equipment, asset and mechanical integrity engineering services, and light mechanical maintenance and access services.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consist of three reportable segments: North America (which we previously referred to as our Services segment), International, and Products and Systems.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North America</w:t>
      </w:r>
      <w:r>
        <w:rPr>
          <w:color w:val="000000"/>
        </w:rPr>
        <w:t xml:space="preserve"> </w:t>
      </w:r>
      <w:r>
        <w:rPr>
          <w:rFonts w:ascii="Times New Roman;sans-serif" w:hAnsi="Times New Roman;sans-serif"/>
          <w:b w:val="false"/>
          <w:color w:val="000000"/>
          <w:sz w:val="20"/>
        </w:rPr>
        <w:t>provides asset protection solutions with the largest concentration in the United States, followed by Canada, consisting primarily of NDT, inspection, mechanical and engineering services that are used to evaluate the structural integrity and reliability of critical energy, industrial and public infrastructure and commercial aerospace components. A majority of data analytical solutions revenues are generated by this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International</w:t>
      </w:r>
      <w:r>
        <w:rPr>
          <w:color w:val="000000"/>
        </w:rPr>
        <w:t xml:space="preserve"> </w:t>
      </w:r>
      <w:r>
        <w:rPr>
          <w:rFonts w:ascii="Times New Roman;sans-serif" w:hAnsi="Times New Roman;sans-serif"/>
          <w:b w:val="false"/>
          <w:color w:val="000000"/>
          <w:sz w:val="20"/>
        </w:rPr>
        <w:t>offers services, products and systems similar to those of the other segments to select markets within Europe, the Middle East, Africa, Asia and South America, but not to customers in China and South Korea, which are served by the Products and Systems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Products and Systems</w:t>
      </w:r>
      <w:r>
        <w:rPr>
          <w:color w:val="000000"/>
        </w:rPr>
        <w:t xml:space="preserve"> </w:t>
      </w:r>
      <w:r>
        <w:rPr>
          <w:rFonts w:ascii="Times New Roman;sans-serif" w:hAnsi="Times New Roman;sans-serif"/>
          <w:b w:val="false"/>
          <w:color w:val="000000"/>
          <w:sz w:val="20"/>
        </w:rPr>
        <w:t>designs, manufactures, sells, installs and services the Company’s asset protection products and systems, including equipment and instrumentation, predominantly in the United States.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focused on providing our advanced asset protection solutions to our customers using proprietary, technology-enabled software and testing instruments, including those developed by our Products and Systems segment. We have made numerous acquisitions in the past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expenditures to be impacted by oil price fluctuations.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continued providing our customers with an innovative asset protection software ecosystem through our MISTRAS OneSuite platform. The software platform offers functions of MISTRAS' software and services brands as integrated apps on a cloud environment. OneSuite serves as a single access portal for customers' data activities and provides access to 90 plus applications being offered on one centralized platform.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2023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Russian-Ukrainian war and the conflict in the Middle East between Israel and Hamas continue to create disruptions in the oil and gas market and the supply chain in general, which is resulting in some disruption to our business operations primarily in Europe due to increased energy costs in connection with the Russian-Ukrainian war.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eliminated substantially all of the COVID related cost reduction initiatives undertaken in 2020, including re-installment of the savings plan employer match and increasing wages back to pre-pandemic amounts. At the time of this Annual Report, the effects of the COVID-19 pandemic have subsided, and our operations are continuing to normalize to pre-pandemic levels.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cash position and liquidity remain strong. As of December 31, 2023, our cash and cash equivalents balance was approximately $17.6 million and our Credit Agreement provides us with significant liquidity.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Biden Administration announced aggressive initiatives to battle climate change, which includes potential plans for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unable to predict with certainty the overall impact that the factors discussed above and the effect of inflationary pressures may have on its business, results of operations or liquidity or in other ways which the Company cannot yet determine. During the third quarter of 2023, a triggering event was identified within the Company's reporting units within the International segment due to decreased gross margin in the current period as a result of inflationary pressures and rising energy costs. This resulted in goodwill impairment charges of $13.8 million within the International reporting units during the third quarter of 2023. The Company will continue to monitor market conditions and respond accordingly. Refer to Item 1A. Risk Factors in Part I of our 2023 Annual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about Non-GAAP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prepares its consolidated financial statements in accordance with U.S. GAAP. In this MD&amp;A under the heading "Income (loss) from Operations", the non-GAAP financial performance measure "Income (loss) from operations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(loss) or any other measures derived in accordance with GAAP. Because Income (loss) from operations before special items may not be calculated in the same manner by all companies, this measure may not be comparable to other similarly titled measures used by other companies.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Consolidated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Year ended December 31, 2023 vs.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Statements of Income (Loss) for the years ended December 31, 2023 and 2022:</w:t>
      </w:r>
    </w:p>
    <w:tbl>
      <w:tblPr>
        <w:tblW w:w="7488" w:type="dxa"/>
        <w:jc w:val="center"/>
        <w:tblInd w:w="0" w:type="dxa"/>
        <w:tblLayout w:type="fixed"/>
        <w:tblCellMar>
          <w:top w:w="28" w:type="dxa"/>
          <w:left w:w="28" w:type="dxa"/>
          <w:bottom w:w="28" w:type="dxa"/>
          <w:right w:w="28" w:type="dxa"/>
        </w:tblCellMar>
      </w:tblPr>
      <w:tblGrid>
        <w:gridCol w:w="1628"/>
        <w:gridCol w:w="1433"/>
        <w:gridCol w:w="1439"/>
        <w:gridCol w:w="211"/>
        <w:gridCol w:w="826"/>
        <w:gridCol w:w="271"/>
        <w:gridCol w:w="109"/>
        <w:gridCol w:w="109"/>
        <w:gridCol w:w="109"/>
        <w:gridCol w:w="211"/>
        <w:gridCol w:w="826"/>
        <w:gridCol w:w="316"/>
      </w:tblGrid>
      <w:tr>
        <w:trPr/>
        <w:tc>
          <w:tcPr>
            <w:tcW w:w="16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profit as a %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from operations as a %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Mistras Group,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by segment for the years ended December 31, 2023 and 2022 were as follows:</w:t>
      </w:r>
    </w:p>
    <w:tbl>
      <w:tblPr>
        <w:tblW w:w="5003" w:type="dxa"/>
        <w:jc w:val="left"/>
        <w:tblInd w:w="0" w:type="dxa"/>
        <w:tblLayout w:type="fixed"/>
        <w:tblCellMar>
          <w:top w:w="28" w:type="dxa"/>
          <w:left w:w="28" w:type="dxa"/>
          <w:bottom w:w="28" w:type="dxa"/>
          <w:right w:w="28" w:type="dxa"/>
        </w:tblCellMar>
      </w:tblPr>
      <w:tblGrid>
        <w:gridCol w:w="846"/>
        <w:gridCol w:w="746"/>
        <w:gridCol w:w="747"/>
        <w:gridCol w:w="211"/>
        <w:gridCol w:w="826"/>
        <w:gridCol w:w="109"/>
        <w:gridCol w:w="109"/>
        <w:gridCol w:w="109"/>
        <w:gridCol w:w="109"/>
        <w:gridCol w:w="211"/>
        <w:gridCol w:w="82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Systems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was $705.5 million for the year ended December 31, 2023, an increase of $18.1 million, or 2.6%, compared with the year ended December 31, 2022. The increase was driven by the North America segment, which experienced a revenue increase of $6.0 million, or 1.0%, driven by single-digit organic growth in certain end markets. The International segment revenues increased by $12.0 million, or 10.7%, due predominantly to low single-digit favorable impact of foreign exchange rates and by mid single-digit organic growth. The Products and Systems segment increased by $0.3 million, or 2.0%, driven by higher sales volume.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gas customer revenue comprised approximately 59% and 56% of total revenue for the years ended December 31, 2023 and 2022, respectively. Aerospace and defense customer revenue comprised approximately 11% and 12% of total revenue for the years ended December 31, 2023 and 2022, respectively. Our top ten customers comprised approximately 35% of total revenue for the years ended December 31, 2023 and 2022, with no customer accounting for 10% or more of total revenue in either period.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tbl>
      <w:tblPr>
        <w:tblW w:w="7539" w:type="dxa"/>
        <w:jc w:val="left"/>
        <w:tblInd w:w="0" w:type="dxa"/>
        <w:tblLayout w:type="fixed"/>
        <w:tblCellMar>
          <w:top w:w="28" w:type="dxa"/>
          <w:left w:w="28" w:type="dxa"/>
          <w:bottom w:w="28" w:type="dxa"/>
          <w:right w:w="28" w:type="dxa"/>
        </w:tblCellMar>
      </w:tblPr>
      <w:tblGrid>
        <w:gridCol w:w="1189"/>
        <w:gridCol w:w="1045"/>
        <w:gridCol w:w="1051"/>
        <w:gridCol w:w="109"/>
        <w:gridCol w:w="109"/>
        <w:gridCol w:w="201"/>
        <w:gridCol w:w="201"/>
        <w:gridCol w:w="389"/>
        <w:gridCol w:w="1526"/>
        <w:gridCol w:w="201"/>
        <w:gridCol w:w="109"/>
        <w:gridCol w:w="109"/>
        <w:gridCol w:w="109"/>
        <w:gridCol w:w="211"/>
        <w:gridCol w:w="82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35" w:type="dxa"/>
            <w:gridSpan w:val="10"/>
            <w:tcBorders/>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Oil and Gas Revenue by sub-category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Downstream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gas upstream customer revenue increased approximately $11.8 million, or 8%, for the year ended December 31, 2023 compared to the year ended December 31, 2022, due to continued market share gains and expanded exploration operations, as compared to the prior year period.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Midstream customer revenues increased approximately $4.3 million, or 4%, for the year ended December 31, 2023 compared to the year ended December 31, 2022, due to increased pipe inspection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Downstream customer revenue increased $12.2 million, or 8%, for the year ended December 31, 2023 compared to the year ended December 31, 2022, due to increased sales volume at customer refineries and increased customer turnarounds.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by type, explained directly below the table.</w:t>
      </w:r>
    </w:p>
    <w:tbl>
      <w:tblPr>
        <w:tblW w:w="6474" w:type="dxa"/>
        <w:jc w:val="left"/>
        <w:tblInd w:w="0" w:type="dxa"/>
        <w:tblLayout w:type="fixed"/>
        <w:tblCellMar>
          <w:top w:w="28" w:type="dxa"/>
          <w:left w:w="28" w:type="dxa"/>
          <w:bottom w:w="28" w:type="dxa"/>
          <w:right w:w="28" w:type="dxa"/>
        </w:tblCellMar>
      </w:tblPr>
      <w:tblGrid>
        <w:gridCol w:w="803"/>
        <w:gridCol w:w="707"/>
        <w:gridCol w:w="710"/>
        <w:gridCol w:w="109"/>
        <w:gridCol w:w="109"/>
        <w:gridCol w:w="201"/>
        <w:gridCol w:w="201"/>
        <w:gridCol w:w="389"/>
        <w:gridCol w:w="1526"/>
        <w:gridCol w:w="201"/>
        <w:gridCol w:w="109"/>
        <w:gridCol w:w="109"/>
        <w:gridCol w:w="109"/>
        <w:gridCol w:w="211"/>
        <w:gridCol w:w="82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35" w:type="dxa"/>
            <w:gridSpan w:val="10"/>
            <w:tcBorders/>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by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Shop Laboratories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Analytical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705,473 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presenting the allocation of revenues by type in the table above, management makes certain assumptions in its allocation of revenues from laboratories that provide more than one type of service. The allocation methodology and assumptions made are consistent for the years presented.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Field Services revenues are comprised of revenue derived primarily by technicians performing asset inspections and maintenance services for our customers at locations other than Mistras properties. Field Services revenue increased $15.4 million, or 3.4%, for the twelve months ended December 31, 2023 as compared to the twelve months ended December 31, 2022. The increase was due to increased sales volume in our oil and gas end market for our North America and International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Shop Laboratory revenues are comprised of quality assurance inspections of components and materials at our Mistras in-house laboratory facilities. Shop revenues increased $9.4 million, or 19.2%, for the twelve months ended December 31, 2023 as compared to the twelve months ended December 31, 2022. The increase was due to increased sales volume related to our commercial aerospace and industrials end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Data Analytical Solutions revenues are comprised of revenue derived from data software sales &amp; subscriptions, implementation services and analytics that offer insights and recommendations to improve asset integrity. Data Analytical Solutions revenue is derived from work performed by Mistras employees in our facilities, or at customer locations, using our proprietary portfolio of software applications. Data Analytical Solutions revenue increased $10.0 million, or 16.1%, for the twelve months ended December 31, 2023 as compared to the twelve months ended December 31, 2022. The increase was due primarily to increased sales volume within PCMS, Onstream and other Data Analytical Solutions offerings within our North America segment.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 are comprised of locations that perform both asset inspection services and testing of components and materials at in-house Mistras laboratories. Other revenues decreased $16.7 million, or 13.8%, for the twelve months ended December 31, 2023 as compared to the twelve months ended December 31, 2022. Other revenues in 2023 decreased primarily due to decreased sales within the aerospace and defense sector and due to declines in our other end markets within the North America and International segments as compared to the prior year period.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Gross Profit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 by segment for the years ended December 31, 2023 and 2022 were as follows:</w:t>
      </w:r>
    </w:p>
    <w:tbl>
      <w:tblPr>
        <w:tblW w:w="5327" w:type="dxa"/>
        <w:jc w:val="center"/>
        <w:tblInd w:w="0" w:type="dxa"/>
        <w:tblLayout w:type="fixed"/>
        <w:tblCellMar>
          <w:top w:w="28" w:type="dxa"/>
          <w:left w:w="28" w:type="dxa"/>
          <w:bottom w:w="28" w:type="dxa"/>
          <w:right w:w="28" w:type="dxa"/>
        </w:tblCellMar>
      </w:tblPr>
      <w:tblGrid>
        <w:gridCol w:w="847"/>
        <w:gridCol w:w="744"/>
        <w:gridCol w:w="748"/>
        <w:gridCol w:w="211"/>
        <w:gridCol w:w="826"/>
        <w:gridCol w:w="271"/>
        <w:gridCol w:w="109"/>
        <w:gridCol w:w="109"/>
        <w:gridCol w:w="109"/>
        <w:gridCol w:w="211"/>
        <w:gridCol w:w="826"/>
        <w:gridCol w:w="316"/>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 of segment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 of segment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Systems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 of segment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 of total revenue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Gross profit increased $5.6 million, or 2.8%, for the year ended December 31, 2023 compared to the year ended December 31, 2022, with a sales increase of $18.1 million, or 2.6%. Gross profit margin was 28.9% and 28.8% for the years ended December 31, 2023 and 2022, respectively, due to favorable sales mix. North America segment gross profit margins had a year-on-year increase of 60 basis points to 28.3% for the year ended December 31, 2023, due primarily to favorable sales mix. International segment gross margins had a year-on-year decrease of 290 basis points to 27.0% for the year ended December 31, 2023, due primarily to increased inflationary pressures. Products and Systems segment gross margins increased by 660 basis points for the year ended December 31, 2023 to 49.7%, driven by favorable sales mix.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years ended December 31, 2023 and 2022 was as follows:</w:t>
      </w:r>
    </w:p>
    <w:tbl>
      <w:tblPr>
        <w:tblW w:w="7952" w:type="dxa"/>
        <w:jc w:val="left"/>
        <w:tblInd w:w="0" w:type="dxa"/>
        <w:tblLayout w:type="fixed"/>
        <w:tblCellMar>
          <w:top w:w="28" w:type="dxa"/>
          <w:left w:w="28" w:type="dxa"/>
          <w:bottom w:w="28" w:type="dxa"/>
          <w:right w:w="28" w:type="dxa"/>
        </w:tblCellMar>
      </w:tblPr>
      <w:tblGrid>
        <w:gridCol w:w="1798"/>
        <w:gridCol w:w="1579"/>
        <w:gridCol w:w="1587"/>
        <w:gridCol w:w="211"/>
        <w:gridCol w:w="826"/>
        <w:gridCol w:w="271"/>
        <w:gridCol w:w="109"/>
        <w:gridCol w:w="109"/>
        <w:gridCol w:w="109"/>
        <w:gridCol w:w="211"/>
        <w:gridCol w:w="826"/>
        <w:gridCol w:w="316"/>
      </w:tblGrid>
      <w:tr>
        <w:trPr/>
        <w:tc>
          <w:tcPr>
            <w:tcW w:w="179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provision for troubled customers, net of 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Reorganization and other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engineering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and litigation charges (benefit),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 of total revenue</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increased $27.3 million, or 15.3%, for the year ended December 31, 2023 compared to the year ended December 31, 2022 due primarily to impairment charges and reorganization charges recorded in the current period that were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prior period. Selling, general and administrative expenses increased $0.3 million, or 0.2% for the year ended December 31, 2023 compared to the year ended December 31, 2022 primarily due to unfavorable foreign currency exchange.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Income (Loss) from Operations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reconciliation of segment income (loss) from operations to income (loss) before special items (unaudited) for the years ended December 31, 2023 and 2022:</w:t>
      </w:r>
    </w:p>
    <w:tbl>
      <w:tblPr>
        <w:tblW w:w="7569" w:type="dxa"/>
        <w:jc w:val="left"/>
        <w:tblInd w:w="0" w:type="dxa"/>
        <w:tblLayout w:type="fixed"/>
        <w:tblCellMar>
          <w:top w:w="28" w:type="dxa"/>
          <w:left w:w="28" w:type="dxa"/>
          <w:bottom w:w="28" w:type="dxa"/>
          <w:right w:w="28" w:type="dxa"/>
        </w:tblCellMar>
      </w:tblPr>
      <w:tblGrid>
        <w:gridCol w:w="1798"/>
        <w:gridCol w:w="1577"/>
        <w:gridCol w:w="1590"/>
        <w:gridCol w:w="211"/>
        <w:gridCol w:w="796"/>
        <w:gridCol w:w="109"/>
        <w:gridCol w:w="109"/>
        <w:gridCol w:w="109"/>
        <w:gridCol w:w="109"/>
        <w:gridCol w:w="211"/>
        <w:gridCol w:w="796"/>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North America:</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provision for troubled customers, net of recoveries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Reorganization and other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and insurance (recoveries) charges,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special items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Reorganization and other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special items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Products and Systems: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Reorganization and other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special items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Corporate and Eliminations: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and insurance (recoveries) charges,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Reorganization and other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special items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Company:</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provision for troubled customers, net of recoveries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and insurance (recoveries) charges,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Reorganization and other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special items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Note about Non-GAAP Measures"</w:t>
      </w:r>
      <w:r>
        <w:rPr>
          <w:color w:val="000000"/>
        </w:rPr>
        <w:t xml:space="preserve"> </w:t>
      </w:r>
      <w:r>
        <w:rPr>
          <w:rFonts w:ascii="Times New Roman;sans-serif" w:hAnsi="Times New Roman;sans-serif"/>
          <w:b w:val="false"/>
          <w:color w:val="000000"/>
          <w:sz w:val="20"/>
        </w:rPr>
        <w:t>in this Annual Report for an explanation of our use of non-GAAP measures.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605" cy="14605"/>
                <wp:effectExtent l="0" t="0" r="0" b="0"/>
                <wp:wrapNone/>
                <wp:docPr id="43" name="Frame3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Company income from operations (GAAP) decreased by $21.7 million, or 109.6% compared to the year ended December 31, 2022. Total company income before special items (non-GAAP) increased by $5.4 million or 27.4% compared with the year ended December 31, 2022. Operating expenses, excluding special items (non-GAAP), as a percentage of revenue, was 25.3% for the year ended December 31, 2023 compared to 25.9% for the year ended December 31, 2022. The primary driver for the increase in total company income before special items was increased sales in 2023 compared to 2022. Income before special items as a percentage of revenue increased by 70 basis points to 3.6% for the year ended December 31, 2023 from 2.9% for the year ended December 31, 2022. Our discussion below is qualified by the unknown impact that the Russia - Ukraine war will continue to have on our business and the economy in general, including the resulting economic disruption. Refer to Item 1A. Risk Factors in Part I of this Annual Report for further discussion.</w:t>
      </w:r>
    </w:p>
    <w:p>
      <w:pPr>
        <w:pStyle w:val="TextBody"/>
        <w:bidi w:val="0"/>
        <w:spacing w:lineRule="auto" w:line="288" w:before="0" w:after="0"/>
        <w:jc w:val="left"/>
        <w:rPr>
          <w:color w:val="FF0000"/>
        </w:rPr>
      </w:pPr>
      <w:r>
        <w:rPr>
          <w:color w:val="FF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$16.8 million and $10.5 million for the years ended December 31, 2023 and December 31, 2022, respectively. The increase was due to increased interest rates in the current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effective income tax rate was approximately 6.5% for the year ended December 31, 2023, compared to 29.3% for the year ended December 31, 2022. The decrease in effective tax rate was primarily driven by a $1.7 million US R&amp;D tax credit benefit in 2022, partially offset by the recording of a $1.1 million valuation allowance recorded in 2022 which was related to certain Canadian entities</w:t>
      </w:r>
      <w:r>
        <w:rPr>
          <w:rFonts w:ascii="Calibri;sans-serif" w:hAnsi="Calibri;sans-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are currently evaluating the impact of this guidance on our consolidated financial position, results of operations, and cash flows, but does not expect it to have a material impact.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response to the COVID-19 pandemic, the American Rescue Plan Act was signed into law on March 11, 2021. This act, among other things, provides economic relief provisions to individuals and funding to certain businesses and programs. The Company does not expect this act to have a material impact.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19, 2022, the United States enacted the Inflation Reduction Act, (the "Inflation Act"), a package intended to reduce inflation. The Inflation Act contains a variety of tax provisions, including a 15% corporate minimum tax, a tax on stock repurchases, and various tax credit opportunities. We evaluated the impact of this guidance on our consolidated financial position, results of operations, and cash flows, and do not expect it to have a material impact.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funded our operations from cash provided from operations, bank borrowings and lease financings. Management believes that our existing cash and cash equivalents, anticipated cash flows from operating activities, and available borrowings under our New Credit Agreement will be more than sufficient to meet anticipated cash needs over the next 12 months and for the foreseeable future. We generated operating cash flows of $26.7 million and $26.4 million for the years ended December 31, 2023 and 2022, respectively. Capital expenditures for the purchase of property, plant and equipment and of intangible assets was $23.6 million and $13.4 million for the years ended December 31, 2023 and 2022, respectively.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Flows Table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years ended December 31, 2023 and 2022:</w:t>
      </w:r>
    </w:p>
    <w:p>
      <w:pPr>
        <w:pStyle w:val="TextBody"/>
        <w:bidi w:val="0"/>
        <w:spacing w:lineRule="auto" w:line="288" w:before="0" w:after="0"/>
        <w:jc w:val="center"/>
        <w:rPr>
          <w:color w:val="000000"/>
        </w:rPr>
      </w:pPr>
      <w:r>
        <w:rPr>
          <w:color w:val="000000"/>
        </w:rPr>
        <w:t> </w:t>
      </w:r>
    </w:p>
    <w:tbl>
      <w:tblPr>
        <w:tblW w:w="7865" w:type="dxa"/>
        <w:jc w:val="center"/>
        <w:tblInd w:w="0" w:type="dxa"/>
        <w:tblLayout w:type="fixed"/>
        <w:tblCellMar>
          <w:top w:w="28" w:type="dxa"/>
          <w:left w:w="28" w:type="dxa"/>
          <w:bottom w:w="28" w:type="dxa"/>
          <w:right w:w="28" w:type="dxa"/>
        </w:tblCellMar>
      </w:tblPr>
      <w:tblGrid>
        <w:gridCol w:w="1839"/>
        <w:gridCol w:w="1619"/>
        <w:gridCol w:w="1626"/>
        <w:gridCol w:w="211"/>
        <w:gridCol w:w="721"/>
        <w:gridCol w:w="109"/>
        <w:gridCol w:w="109"/>
        <w:gridCol w:w="109"/>
        <w:gridCol w:w="109"/>
        <w:gridCol w:w="211"/>
        <w:gridCol w:w="721"/>
        <w:gridCol w:w="109"/>
        <w:gridCol w:w="109"/>
        <w:gridCol w:w="109"/>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for the year ended December 31, 2023 was $26.7 million, an increase of $0.3 million from the prior year period. The increase was mainly attributable to movements in working capital driven primarily by an increase in net accounts receivable collections, an increase in accrued expenses and other liabilities, and an increase in accounts payable in the current year as compared to the prior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for the year ended December 31, 2023 was $22.1 million, an increase of $9.9 million used in investing activities from the prior year period. The Company used $10.2 million more cash for purchases of property, plant and equipment and intangible assets in 2023 compared to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Net cash used in financing activities for the year ended December 31, 2023 was $7.7 million, compared to $16.3 million for the year ended December 31, 2022. During the year ended December 31, 2022, we entered into the New Credit Agreement which replaced our prior credit agreement, as detailed more in Note </w:t>
      </w:r>
      <w:r>
        <w:rPr>
          <w:rFonts w:ascii="Times New Roman;sans-serif" w:hAnsi="Times New Roman;sans-serif"/>
          <w:b w:val="false"/>
          <w:i/>
          <w:color w:val="000000"/>
          <w:sz w:val="20"/>
        </w:rPr>
        <w:t xml:space="preserve">11-Long-Term Debt. </w:t>
      </w:r>
      <w:r>
        <w:rPr>
          <w:rFonts w:ascii="Times New Roman;sans-serif" w:hAnsi="Times New Roman;sans-serif"/>
          <w:b w:val="false"/>
          <w:color w:val="000000"/>
          <w:sz w:val="20"/>
        </w:rPr>
        <w:t>As part of the New Credit Agreement, the prior revolving credit facility and term loan were repaid in full. Net repayment of debt and revolver was approximately $9.6 million higher compared to 2022. In addition, for the year ended December 31, 2023, we incurred approximately $0.6 million more taxes paid related to net share settlement of share-based awards.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 and Cash Equivalents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The effect of exchange rate changes on our cash and cash equivalents was a decrease of $0.2 million for the year ended December 31, 2023, compared to a decrease of</w:t>
      </w:r>
      <w:r>
        <w:rPr>
          <w:color w:val="000000"/>
          <w:shd w:fill="FFFFFF" w:val="clear"/>
        </w:rPr>
        <w:t xml:space="preserve"> </w:t>
      </w:r>
      <w:r>
        <w:rPr>
          <w:rFonts w:ascii="Times New Roman;sans-serif" w:hAnsi="Times New Roman;sans-serif"/>
          <w:b w:val="false"/>
          <w:color w:val="000000"/>
          <w:sz w:val="20"/>
          <w:shd w:fill="FFFFFF" w:val="clear"/>
        </w:rPr>
        <w:t>$1.5 million</w:t>
      </w:r>
      <w:r>
        <w:rPr>
          <w:color w:val="000000"/>
        </w:rPr>
        <w:t xml:space="preserve"> </w:t>
      </w:r>
      <w:r>
        <w:rPr>
          <w:rFonts w:ascii="Times New Roman;sans-serif" w:hAnsi="Times New Roman;sans-serif"/>
          <w:b w:val="false"/>
          <w:color w:val="000000"/>
          <w:sz w:val="20"/>
        </w:rPr>
        <w:t>for the year ended December 31, 2022. The primary driver of the change was foreign currency fluctuations during the year related to the Euro and the US Dollar.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Balance and Credit Facility Borrowings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The terms of our New Credit Agreement are described in Note </w:t>
      </w:r>
      <w:r>
        <w:rPr>
          <w:rFonts w:ascii="Times New Roman;sans-serif" w:hAnsi="Times New Roman;sans-serif"/>
          <w:b w:val="false"/>
          <w:i/>
          <w:color w:val="000000"/>
          <w:sz w:val="20"/>
        </w:rPr>
        <w:t>11-Long-Term Debt</w:t>
      </w:r>
      <w:r>
        <w:rPr>
          <w:color w:val="000000"/>
        </w:rPr>
        <w:t xml:space="preserve"> </w:t>
      </w:r>
      <w:r>
        <w:rPr>
          <w:rFonts w:ascii="Times New Roman;sans-serif" w:hAnsi="Times New Roman;sans-serif"/>
          <w:b w:val="false"/>
          <w:color w:val="000000"/>
          <w:sz w:val="20"/>
        </w:rPr>
        <w:t>of the Notes to Consolidated Financial Statements in this Annual Report, under the heading "Senior Credit Facility", the provisions of which are incorporated herein.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December 31, 2023, we had cash and cash equivalents totaling $17.6 million and available borrowing capacity of up to $116.0 million under our New Credit Agreement. Borrowings of $186.4 million and letters of credit of $2.9 million were outstanding under the New Credit Agreement at December 31, 2023. We finance our operations primarily through our existing cash balances, cash collected from operations, bank borrowings and lease financing. We believe these sources are sufficient to fund our operations for the foreseeable future. As of December 31, 2023, we were in compliance with the terms of the New Credit Agreement and will continuously monitor our compliance with the covenants contained in the New Credit Agreement. See Note </w:t>
      </w:r>
      <w:r>
        <w:rPr>
          <w:rFonts w:ascii="Times New Roman;sans-serif" w:hAnsi="Times New Roman;sans-serif"/>
          <w:b w:val="false"/>
          <w:i/>
          <w:color w:val="000000"/>
          <w:sz w:val="20"/>
        </w:rPr>
        <w:t xml:space="preserve">11-Long-Term Debt </w:t>
      </w:r>
      <w:r>
        <w:rPr>
          <w:rFonts w:ascii="Times New Roman;sans-serif" w:hAnsi="Times New Roman;sans-serif"/>
          <w:b w:val="false"/>
          <w:color w:val="000000"/>
          <w:sz w:val="20"/>
        </w:rPr>
        <w:t>of the notes to the consolidated financial statements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 Outlook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Future Sources of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future sources of cash to include cash flow generated from our operating activities and borrowings under our New Credit Agreement. Our revolving credit facility is available for cash advances required for working capital and for letters of credit to support our operations. Acquisitions, if any, are funded through available cash and borrowings under the New Credit Agreement.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Future Uses of Cash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future uses of cash will primarily be for repayment of debt, purchases or manufacture of field-testing equipment to support growth, additional investments in technology and software products and the replacement of existing assets and equipment used in our operations. We often make purchases to support new sources of revenues, particularly in our North America segment. In addition, we annually fund a certain amount of replacement equipment, including a portion of our fleet vehicles. We historically spend approximately 2% to 3% of our total revenues on capital expenditures, excluding acquisitions, and expect to fund these expenditures through a combination of cash and lease financing. Our cash capital expenditures, excluding acquisitions, for each of the years ended December 31, 2023 and 2022 were approximately 3.4% and 2.0% of revenues, respectively. We continue to take steps to reduce spending and preserve cash.</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New Credit Agreement does not limit the Company’s ability to acquire other businesses or companies except for certain provisions as described within Note </w:t>
      </w:r>
      <w:r>
        <w:rPr>
          <w:rFonts w:ascii="Times New Roman;sans-serif" w:hAnsi="Times New Roman;sans-serif"/>
          <w:b w:val="false"/>
          <w:i/>
          <w:color w:val="000000"/>
          <w:sz w:val="20"/>
        </w:rPr>
        <w:t>11-Long-Term Debt.</w:t>
      </w:r>
      <w:r>
        <w:rPr>
          <w:color w:val="000000"/>
        </w:rPr>
        <w:t xml:space="preserve"> </w:t>
      </w:r>
      <w:r>
        <w:rPr>
          <w:rFonts w:ascii="Times New Roman;sans-serif" w:hAnsi="Times New Roman;sans-serif"/>
          <w:b w:val="false"/>
          <w:color w:val="000000"/>
          <w:sz w:val="20"/>
        </w:rPr>
        <w:t xml:space="preserve">Our future capital spending may increase as we pursue growth opportunities and acquire additional equipment to meet or pursue business opportunities. Other investments in infrastructure, training and software may also be required to match our growth, but we plan to continue using a disciplined approach to building our business. In addition, we will use cash to fund our operating leases, finance leases, long-term debt repayments and various other obligations as they arise as noted within Note </w:t>
      </w:r>
      <w:r>
        <w:rPr>
          <w:rFonts w:ascii="Times New Roman;sans-serif" w:hAnsi="Times New Roman;sans-serif"/>
          <w:b w:val="false"/>
          <w:i/>
          <w:color w:val="000000"/>
          <w:sz w:val="20"/>
        </w:rPr>
        <w:t xml:space="preserve">11-Long-Term Debt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 xml:space="preserve">Note </w:t>
      </w:r>
      <w:r>
        <w:rPr>
          <w:rFonts w:ascii="Times New Roman;sans-serif" w:hAnsi="Times New Roman;sans-serif"/>
          <w:b w:val="false"/>
          <w:i/>
          <w:color w:val="000000"/>
          <w:sz w:val="20"/>
        </w:rPr>
        <w:t>17</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Leases.</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acceptable terms.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Off-Balance Sheet Arrangements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accordance with U.S. GAAP requires that we make estimates and assumptions that affect the reported amounts of assets and liabilities and disclosure of contingent assets and liabilities at the date of financial statements and the reported amounts of revenues and expenses during the reporting period. We have established policies and control procedures intended to ensure that estimation methods, including any judgments made as part of such methods, are well-controlled, independently reviewed and applied consistently from period to period. The accounting policies that we believe require more significant estimates and assumptions include revenue recognition, acquisitions, long-lived assets and goodwill.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critical accounting policies comprise the more significant estimates and assumptions used in the preparation of our consolidated financial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 xml:space="preserve">The majority of our revenues are derived from providing services on a time and material basis and are short-term in nature. We account for revenue in accordance with Accounting Standards Codification ("ASC") Topic 606, </w:t>
      </w:r>
      <w:r>
        <w:rPr>
          <w:rFonts w:ascii="Times New Roman;sans-serif" w:hAnsi="Times New Roman;sans-serif"/>
          <w:b w:val="false"/>
          <w:i/>
          <w:color w:val="000000"/>
          <w:sz w:val="20"/>
        </w:rPr>
        <w:t>Revenue from Contracts with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We provide highly integrated and bundled inspection services to our customers. Some of our contracts have multiple performance obligations, most commonly due to the contract providing both goods and services. For contracts with multiple performance obligations, we allocate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We also utilize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recognized at a point in time is related to product sales when the customer obtains control of the asset, which is generally upon shipment to the customer. Contract costs include labor, material and overhead.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expect any significant remaining performance obligations to be satisfied within one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revenues are short-term in nature. We have many Master Service Agreements ("MSAs") that specify an overall framework and contract terms, where we and our customers agree upon services or products to be provided. The actual contracting to provide services or furnish products are triggered by a work order, purchase order, or some similar document issued pursuant to an MSA which sets forth the scope of services and/or identifies the products to be provided. From time to time, we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Long-Lived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perform a review of long-lived assets (or asset groups) for impairment when events or changes in circumstances indicate the carrying value of such assets may not be recoverable. If an indication of impairment is present, we compare the estimated undiscounted future net cash flows to be generated by the asset (or asset group) to its carrying amount. If the undiscounted future net cash flows are less than the carrying amount of the asset (or asset group), we record an impairment loss equal to the excess of the asset’s carrying amount over its fair value. We estimate fair value based on valuation techniques such as a discounted cash flow analysis or a comparison to fair values of similar assets. As of December 31, 2023 and December 31, 2022, we had $81.0 million and $77.6 million in net property, plant and equipment, respectively, and $44.0 million and $49.0 million in intangible assets, net, respectively.</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purchase price of acquired businesses over the fair values attributed to underlying net tangible assets and identifiable intangible assets. We test goodwill for impairment at a “reporting unit” level (which for us is represented by (i) our North America segment, (ii) our Products and Systems segment, (iii) the European component of our International segment and (iv) the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testing for goodwill impairment, we have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we conclude that it is not more likely than not that the fair value of a reporting unit is less than its carrying amount, then performing a quantitative impairment test is not necessary. If we conclude otherwise, we are required to perform a quantitative impairment test.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impairment will be recorded in the amount that the fair value is less than the carrying value. We consider the income and market approaches to estimating the fair value of our reporting units, which requires significant judgment in evaluation of economic and industry trends, estimated future cash flows, discount rates and other factors. Sustained declines in our stock price and related market capitalization could impact key assumptions in the overall estimated fair values of our reporting units and could result in non-cash impairment charges that could be material to our consolidated balance sheet or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a triggering event was identified within the Company's reporting units within the International segment due to decreased gross margin in the current period as a result of inflationary pressures and rising energy costs impacting the International reporting units' operations. As a result, the Company performed an interim quantitative goodwill impairment test.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estimated using a terminal value calculation, which incorporates historical and forecasted trends, including an estimate of long-term future growth rates, based on the Company’s most recent views of the long-term outlook for each reporting unit. The internal forecasts include assumptions about future profitability,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internally developed forecasts, updated for recent events. Increased interest rates in the current period increased the discount rate associated with the reporting units which contributed in an unfavorable decrease in the reporting units value.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approach valuation was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the results of the interim quantitative goodwill impairment test, the Company recorded an impairment charge of $13.8 million within the International reporting units. The impairment was calculated based on the difference between the estimated fair value and the carrying value of the reporting units and is included in Goodwill impairment charges on the condensed consolidated statements of income (loss) for the three and nine months ended September 30, 2023.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elected to perform a quantitative assessment of goodwill on October 1, 2023. Our quantitative assessment considered relevant events and circumstances occurring since our interim quantitative goodwill impairment test performed as of September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30, 2023. Specifically, we considered changes in macroeconomic conditions, industry and market conditions, our internal forecasts of future revenue and expenses, our stock price, any significant events affecting the Company and actual changes in the carrying values of our net assets. After considering all positive and negative evidence for the assessment as of September 30, 2023, we concluded that it was not more likely than not that our carrying values exceeded fair values and as such, no additional impairment was indicated.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Additionally, as of December 31, 2023, there are no indicators of an impairment. See Note </w:t>
      </w:r>
      <w:r>
        <w:rPr>
          <w:rFonts w:ascii="Times New Roman;sans-serif" w:hAnsi="Times New Roman;sans-serif"/>
          <w:b w:val="false"/>
          <w:i/>
          <w:color w:val="000000"/>
          <w:sz w:val="20"/>
        </w:rPr>
        <w:t>8-Goodwill</w:t>
      </w:r>
      <w:r>
        <w:rPr>
          <w:color w:val="000000"/>
        </w:rPr>
        <w:t xml:space="preserve"> </w:t>
      </w:r>
      <w:r>
        <w:rPr>
          <w:rFonts w:ascii="Times New Roman;sans-serif" w:hAnsi="Times New Roman;sans-serif"/>
          <w:b w:val="false"/>
          <w:color w:val="000000"/>
          <w:sz w:val="20"/>
        </w:rPr>
        <w:t>of the notes to the consolidated financial statements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Acquisitions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allocate the purchase price of acquired businesses to their identifiable tangible assets and liabilities as well as identifiable intangible assets, such as customer relationships, technology, non-compete agreements and trade names. Allocations are based on estimated fair values of assets and liabilities, which reflects assumptions that would be made by typical market participants if they were to buy or sell each asset on an individual asset basis.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ASC 820 </w:t>
      </w:r>
      <w:r>
        <w:rPr>
          <w:rFonts w:ascii="Times New Roman;sans-serif" w:hAnsi="Times New Roman;sans-serif"/>
          <w:b w:val="false"/>
          <w:i/>
          <w:color w:val="000000"/>
          <w:sz w:val="20"/>
        </w:rPr>
        <w:t xml:space="preserve">Fair Value Measurements and Disclosure. </w:t>
      </w:r>
      <w:r>
        <w:rPr>
          <w:rFonts w:ascii="Times New Roman;sans-serif" w:hAnsi="Times New Roman;sans-serif"/>
          <w:b w:val="false"/>
          <w:color w:val="000000"/>
          <w:sz w:val="20"/>
        </w:rPr>
        <w:t xml:space="preserve">Deferred taxes are recorded for any differences between the assigned values and tax bases of assets and liabilities. We typically engage third-party valuation experts to assist in determining the fair values for both identifiable tangible and intangible assets. The judgments made in determining the estimated fair value assigned to each class of assets acquired and liabilities assumed, as well as asset lives, could materially impact our results of operations. See Note </w:t>
      </w:r>
      <w:r>
        <w:rPr>
          <w:rFonts w:ascii="Times New Roman;sans-serif" w:hAnsi="Times New Roman;sans-serif"/>
          <w:b w:val="false"/>
          <w:i/>
          <w:color w:val="000000"/>
          <w:sz w:val="20"/>
        </w:rPr>
        <w:t xml:space="preserve">7-Acquisitions </w:t>
      </w:r>
      <w:r>
        <w:rPr>
          <w:rFonts w:ascii="Times New Roman;sans-serif" w:hAnsi="Times New Roman;sans-serif"/>
          <w:b w:val="false"/>
          <w:color w:val="000000"/>
          <w:sz w:val="20"/>
        </w:rPr>
        <w:t>to the consolidated financial statements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Recent Accounting Pronouncements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80808"/>
          <w:sz w:val="20"/>
        </w:rPr>
        <w:t xml:space="preserve">For information about recent accounting pronouncements, see Note </w:t>
      </w:r>
      <w:r>
        <w:rPr>
          <w:rFonts w:ascii="Times New Roman;sans-serif" w:hAnsi="Times New Roman;sans-serif"/>
          <w:b w:val="false"/>
          <w:i/>
          <w:color w:val="000000"/>
          <w:sz w:val="20"/>
        </w:rPr>
        <w:t>1-Summary of Significant Accounting Policies and Practices</w:t>
      </w:r>
      <w:r>
        <w:rPr>
          <w:color w:val="080808"/>
        </w:rPr>
        <w:t xml:space="preserve"> </w:t>
      </w:r>
      <w:r>
        <w:rPr>
          <w:rFonts w:ascii="Times New Roman;sans-serif" w:hAnsi="Times New Roman;sans-serif"/>
          <w:b w:val="false"/>
          <w:color w:val="080808"/>
          <w:sz w:val="20"/>
        </w:rPr>
        <w:t xml:space="preserve">of the notes to the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7A.</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Sensitivity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Our investment portfolio primarily includes cash equivalents for which the market values are not significantly affected by changes in interest rates. Our interest rate risk results primarily from our variable rate indebtedness under our credit facility, which is influenced by movements in short-term rates. Borrowings under our $190 million revolving credit facility as well as our $125 million term loan bear interest at SOFR, plus a credit spread adjustment and applicable SOFR margin, ranging from 1.25% to 2.75%, based upon our Total Consolidated D</w:t>
      </w:r>
      <w:r>
        <w:rPr>
          <w:rFonts w:ascii="Times New Roman;sans-serif" w:hAnsi="Times New Roman;sans-serif"/>
          <w:b w:val="false"/>
          <w:color w:val="000000"/>
          <w:sz w:val="20"/>
          <w:shd w:fill="FFFFFF" w:val="clear"/>
        </w:rPr>
        <w:t>ebt Leverage Ratio. Based on the amount of our variable rate debt of $186.4 million at December 31, 2023</w:t>
      </w:r>
      <w:r>
        <w:rPr>
          <w:rFonts w:ascii="Times New Roman;sans-serif" w:hAnsi="Times New Roman;sans-serif"/>
          <w:b w:val="false"/>
          <w:color w:val="000000"/>
          <w:sz w:val="20"/>
        </w:rPr>
        <w:t>, an increase in interest rates by one hundred basis points from our current rate would increase annual interest expense by approximately $1.9 million.</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foreign currency exposure related to our operations in foreign locations. This foreign currency exposure, particularly the Euro, British Pound Sterling, Brazilian Real, Canadian Dollar and the Indian Rupee, arises primarily from the translation of our foreign subsidiaries’ financial statements into U.S. Dollars. Gains and losses relating to nonfunctional currency transactions, are reported in the Consolidated Statements of Income (Loss).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Translation adjustments for these movements are recorded as a separate component of Accumulated Other Comprehensive Income (Loss) in Stockholder Equity. For the year ended December 31, 2023, a 10% movement, favorable or unfavorable, in the average U.S. Dollar exchange rates would cause a change in adjusted operating income of approximately $1.5 million. We do not currently enter into forward exchange contracts to hedge exposures denominated in foreign currencies. We may consider entering into hedging or forward exchange contracts in the future, as sales in international currencies increase due to growth in our International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Mistras Group, Inc.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Mistras Group, Inc. and its subsidiaries (the “Company”) as of December 31, 2023, and the related consolidated statements of income (loss), of comprehensive income (loss), of equity and of cash flows for the year then ended,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December 31, 2023,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Assessment - North America Reporting Unit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Notes 1 and 8 to the consolidated financial statements, the Company’s goodwill balance was $187.4 million as of December 31, 2023, which related to the North America reporting unit. Management tests goodwill for impairment at a reporting unit level, which is represented by its North America segment. Management reviews goodwill for impairment on October 1 of each year and whenever events or changes in circumstances indicate the carrying value of goodwill may not be recoverable. Management considers the income and market approaches to estimate the fair value of the reporting unit, which requires significant judgments and assumptions related to revenue growth rates, gross margins, EBIT margins, and market multiples.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goodwill impairment assessment of the North America reporting unit is a critical audit matter are (i) the significant judgment by management when developing the fair value estimate of the North America reporting unit; (ii) a high degree of auditor judgment, subjectivity, and effort in performing procedures and evaluating management’s significant assumptions related to revenue growth rates, gross margins, and market multiples; and (iii) the audit effort involved the use of professionals with specialized skill and knowledge.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North America reporting unit. These procedures also included, among others (i) testing management’s process for developing the fair value estimate of the North America reporting unit; (ii) evaluating the appropriateness of the income and market approaches used by management; (iii) testing the completeness and accuracy of underlying data used in the income and market approaches; and (iv) evaluating the reasonableness of the significant assumptions used by management related to revenue growth rates, gross margins, and market multiples. Evaluating management’s assumptions related to revenue growth rates and gross margins involved evaluating whether the assumptions used by management were reasonable considering (i) the current and past performance of the North America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income and market approaches and (ii) the reasonableness of the market multiples assumption.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11, 2024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 Mistras Group,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before="0" w:after="0"/>
        <w:ind w:left="0" w:right="0" w:firstLine="116"/>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Mistras Group, Inc. and subsidiaries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 of December 31, 2022, the related consolidated statements of income (loss), comprehensive income (loss), equity, and cash flows for each of the years in the two-year period ended December 31, 2022, and the related notes (collectively, the consolidated financial statements). In our opinion, the consolidated financial statements present fairly, in all material respects, the financial position of the Company as of December 31, 2022, and the results of its operations and its cash flows for each of the years in the two-year period ended December 31, 2022,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before="0" w:after="0"/>
        <w:ind w:left="0" w:right="0" w:firstLine="116"/>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0"/>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served as the Company’s auditor from 2013 to 2023. </w:t>
      </w:r>
    </w:p>
    <w:p>
      <w:pPr>
        <w:pStyle w:val="TextBody"/>
        <w:bidi w:val="0"/>
        <w:spacing w:lineRule="auto" w:line="288" w:before="0" w:after="0"/>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Short Hills, New Jersey</w:t>
      </w:r>
    </w:p>
    <w:p>
      <w:pPr>
        <w:pStyle w:val="TextBody"/>
        <w:bidi w:val="0"/>
        <w:spacing w:lineRule="auto" w:line="288" w:before="0" w:after="0"/>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Mistras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in thousands, except share and per share data</w:t>
      </w:r>
      <w:r>
        <w:rPr>
          <w:rFonts w:ascii="Times New Roman;sans-serif" w:hAnsi="Times New Roman;sans-serif"/>
          <w:b/>
          <w:color w:val="000000"/>
          <w:sz w:val="20"/>
        </w:rPr>
        <w:t>)</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778"/>
        <w:gridCol w:w="2382"/>
        <w:gridCol w:w="2380"/>
        <w:gridCol w:w="211"/>
        <w:gridCol w:w="826"/>
        <w:gridCol w:w="109"/>
        <w:gridCol w:w="109"/>
        <w:gridCol w:w="109"/>
        <w:gridCol w:w="109"/>
        <w:gridCol w:w="211"/>
        <w:gridCol w:w="826"/>
        <w:gridCol w:w="155"/>
      </w:tblGrid>
      <w:tr>
        <w:trPr/>
        <w:tc>
          <w:tcPr>
            <w:tcW w:w="2778"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finance leases,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10,000,000 shares authorized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200,000,000 shares authorized, 30,597,633 and 29,895,487 shares issued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Mistras Group, Inc.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Mistras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(Loss)</w:t>
      </w:r>
    </w:p>
    <w:p>
      <w:pPr>
        <w:pStyle w:val="TextBody"/>
        <w:bidi w:val="0"/>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in thousands, except per share data</w:t>
      </w:r>
      <w:r>
        <w:rPr>
          <w:rFonts w:ascii="Times New Roman;sans-serif" w:hAnsi="Times New Roman;sans-serif"/>
          <w:b/>
          <w:color w:val="000000"/>
          <w:sz w:val="20"/>
        </w:rPr>
        <w:t>)</w:t>
      </w:r>
    </w:p>
    <w:p>
      <w:pPr>
        <w:pStyle w:val="TextBody"/>
        <w:bidi w:val="0"/>
        <w:spacing w:lineRule="auto" w:line="288" w:before="0" w:after="0"/>
        <w:jc w:val="left"/>
        <w:rPr>
          <w:color w:val="000000"/>
        </w:rPr>
      </w:pPr>
      <w:r>
        <w:rPr>
          <w:color w:val="000000"/>
        </w:rPr>
        <w:t> </w:t>
      </w:r>
    </w:p>
    <w:tbl>
      <w:tblPr>
        <w:tblW w:w="9837" w:type="dxa"/>
        <w:jc w:val="left"/>
        <w:tblInd w:w="0" w:type="dxa"/>
        <w:tblLayout w:type="fixed"/>
        <w:tblCellMar>
          <w:top w:w="28" w:type="dxa"/>
          <w:left w:w="28" w:type="dxa"/>
          <w:bottom w:w="28" w:type="dxa"/>
          <w:right w:w="28" w:type="dxa"/>
        </w:tblCellMar>
      </w:tblPr>
      <w:tblGrid>
        <w:gridCol w:w="2061"/>
        <w:gridCol w:w="1815"/>
        <w:gridCol w:w="1824"/>
        <w:gridCol w:w="211"/>
        <w:gridCol w:w="826"/>
        <w:gridCol w:w="109"/>
        <w:gridCol w:w="109"/>
        <w:gridCol w:w="109"/>
        <w:gridCol w:w="109"/>
        <w:gridCol w:w="211"/>
        <w:gridCol w:w="826"/>
        <w:gridCol w:w="109"/>
        <w:gridCol w:w="109"/>
        <w:gridCol w:w="109"/>
        <w:gridCol w:w="109"/>
        <w:gridCol w:w="211"/>
        <w:gridCol w:w="826"/>
        <w:gridCol w:w="154"/>
      </w:tblGrid>
      <w:tr>
        <w:trPr/>
        <w:tc>
          <w:tcPr>
            <w:tcW w:w="2061"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provision for troubled customers, net of 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Reorganization and other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and litigation charges (benefit),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engineering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provision (benefit)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 net of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Mistras Group,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common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Mistras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350"/>
        <w:gridCol w:w="2056"/>
        <w:gridCol w:w="2049"/>
        <w:gridCol w:w="211"/>
        <w:gridCol w:w="789"/>
        <w:gridCol w:w="109"/>
        <w:gridCol w:w="109"/>
        <w:gridCol w:w="109"/>
        <w:gridCol w:w="109"/>
        <w:gridCol w:w="211"/>
        <w:gridCol w:w="684"/>
        <w:gridCol w:w="109"/>
        <w:gridCol w:w="109"/>
        <w:gridCol w:w="109"/>
        <w:gridCol w:w="109"/>
        <w:gridCol w:w="211"/>
        <w:gridCol w:w="616"/>
        <w:gridCol w:w="156"/>
      </w:tblGrid>
      <w:tr>
        <w:trPr/>
        <w:tc>
          <w:tcPr>
            <w:tcW w:w="2350"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6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 net of taxes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Foreign currency translation adjustments attributable to noncontrolling interests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Mistras Group,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Mistras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color w:val="000000"/>
        </w:rPr>
      </w:pPr>
      <w:r>
        <w:rPr>
          <w:color w:val="000000"/>
        </w:rPr>
        <w:t> </w:t>
      </w:r>
    </w:p>
    <w:tbl>
      <w:tblPr>
        <w:tblW w:w="11262" w:type="dxa"/>
        <w:jc w:val="center"/>
        <w:tblInd w:w="0" w:type="dxa"/>
        <w:tblLayout w:type="fixed"/>
        <w:tblCellMar>
          <w:top w:w="28" w:type="dxa"/>
          <w:left w:w="28" w:type="dxa"/>
          <w:bottom w:w="28" w:type="dxa"/>
          <w:right w:w="28" w:type="dxa"/>
        </w:tblCellMar>
      </w:tblPr>
      <w:tblGrid>
        <w:gridCol w:w="416"/>
        <w:gridCol w:w="287"/>
        <w:gridCol w:w="288"/>
        <w:gridCol w:w="270"/>
        <w:gridCol w:w="271"/>
        <w:gridCol w:w="171"/>
        <w:gridCol w:w="109"/>
        <w:gridCol w:w="109"/>
        <w:gridCol w:w="109"/>
        <w:gridCol w:w="181"/>
        <w:gridCol w:w="361"/>
        <w:gridCol w:w="109"/>
        <w:gridCol w:w="109"/>
        <w:gridCol w:w="109"/>
        <w:gridCol w:w="109"/>
        <w:gridCol w:w="109"/>
        <w:gridCol w:w="109"/>
        <w:gridCol w:w="751"/>
        <w:gridCol w:w="109"/>
        <w:gridCol w:w="181"/>
        <w:gridCol w:w="616"/>
        <w:gridCol w:w="109"/>
        <w:gridCol w:w="109"/>
        <w:gridCol w:w="109"/>
        <w:gridCol w:w="109"/>
        <w:gridCol w:w="212"/>
        <w:gridCol w:w="651"/>
        <w:gridCol w:w="128"/>
        <w:gridCol w:w="109"/>
        <w:gridCol w:w="109"/>
        <w:gridCol w:w="109"/>
        <w:gridCol w:w="218"/>
        <w:gridCol w:w="671"/>
        <w:gridCol w:w="132"/>
        <w:gridCol w:w="109"/>
        <w:gridCol w:w="109"/>
        <w:gridCol w:w="109"/>
        <w:gridCol w:w="203"/>
        <w:gridCol w:w="694"/>
        <w:gridCol w:w="124"/>
        <w:gridCol w:w="109"/>
        <w:gridCol w:w="109"/>
        <w:gridCol w:w="109"/>
        <w:gridCol w:w="181"/>
        <w:gridCol w:w="361"/>
        <w:gridCol w:w="109"/>
        <w:gridCol w:w="109"/>
        <w:gridCol w:w="109"/>
        <w:gridCol w:w="109"/>
        <w:gridCol w:w="181"/>
        <w:gridCol w:w="616"/>
        <w:gridCol w:w="154"/>
      </w:tblGrid>
      <w:tr>
        <w:trPr/>
        <w:tc>
          <w:tcPr>
            <w:tcW w:w="4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Retained</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earnings</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Mistras Group,</w:t>
              <w:br/>
              <w:t>Inc.</w:t>
              <w:b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78"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2020</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29,234 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(21,848)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(16,061)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197,021 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net of tax</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settlement on vesting of restricted stock units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2021</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29,546 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(17,988)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(20,311)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200,683 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 net of tax</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(13,079)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(13,079)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settlement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2022</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29,895 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(11,489)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(33,390)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198,450 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(17,453)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(17,453)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 net of tax</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settlement of restricted stock units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2023</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30,598 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(28,942)</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(28,336)</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190,192 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190,503 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Mistras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457" w:type="dxa"/>
        <w:jc w:val="center"/>
        <w:tblInd w:w="0" w:type="dxa"/>
        <w:tblLayout w:type="fixed"/>
        <w:tblCellMar>
          <w:top w:w="28" w:type="dxa"/>
          <w:left w:w="28" w:type="dxa"/>
          <w:bottom w:w="28" w:type="dxa"/>
          <w:right w:w="28" w:type="dxa"/>
        </w:tblCellMar>
      </w:tblPr>
      <w:tblGrid>
        <w:gridCol w:w="1880"/>
        <w:gridCol w:w="1658"/>
        <w:gridCol w:w="1667"/>
        <w:gridCol w:w="181"/>
        <w:gridCol w:w="601"/>
        <w:gridCol w:w="109"/>
        <w:gridCol w:w="109"/>
        <w:gridCol w:w="109"/>
        <w:gridCol w:w="109"/>
        <w:gridCol w:w="181"/>
        <w:gridCol w:w="541"/>
        <w:gridCol w:w="109"/>
        <w:gridCol w:w="109"/>
        <w:gridCol w:w="109"/>
        <w:gridCol w:w="109"/>
        <w:gridCol w:w="181"/>
        <w:gridCol w:w="541"/>
        <w:gridCol w:w="154"/>
      </w:tblGrid>
      <w:tr>
        <w:trPr/>
        <w:tc>
          <w:tcPr>
            <w:tcW w:w="188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income (loss) to net cash provided by operating activities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Impairment charges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Bad debt provision for troubled customers, net of recoveries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provision for doubtful accounts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(gain) loss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finance costs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 value adjustments to contingent consideration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 net of effect of acquisitions and dispositions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Inventories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 and other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 payable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contingent consideration in excess of initial estimate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property, plant and equipment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intangible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businesses, net of cash acquired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equipment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finance lease obligations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borrowings of long-term debt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long-term debt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revolver</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Repayments of revolver</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of financing costs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contingent consideration for business acquisitions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Taxes paid related to net share settlement of share-based awards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financing activities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exchange rate changes on cash and cash equivalents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change in cash and cash equivalents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and cash equivalents: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Beginning of period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 of cash paid</w:t>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net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 net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Noncash investing and financing</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Equipment acquired through finance lease obligations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Mistras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(tabular dollars in thousands, except per share data)</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Summary of Significant Accounting Policies and Practices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Mistras Group, Inc., together with its subsidiaries (the "Company"), is a leading “one source” multinational provider of integrated technology-enabled asset protection solutions helping to maximize the safety and operational uptime for civilization’s most critical industrial and civil assets.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Backed by an innovative, data-driven asset protection portfolio, proprietary technologies and decades-long legacy of industry leadership, the Company helps customers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enhances value for its customers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core capabilities also include non-destructive testing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three operating segments. During the first quarter of 2023, the Company renamed the Services segment to the North America segment to more closely align to the geographical area in which the Services segment operates. We did not recast the corresponding financial information for the historical periods presented, as there was no change in the manner which our chief operating decision maker reviews the financial results of each segment and allocates resources. Our Segments, with the updated naming convention, are as follows: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North America (Referred to as "Services" in prior filings).</w:t>
      </w:r>
      <w:r>
        <w:rPr>
          <w:color w:val="000000"/>
        </w:rPr>
        <w:t xml:space="preserve"> </w:t>
      </w:r>
      <w:r>
        <w:rPr>
          <w:rFonts w:ascii="Times New Roman;sans-serif" w:hAnsi="Times New Roman;sans-serif"/>
          <w:b w:val="false"/>
          <w:color w:val="000000"/>
          <w:sz w:val="20"/>
        </w:rPr>
        <w:t>This segment provides asset protection solutions predominantly in North America, with the largest concentration in the United 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International.</w:t>
      </w:r>
      <w:r>
        <w:rPr>
          <w:color w:val="000000"/>
        </w:rPr>
        <w:t xml:space="preserve"> </w:t>
      </w:r>
      <w:r>
        <w:rPr>
          <w:rFonts w:ascii="Times New Roman;sans-serif" w:hAnsi="Times New Roman;sans-serif"/>
          <w:b w:val="false"/>
          <w:color w:val="000000"/>
          <w:sz w:val="20"/>
        </w:rPr>
        <w:t>This segment offers services, products and systems similar to those of the other segments to select markets within Europe, the Middle East, Africa, Asia and South America, but not to customers in China and South Korea, which are served by the Products and Systems segment.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Products and Systems.</w:t>
      </w:r>
      <w:r>
        <w:rPr>
          <w:color w:val="000000"/>
        </w:rPr>
        <w:t xml:space="preserve"> </w:t>
      </w:r>
      <w:r>
        <w:rPr>
          <w:rFonts w:ascii="Times New Roman;sans-serif" w:hAnsi="Times New Roman;sans-serif"/>
          <w:b w:val="false"/>
          <w:color w:val="000000"/>
          <w:sz w:val="20"/>
        </w:rPr>
        <w:t>This segment designs, manufactures, sells, installs and services the Company’s asset protection products and systems, including equipment and instrumentation, predominantly in the United States.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During the third quarter of 2023, a triggering event was identified within the Company's reporting units within the International segment due to decreased gross margin in the current period as a result of inflationary pressures and rising energy costs which resulted in impairment charges within the International reporting units of $13.8 million. Refer to Note 8</w:t>
      </w:r>
      <w:r>
        <w:rPr>
          <w:rFonts w:ascii="Times New Roman;sans-serif" w:hAnsi="Times New Roman;sans-serif"/>
          <w:b w:val="false"/>
          <w:i/>
          <w:color w:val="000000"/>
          <w:sz w:val="20"/>
        </w:rPr>
        <w:t>-Goodwill</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Company experienced unfavorable foreign currency exchange impacts as it relates to the Company's European operations. Additionally, the Russian-Ukrainian war and the conflict in the Middle East between Israel and Hamas continues to create disruptions in the oil and gas market and the supply chain in general, which is resulting in some disruption to our business operations. The Company’s European operations are currently experiencing increased costs associated with higher energy costs, among others, due in part to the Russian-Ukrainian war.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eliminated substantially all of the COVID related cost reduction initiatives undertaken in 2020, including re-instatement of the savings plan employer match and increasing wages back to pre-pandemic amounts.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 will continue to monitor market conditions and respond accordingly.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follows guidance on the consolidation of variable interest entities ("VIEs") that requires companies to utilize a qualitative approach to determine whether it is the primary beneficiary of a VIE. The process for identifying the primary beneficiary of a VIE requires consideration of the factors that indicate a party has the power to direct the activities that most significantly impact the VIE’s economic performance, including powers granted to the VIE’s program manager, powers contained in the VIE governing board and, to a certain extent, a company’s economic interest in the VIE. The Company analyzes its joint ventures and classifies them as either: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VIE that must be consolidated because the Company is the primary beneficiary, or the joint venture is not a VIE and the Company holds the majority voting interest with no significant participative rights available to the other partners;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VIE that does not require consolidation and is treated as an equity method investment because the Company is not the primary beneficiary or the joint venture is not a VIE and the Company does not hold the majority voting interest.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above analysis, if it is determined that the Company has the power to direct the activities that most significantly impact the joint venture’s economic performance, the Company considers whether or not it has the obligation to absorb losses or rights to receive benefits of the VIE that could potentially be significant to the VIE.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became the primary beneficiary in July 2020 of a VIE in which the Company has a 49% interest in a limited partnership, and a 49% stockholder in the corporate general partner of the limited partnership. The Company consolidated the financial statements of the VIE with the financial statements of the Company. As of and for the year ended December 31, 2023, the VIE had immaterial assets and had approximately $3.0 million of revenue. The Company is the primary sub-contractor of the VIE.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audited consolidated financial statements include the accounts of Mistras Group, Inc. as well as its wholly-owned subsidiaries, majority-owned subsidiaries and consolidated VIE. For subsidiaries in which the Company’s ownership interest is less than 100%, the non-controlling interests are reported in stockholders’ equity in the accompanying Consolidated Balance Sheets. The non-controlling interests in net results, net of tax, is classified separately in the accompanying Consolidated Statements of Income (Loss). All significant intercompany accounts and transactions have been eliminated in consolidation. The results of operations of companies acquired are included from the date of acquisition.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amounts in prior periods have been reclassified to conform to the current year presentation. Such reclassifications did not have a material effect on the Company's financial condition or results of operations as previously reported.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accordance with U.S. generally accepted accounting principles ("U.S. GAAP") requires that the Company make estimates and assumptions that affect the reported amounts of assets, liabilities, revenue and expenses and disclosure of contingent assets and liabilities at the date of the financial statements. The Company bases its estimates and assumptions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an original maturity of three months or less to be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Receivable and Allowance for Credit Losses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an allowance for credit losses on its accounts receivable balances, which represents its best estimate of current expected credit losses over the contractual life of the accounts receivable. When evaluating the adequacy of its allowance for credit losses each reporting period, the Company analyzes accounts receivable balances with similar risk characteristics on a collective basis, considering factors such as the aging of receivable balances, payment terms (primarily with 30 day terms), geographic location, historical loss experience, current information and future expectations (generally considered one year which is consistent with expected collectability of the Company's trade receivables).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monitors and considers whether historical loss rates are consistent with expectation of supportable forward-looking estimates for its trade receivables noting any current or future economic considerations that would require adjusting the Company’s historical loss experience. Each reporting period, the Company reassesses whether any accounts receivable no longer share similar risk characteristics and should instead be evaluated as part of another pool or on an individual basis. Changes to the allowance for credit losses are adjusted through credit loss expense, which is presented within Selling, general and administrative expenses in the Consolidated Statements of Income (Loss).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of the years ended December 31, 2023 and 2022, no customer represented 10% or more of the Company's revenue.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as determined by using the first-in, first-out method, or market. Work in process and finished goods inventory include material, direct labor, variable costs and overhead.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Purchased and Internal-Use Software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purchase price of acquired businesses over the fair values attributed to underlying net tangible assets and identifiable intangible assets. The Company tests goodwill for impairment at a “reporting unit” level (which for the Company is represented by (i) its North America segment, (ii) its Products and Systems segment, (iii) the European component of its International segment and (iv) the Brazilian component of its International segment). The Company's annual impairment test is conducted on the first day of the Company's fourth quarter, which is October 1. Goodwill is also tested for impairment whenever an event occurs or circumstances change that would more likely than not reduce the fair value of a reporting unit below its carrying amount.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testing for goodwill impairment, the Company has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the Company concludes that it is not more likely than not that the fair value of a reporting unit is less than its carrying amount, then performing a quantitative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test is not necessary. If the Company concludes otherwise, the Company is required to perform a quantitative impairment test.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fair value of a reporting unit is less than its carrying value, this is an indicator that the goodwill assigned to that reporting unit may be impaired. An impairment will be recorded in the amount that the fair value is less than the carrying value. The Company considers the income and market approaches to estimate the fair value of its reporting units, which requires significant judgment and assumptions related to revenue growth rates, gross margins, EBIT margins, and market multiples.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See Note 8-</w:t>
      </w:r>
      <w:r>
        <w:rPr>
          <w:rFonts w:ascii="Times New Roman;sans-serif" w:hAnsi="Times New Roman;sans-serif"/>
          <w:b w:val="false"/>
          <w:i/>
          <w:color w:val="000000"/>
          <w:sz w:val="20"/>
        </w:rPr>
        <w:t xml:space="preserve">Goodwill </w:t>
      </w:r>
      <w:r>
        <w:rPr>
          <w:rFonts w:ascii="Times New Roman;sans-serif" w:hAnsi="Times New Roman;sans-serif"/>
          <w:b w:val="false"/>
          <w:color w:val="000000"/>
          <w:sz w:val="20"/>
        </w:rPr>
        <w:t xml:space="preserve">for additional information related to the Company's goodwill impairment test during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the recoverability of its long-lived assets (or asset groups) whenever events or changes in circumstances indicate that the carrying amount of the long-lived asset (group) might not be recoverable.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allocates the purchase price of acquired businesses to their identifiable tangible assets and liabilities as well as identifiable intangible assets, such as customer relationships, technology, non-compete agreements and trade names.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ASC No. 820, </w:t>
      </w:r>
      <w:r>
        <w:rPr>
          <w:rFonts w:ascii="Times New Roman;sans-serif" w:hAnsi="Times New Roman;sans-serif"/>
          <w:b w:val="false"/>
          <w:i/>
          <w:color w:val="000000"/>
          <w:sz w:val="20"/>
        </w:rPr>
        <w:t xml:space="preserve">Fair Value Measurements and Disclosure. </w:t>
      </w:r>
      <w:r>
        <w:rPr>
          <w:rFonts w:ascii="Times New Roman;sans-serif" w:hAnsi="Times New Roman;sans-serif"/>
          <w:b w:val="false"/>
          <w:color w:val="000000"/>
          <w:sz w:val="20"/>
        </w:rPr>
        <w:t xml:space="preserve">Deferred taxes are recorded for any differences between the assigned values and tax bases of assets and liabilities.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Engineering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 costs are expensed as incurred.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Advertising, Promotions and Marketing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costs for advertising, promotion and marketing programs are expensed as incurred and are included in selling, general and administrative expenses. Advertising expense was approximately $1.4 million, $2.0 million and $1.0 million for the years ended December 31, 2023, 2022 and 2021,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accounts receivable, accounts payable and other financial current assets and liabilities approximate fair value based on the short-term nature of the items.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position and results of operations of the Company’s foreign subsidiaries are measured using their functional currencies, which are their local currencies.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income (loss) for the period and included in accumulated other comprehensive income (loss) within stockholders’ equity.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(gains) losses arising from transactions denominated in currencies other than the functional currency are included in net income, reported in selling, general and administrative expenses, and were approximately $1.3 million, $(0.2) million, and $0.4 million for the years ended December 31, 2023, 2022 and 2021,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Self-Insurance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self-insured for certain losses relating to workers’ compensation and health benefit claims. The Company maintains third-party excess insurance coverage for all workers' compensation and health benefit claims in excess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$0.3 million per occurrence to reduce its exposure from such claims. Self-insured losses are accrued when it is probable that an uninsured claim has been incurred but not reported and the amount of the loss can be reasonably estimated at the balance sheet date.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services received from employees and directors in exchange for an award of an equity instrument is measured based on the grant-date fair value of the award. Such value is recognized as a non-cash expense on a straight-line basis over the minimum period the individual provides services, which is typically the vesting period of the award with the exception of awards with graded vesting that contain an internal performance measure where each tranche is recognized on a straight-line basis over its vesting period subject to the probability of meeting the performance requirements and adjusted for the number of shares expected to be earned. Awards to certain employees eligible for retirement prior to the award becoming fully vested are amortized to expense over the period through the date that the employee first becomes eligible to retire and is no longer required to provide service to earn the award. As share-based compensation expense is based on awards ultimately expected to vest, the amount of expense is reduced for estimated forfeitures. The cost of these awards is recorded in selling, general and administrative expenses in the Company’s Consolidated Statements of Income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2020 and updated in January 2021, the FASB issued Accounting Standards Update ("ASU") 2020-04 and 2021-01, “Reference Rate Reform (Topic 848): Facilitation of the Effects of Reference Rate Reform on Financial Reporting.” The amendments provide optional guidance for a limited period of time to ease the potential burden in 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2024. The Company is currently evaluating applicable contracts and the available expedients provided by the new guidance.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Revenue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derives the majority of its revenue by providing services on a time and material basis that are short-term in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nature. The Company accounts for revenue in accordance with ASC Topic 606, Revenue from Contracts with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recognized at a point in time is related to product sales when the customer obtains control of the asset, which is generally upon shipment to the customer. Contract costs include labor, material and overhead.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any significant remaining performance obligations to be satisfied within one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an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by Category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series of tables present the Company's disaggregated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industry was as follows (in thousands):</w:t>
      </w:r>
    </w:p>
    <w:tbl>
      <w:tblPr>
        <w:tblW w:w="10205" w:type="dxa"/>
        <w:jc w:val="left"/>
        <w:tblInd w:w="0" w:type="dxa"/>
        <w:tblLayout w:type="fixed"/>
        <w:tblCellMar>
          <w:top w:w="28" w:type="dxa"/>
          <w:left w:w="28" w:type="dxa"/>
          <w:bottom w:w="28" w:type="dxa"/>
          <w:right w:w="28" w:type="dxa"/>
        </w:tblCellMar>
      </w:tblPr>
      <w:tblGrid>
        <w:gridCol w:w="1169"/>
        <w:gridCol w:w="1016"/>
        <w:gridCol w:w="1020"/>
        <w:gridCol w:w="220"/>
        <w:gridCol w:w="863"/>
        <w:gridCol w:w="113"/>
        <w:gridCol w:w="109"/>
        <w:gridCol w:w="109"/>
        <w:gridCol w:w="109"/>
        <w:gridCol w:w="211"/>
        <w:gridCol w:w="826"/>
        <w:gridCol w:w="109"/>
        <w:gridCol w:w="109"/>
        <w:gridCol w:w="109"/>
        <w:gridCol w:w="109"/>
        <w:gridCol w:w="211"/>
        <w:gridCol w:w="721"/>
        <w:gridCol w:w="109"/>
        <w:gridCol w:w="109"/>
        <w:gridCol w:w="109"/>
        <w:gridCol w:w="109"/>
        <w:gridCol w:w="211"/>
        <w:gridCol w:w="794"/>
        <w:gridCol w:w="109"/>
        <w:gridCol w:w="109"/>
        <w:gridCol w:w="109"/>
        <w:gridCol w:w="109"/>
        <w:gridCol w:w="211"/>
        <w:gridCol w:w="826"/>
        <w:gridCol w:w="158"/>
      </w:tblGrid>
      <w:tr>
        <w:trPr/>
        <w:tc>
          <w:tcPr>
            <w:tcW w:w="116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&amp; Gas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&amp; Defense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Generation and Transmission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Process Industries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Research &amp; Engineering</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Petrochemical</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579,330 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705,473 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169"/>
        <w:gridCol w:w="1016"/>
        <w:gridCol w:w="1020"/>
        <w:gridCol w:w="220"/>
        <w:gridCol w:w="863"/>
        <w:gridCol w:w="113"/>
        <w:gridCol w:w="109"/>
        <w:gridCol w:w="109"/>
        <w:gridCol w:w="109"/>
        <w:gridCol w:w="211"/>
        <w:gridCol w:w="826"/>
        <w:gridCol w:w="109"/>
        <w:gridCol w:w="109"/>
        <w:gridCol w:w="109"/>
        <w:gridCol w:w="109"/>
        <w:gridCol w:w="211"/>
        <w:gridCol w:w="721"/>
        <w:gridCol w:w="109"/>
        <w:gridCol w:w="109"/>
        <w:gridCol w:w="109"/>
        <w:gridCol w:w="109"/>
        <w:gridCol w:w="211"/>
        <w:gridCol w:w="794"/>
        <w:gridCol w:w="109"/>
        <w:gridCol w:w="109"/>
        <w:gridCol w:w="109"/>
        <w:gridCol w:w="109"/>
        <w:gridCol w:w="211"/>
        <w:gridCol w:w="826"/>
        <w:gridCol w:w="158"/>
      </w:tblGrid>
      <w:tr>
        <w:trPr/>
        <w:tc>
          <w:tcPr>
            <w:tcW w:w="116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&amp; Gas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&amp; Defense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Generation and Transmission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Process Industries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Research &amp; Engineering</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Petrochemical</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573,336 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687,373 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0"/>
        <w:gridCol w:w="320"/>
        <w:gridCol w:w="321"/>
        <w:gridCol w:w="211"/>
        <w:gridCol w:w="828"/>
        <w:gridCol w:w="109"/>
        <w:gridCol w:w="109"/>
        <w:gridCol w:w="109"/>
        <w:gridCol w:w="109"/>
        <w:gridCol w:w="211"/>
        <w:gridCol w:w="826"/>
        <w:gridCol w:w="109"/>
        <w:gridCol w:w="109"/>
        <w:gridCol w:w="109"/>
        <w:gridCol w:w="109"/>
        <w:gridCol w:w="211"/>
        <w:gridCol w:w="721"/>
        <w:gridCol w:w="109"/>
        <w:gridCol w:w="109"/>
        <w:gridCol w:w="109"/>
        <w:gridCol w:w="109"/>
        <w:gridCol w:w="211"/>
        <w:gridCol w:w="635"/>
        <w:gridCol w:w="109"/>
        <w:gridCol w:w="109"/>
        <w:gridCol w:w="109"/>
        <w:gridCol w:w="109"/>
        <w:gridCol w:w="211"/>
        <w:gridCol w:w="82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8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2021</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&amp; Gas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&amp; Defense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Generation and Transmission</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Process Industries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Research &amp; Engineering</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Petrochemical</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key geographic location was as follows (in thousands):</w:t>
      </w:r>
    </w:p>
    <w:tbl>
      <w:tblPr>
        <w:tblW w:w="9387" w:type="dxa"/>
        <w:jc w:val="left"/>
        <w:tblInd w:w="0" w:type="dxa"/>
        <w:tblLayout w:type="fixed"/>
        <w:tblCellMar>
          <w:top w:w="28" w:type="dxa"/>
          <w:left w:w="28" w:type="dxa"/>
          <w:bottom w:w="28" w:type="dxa"/>
          <w:right w:w="28" w:type="dxa"/>
        </w:tblCellMar>
      </w:tblPr>
      <w:tblGrid>
        <w:gridCol w:w="862"/>
        <w:gridCol w:w="760"/>
        <w:gridCol w:w="763"/>
        <w:gridCol w:w="221"/>
        <w:gridCol w:w="865"/>
        <w:gridCol w:w="114"/>
        <w:gridCol w:w="109"/>
        <w:gridCol w:w="109"/>
        <w:gridCol w:w="109"/>
        <w:gridCol w:w="211"/>
        <w:gridCol w:w="826"/>
        <w:gridCol w:w="109"/>
        <w:gridCol w:w="109"/>
        <w:gridCol w:w="109"/>
        <w:gridCol w:w="109"/>
        <w:gridCol w:w="211"/>
        <w:gridCol w:w="721"/>
        <w:gridCol w:w="109"/>
        <w:gridCol w:w="109"/>
        <w:gridCol w:w="109"/>
        <w:gridCol w:w="109"/>
        <w:gridCol w:w="211"/>
        <w:gridCol w:w="796"/>
        <w:gridCol w:w="109"/>
        <w:gridCol w:w="109"/>
        <w:gridCol w:w="109"/>
        <w:gridCol w:w="109"/>
        <w:gridCol w:w="211"/>
        <w:gridCol w:w="82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579,330 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87" w:type="dxa"/>
        <w:jc w:val="left"/>
        <w:tblInd w:w="0" w:type="dxa"/>
        <w:tblLayout w:type="fixed"/>
        <w:tblCellMar>
          <w:top w:w="28" w:type="dxa"/>
          <w:left w:w="28" w:type="dxa"/>
          <w:bottom w:w="28" w:type="dxa"/>
          <w:right w:w="28" w:type="dxa"/>
        </w:tblCellMar>
      </w:tblPr>
      <w:tblGrid>
        <w:gridCol w:w="862"/>
        <w:gridCol w:w="760"/>
        <w:gridCol w:w="763"/>
        <w:gridCol w:w="221"/>
        <w:gridCol w:w="865"/>
        <w:gridCol w:w="114"/>
        <w:gridCol w:w="109"/>
        <w:gridCol w:w="109"/>
        <w:gridCol w:w="109"/>
        <w:gridCol w:w="211"/>
        <w:gridCol w:w="826"/>
        <w:gridCol w:w="109"/>
        <w:gridCol w:w="109"/>
        <w:gridCol w:w="109"/>
        <w:gridCol w:w="109"/>
        <w:gridCol w:w="211"/>
        <w:gridCol w:w="721"/>
        <w:gridCol w:w="109"/>
        <w:gridCol w:w="109"/>
        <w:gridCol w:w="109"/>
        <w:gridCol w:w="109"/>
        <w:gridCol w:w="211"/>
        <w:gridCol w:w="796"/>
        <w:gridCol w:w="109"/>
        <w:gridCol w:w="109"/>
        <w:gridCol w:w="109"/>
        <w:gridCol w:w="109"/>
        <w:gridCol w:w="211"/>
        <w:gridCol w:w="82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485,551 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573,336 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82" w:type="dxa"/>
        <w:jc w:val="center"/>
        <w:tblInd w:w="0" w:type="dxa"/>
        <w:tblLayout w:type="fixed"/>
        <w:tblCellMar>
          <w:top w:w="28" w:type="dxa"/>
          <w:left w:w="28" w:type="dxa"/>
          <w:bottom w:w="28" w:type="dxa"/>
          <w:right w:w="28" w:type="dxa"/>
        </w:tblCellMar>
      </w:tblPr>
      <w:tblGrid>
        <w:gridCol w:w="862"/>
        <w:gridCol w:w="760"/>
        <w:gridCol w:w="763"/>
        <w:gridCol w:w="221"/>
        <w:gridCol w:w="865"/>
        <w:gridCol w:w="114"/>
        <w:gridCol w:w="109"/>
        <w:gridCol w:w="109"/>
        <w:gridCol w:w="109"/>
        <w:gridCol w:w="211"/>
        <w:gridCol w:w="826"/>
        <w:gridCol w:w="109"/>
        <w:gridCol w:w="109"/>
        <w:gridCol w:w="109"/>
        <w:gridCol w:w="109"/>
        <w:gridCol w:w="211"/>
        <w:gridCol w:w="721"/>
        <w:gridCol w:w="109"/>
        <w:gridCol w:w="109"/>
        <w:gridCol w:w="109"/>
        <w:gridCol w:w="109"/>
        <w:gridCol w:w="211"/>
        <w:gridCol w:w="691"/>
        <w:gridCol w:w="109"/>
        <w:gridCol w:w="109"/>
        <w:gridCol w:w="109"/>
        <w:gridCol w:w="109"/>
        <w:gridCol w:w="211"/>
        <w:gridCol w:w="82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2021</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555,387 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for 2023 and 2022, that was included in the contract liability balance at the beginning of the year was $6.3 million and $4.7 million, respectively. Changes in the contract asset and liability balances during the years ended December 31, 2023 and 2022, were not impacted by any other factors. The Company applies the practical expedient to expense incremental costs incurred related to obtaining a contract when the amortization period of the asset that the Company otherwise would have recognized is one year or less.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Earnings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is computed by dividing net income (loss) by the weighted-average number of shares outstanding during the period. Diluted earnings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stock during the period and (ii) the pro forma vesting of restricted stock units.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computations of basic and diluted earnings (loss) per share (in thousands except share data):</w:t>
      </w:r>
    </w:p>
    <w:tbl>
      <w:tblPr>
        <w:tblW w:w="8007" w:type="dxa"/>
        <w:jc w:val="left"/>
        <w:tblInd w:w="0" w:type="dxa"/>
        <w:tblLayout w:type="fixed"/>
        <w:tblCellMar>
          <w:top w:w="28" w:type="dxa"/>
          <w:left w:w="28" w:type="dxa"/>
          <w:bottom w:w="28" w:type="dxa"/>
          <w:right w:w="28" w:type="dxa"/>
        </w:tblCellMar>
      </w:tblPr>
      <w:tblGrid>
        <w:gridCol w:w="1565"/>
        <w:gridCol w:w="1373"/>
        <w:gridCol w:w="1382"/>
        <w:gridCol w:w="211"/>
        <w:gridCol w:w="796"/>
        <w:gridCol w:w="109"/>
        <w:gridCol w:w="109"/>
        <w:gridCol w:w="109"/>
        <w:gridCol w:w="109"/>
        <w:gridCol w:w="211"/>
        <w:gridCol w:w="616"/>
        <w:gridCol w:w="109"/>
        <w:gridCol w:w="109"/>
        <w:gridCol w:w="109"/>
        <w:gridCol w:w="109"/>
        <w:gridCol w:w="211"/>
        <w:gridCol w:w="61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(loss) per share:</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Mistras Group,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(loss)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(loss) per share: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Mistras Group,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outstanding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restricted stock units outstanding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(loss)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 shares of common stock were excluded from the computation of diluted earnings per share, as the effect would have been anti-dilutive:</w:t>
      </w:r>
    </w:p>
    <w:tbl>
      <w:tblPr>
        <w:tblW w:w="10205" w:type="dxa"/>
        <w:jc w:val="left"/>
        <w:tblInd w:w="0" w:type="dxa"/>
        <w:tblLayout w:type="fixed"/>
        <w:tblCellMar>
          <w:top w:w="28" w:type="dxa"/>
          <w:left w:w="28" w:type="dxa"/>
          <w:bottom w:w="28" w:type="dxa"/>
          <w:right w:w="28" w:type="dxa"/>
        </w:tblCellMar>
      </w:tblPr>
      <w:tblGrid>
        <w:gridCol w:w="2628"/>
        <w:gridCol w:w="2306"/>
        <w:gridCol w:w="2319"/>
        <w:gridCol w:w="233"/>
        <w:gridCol w:w="233"/>
        <w:gridCol w:w="154"/>
        <w:gridCol w:w="146"/>
        <w:gridCol w:w="146"/>
        <w:gridCol w:w="146"/>
        <w:gridCol w:w="308"/>
        <w:gridCol w:w="308"/>
        <w:gridCol w:w="154"/>
        <w:gridCol w:w="146"/>
        <w:gridCol w:w="146"/>
        <w:gridCol w:w="146"/>
        <w:gridCol w:w="233"/>
        <w:gridCol w:w="233"/>
        <w:gridCol w:w="220"/>
      </w:tblGrid>
      <w:tr>
        <w:trPr/>
        <w:tc>
          <w:tcPr>
            <w:tcW w:w="2628"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72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Potential shares of common stock attributable to restricted stock units (RSUs) and performance stock units (PSUs) outstanding </w:t>
            </w:r>
            <w:r>
              <w:rPr>
                <w:rFonts w:ascii="Times New Roman;sans-serif" w:hAnsi="Times New Roman;sans-serif"/>
                <w:b w:val="false"/>
                <w:color w:val="000000"/>
                <w:sz w:val="13"/>
              </w:rPr>
              <w:t>(1)</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shares of common stock attributable to stock options outstanding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For the year ended December 31, 2023, 1,014,527 shares of common stock related to restricted stock and 250,000 stock options, were excluded from the calculation of diluted EPS due to the net loss for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Accounts Receivable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 of the following (in thousands):</w:t>
      </w:r>
    </w:p>
    <w:tbl>
      <w:tblPr>
        <w:tblW w:w="4958" w:type="dxa"/>
        <w:jc w:val="left"/>
        <w:tblInd w:w="0" w:type="dxa"/>
        <w:tblLayout w:type="fixed"/>
        <w:tblCellMar>
          <w:top w:w="28" w:type="dxa"/>
          <w:left w:w="28" w:type="dxa"/>
          <w:bottom w:w="28" w:type="dxa"/>
          <w:right w:w="28" w:type="dxa"/>
        </w:tblCellMar>
      </w:tblPr>
      <w:tblGrid>
        <w:gridCol w:w="831"/>
        <w:gridCol w:w="730"/>
        <w:gridCol w:w="733"/>
        <w:gridCol w:w="211"/>
        <w:gridCol w:w="826"/>
        <w:gridCol w:w="109"/>
        <w:gridCol w:w="109"/>
        <w:gridCol w:w="109"/>
        <w:gridCol w:w="109"/>
        <w:gridCol w:w="211"/>
        <w:gridCol w:w="82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$18.5 million and $13.5 million of unbilled revenues accrued as of December 31, 2023 and December 31, 2022, respectively, which is included within the trade accounts receivable balance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damages. The Company recorded a full reserve for this receivable during 2019. The parties agreed to a settlement in the quarter ending June 30, 2023, with releases executed in July 2023, whereby the Company released its claim for the $1.4 million of outstanding receivables. Accordingly, the receivable has been written off. See Note </w:t>
      </w:r>
      <w:r>
        <w:rPr>
          <w:rFonts w:ascii="Times New Roman;sans-serif" w:hAnsi="Times New Roman;sans-serif"/>
          <w:b w:val="false"/>
          <w:i/>
          <w:color w:val="000000"/>
          <w:sz w:val="20"/>
        </w:rPr>
        <w:t>18-Commitments and Contingencies</w:t>
      </w:r>
      <w:r>
        <w:rPr>
          <w:color w:val="000000"/>
        </w:rPr>
        <w:t xml:space="preserve"> </w:t>
      </w:r>
      <w:r>
        <w:rPr>
          <w:rFonts w:ascii="Times New Roman;sans-serif" w:hAnsi="Times New Roman;sans-serif"/>
          <w:b w:val="false"/>
          <w:color w:val="000000"/>
          <w:sz w:val="20"/>
        </w:rPr>
        <w:t xml:space="preserve">for additional details. </w:t>
      </w:r>
    </w:p>
    <w:p>
      <w:pPr>
        <w:pStyle w:val="TextBody"/>
        <w:bidi w:val="0"/>
        <w:spacing w:lineRule="auto" w:line="276"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(in thousands):</w:t>
      </w:r>
    </w:p>
    <w:tbl>
      <w:tblPr>
        <w:tblW w:w="4313" w:type="dxa"/>
        <w:jc w:val="left"/>
        <w:tblInd w:w="0" w:type="dxa"/>
        <w:tblLayout w:type="fixed"/>
        <w:tblCellMar>
          <w:top w:w="28" w:type="dxa"/>
          <w:left w:w="28" w:type="dxa"/>
          <w:bottom w:w="28" w:type="dxa"/>
          <w:right w:w="28" w:type="dxa"/>
        </w:tblCellMar>
      </w:tblPr>
      <w:tblGrid>
        <w:gridCol w:w="674"/>
        <w:gridCol w:w="590"/>
        <w:gridCol w:w="595"/>
        <w:gridCol w:w="211"/>
        <w:gridCol w:w="721"/>
        <w:gridCol w:w="109"/>
        <w:gridCol w:w="109"/>
        <w:gridCol w:w="109"/>
        <w:gridCol w:w="109"/>
        <w:gridCol w:w="211"/>
        <w:gridCol w:w="721"/>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 supplies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Property, Plant and Equipment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 of the following:</w:t>
      </w:r>
    </w:p>
    <w:tbl>
      <w:tblPr>
        <w:tblW w:w="7356" w:type="dxa"/>
        <w:jc w:val="left"/>
        <w:tblInd w:w="0" w:type="dxa"/>
        <w:tblLayout w:type="fixed"/>
        <w:tblCellMar>
          <w:top w:w="28" w:type="dxa"/>
          <w:left w:w="28" w:type="dxa"/>
          <w:bottom w:w="28" w:type="dxa"/>
          <w:right w:w="28" w:type="dxa"/>
        </w:tblCellMar>
      </w:tblPr>
      <w:tblGrid>
        <w:gridCol w:w="1336"/>
        <w:gridCol w:w="1171"/>
        <w:gridCol w:w="1182"/>
        <w:gridCol w:w="295"/>
        <w:gridCol w:w="295"/>
        <w:gridCol w:w="296"/>
        <w:gridCol w:w="109"/>
        <w:gridCol w:w="109"/>
        <w:gridCol w:w="109"/>
        <w:gridCol w:w="211"/>
        <w:gridCol w:w="721"/>
        <w:gridCol w:w="109"/>
        <w:gridCol w:w="109"/>
        <w:gridCol w:w="109"/>
        <w:gridCol w:w="10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approximately $25.6 million, $24.1 million, and $25.2 million for the years ended December 31, 2023, 2022 and 2021, respectively.</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Acquisition-Related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recorded as acquisition-related expense, net, on the Consolidated Statements of Income (Loss) and were as follows for the years ended December 31, 2023, 2022 and 2021 (in thousands):</w:t>
      </w:r>
    </w:p>
    <w:p>
      <w:pPr>
        <w:pStyle w:val="TextBody"/>
        <w:bidi w:val="0"/>
        <w:spacing w:lineRule="auto" w:line="288" w:before="0" w:after="0"/>
        <w:jc w:val="left"/>
        <w:rPr>
          <w:color w:val="000000"/>
        </w:rPr>
      </w:pPr>
      <w:r>
        <w:rPr>
          <w:color w:val="000000"/>
        </w:rPr>
        <w:t> </w:t>
      </w:r>
    </w:p>
    <w:tbl>
      <w:tblPr>
        <w:tblW w:w="8172" w:type="dxa"/>
        <w:jc w:val="left"/>
        <w:tblInd w:w="0" w:type="dxa"/>
        <w:tblLayout w:type="fixed"/>
        <w:tblCellMar>
          <w:top w:w="28" w:type="dxa"/>
          <w:left w:w="28" w:type="dxa"/>
          <w:bottom w:w="28" w:type="dxa"/>
          <w:right w:w="28" w:type="dxa"/>
        </w:tblCellMar>
      </w:tblPr>
      <w:tblGrid>
        <w:gridCol w:w="1913"/>
        <w:gridCol w:w="1681"/>
        <w:gridCol w:w="1686"/>
        <w:gridCol w:w="211"/>
        <w:gridCol w:w="256"/>
        <w:gridCol w:w="109"/>
        <w:gridCol w:w="109"/>
        <w:gridCol w:w="109"/>
        <w:gridCol w:w="109"/>
        <w:gridCol w:w="211"/>
        <w:gridCol w:w="361"/>
        <w:gridCol w:w="109"/>
        <w:gridCol w:w="109"/>
        <w:gridCol w:w="109"/>
        <w:gridCol w:w="109"/>
        <w:gridCol w:w="211"/>
        <w:gridCol w:w="61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diligence, professional fees and other transaction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fair value of contingent consideration liabilities</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Goodwill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segment is shown below (in thousands):</w:t>
      </w:r>
    </w:p>
    <w:tbl>
      <w:tblPr>
        <w:tblW w:w="8711" w:type="dxa"/>
        <w:jc w:val="left"/>
        <w:tblInd w:w="0" w:type="dxa"/>
        <w:tblLayout w:type="fixed"/>
        <w:tblCellMar>
          <w:top w:w="28" w:type="dxa"/>
          <w:left w:w="28" w:type="dxa"/>
          <w:bottom w:w="28" w:type="dxa"/>
          <w:right w:w="28" w:type="dxa"/>
        </w:tblCellMar>
      </w:tblPr>
      <w:tblGrid>
        <w:gridCol w:w="939"/>
        <w:gridCol w:w="825"/>
        <w:gridCol w:w="830"/>
        <w:gridCol w:w="221"/>
        <w:gridCol w:w="865"/>
        <w:gridCol w:w="114"/>
        <w:gridCol w:w="109"/>
        <w:gridCol w:w="109"/>
        <w:gridCol w:w="109"/>
        <w:gridCol w:w="216"/>
        <w:gridCol w:w="738"/>
        <w:gridCol w:w="112"/>
        <w:gridCol w:w="109"/>
        <w:gridCol w:w="109"/>
        <w:gridCol w:w="109"/>
        <w:gridCol w:w="487"/>
        <w:gridCol w:w="937"/>
        <w:gridCol w:w="255"/>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Products and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0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(13,799)</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187,354 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for impairment on a reporting unit basis on October 1 of each year and whenever events or changes in circumstances indicate the carrying value of goodwill may not be recoverable.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a triggering event was identified within the Company's reporting units within the International segment due to decreased gross margin in the current period as a result of inflationary pressures and rising energy costs impacting the International reporting units' operations. As a result, the Company performed an interim quantitative goodwill impairment test.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using a terminal value calculation, which incorporates historical and forecasted trends, including an estimate of long-term future growth rates, based on the Company’s most recent views of the long-term outlook for each reporting unit. The Company's internal forecasts include assumptions about future profitability,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Company's internally developed forecasts and which are updated for recent events. Increased interest rates in the current period increased the discount rate associated with the reporting units which contributed to an unfavorable decrease in the reporting units value.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approach valuation was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the results of the interim quantitative goodwill impairment test, the Company recorded an impairment charge of $13.8 million within the International reporting units. The impairment was calculated based on the difference between the estimated fair value and the carrying value of the reporting units and is included in Goodwill impairment charges on the condensed consolidated statements of income (loss) for the year ended December 31, 2023.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cumulative goodwill impairment as of December 31, 2023 was $114.0 million, of which $57.2 million related to the North America segment, $43.6 million related to the International segment and $13.2 million related to the Products and Systems segment.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and accumulated amortization of intangible assets were as follows (in thousands):</w:t>
      </w:r>
    </w:p>
    <w:tbl>
      <w:tblPr>
        <w:tblW w:w="10978" w:type="dxa"/>
        <w:jc w:val="center"/>
        <w:tblInd w:w="0" w:type="dxa"/>
        <w:tblLayout w:type="fixed"/>
        <w:tblCellMar>
          <w:top w:w="28" w:type="dxa"/>
          <w:left w:w="28" w:type="dxa"/>
          <w:bottom w:w="28" w:type="dxa"/>
          <w:right w:w="28" w:type="dxa"/>
        </w:tblCellMar>
      </w:tblPr>
      <w:tblGrid>
        <w:gridCol w:w="424"/>
        <w:gridCol w:w="373"/>
        <w:gridCol w:w="374"/>
        <w:gridCol w:w="295"/>
        <w:gridCol w:w="295"/>
        <w:gridCol w:w="296"/>
        <w:gridCol w:w="109"/>
        <w:gridCol w:w="109"/>
        <w:gridCol w:w="109"/>
        <w:gridCol w:w="211"/>
        <w:gridCol w:w="826"/>
        <w:gridCol w:w="109"/>
        <w:gridCol w:w="109"/>
        <w:gridCol w:w="109"/>
        <w:gridCol w:w="109"/>
        <w:gridCol w:w="211"/>
        <w:gridCol w:w="841"/>
        <w:gridCol w:w="109"/>
        <w:gridCol w:w="109"/>
        <w:gridCol w:w="109"/>
        <w:gridCol w:w="109"/>
        <w:gridCol w:w="109"/>
        <w:gridCol w:w="211"/>
        <w:gridCol w:w="721"/>
        <w:gridCol w:w="109"/>
        <w:gridCol w:w="109"/>
        <w:gridCol w:w="109"/>
        <w:gridCol w:w="109"/>
        <w:gridCol w:w="211"/>
        <w:gridCol w:w="826"/>
        <w:gridCol w:w="109"/>
        <w:gridCol w:w="109"/>
        <w:gridCol w:w="109"/>
        <w:gridCol w:w="109"/>
        <w:gridCol w:w="211"/>
        <w:gridCol w:w="841"/>
        <w:gridCol w:w="109"/>
        <w:gridCol w:w="109"/>
        <w:gridCol w:w="109"/>
        <w:gridCol w:w="109"/>
        <w:gridCol w:w="109"/>
        <w:gridCol w:w="211"/>
        <w:gridCol w:w="72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1"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41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Software/Technology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Covenants not to compete</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years ended December 31, 2023, 2022 and 2021, was approximately $8.5 million, $9.1 million, and $9.7 million, respectively, including amortization of software/technology for these periods of $2.9 million, $2.9 million, and $3.0 million,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in each of the five years and thereafter subsequent to December 31, 2023 related to the Company’s intangible assets is expected to be as follows (in thousands):</w:t>
      </w:r>
    </w:p>
    <w:tbl>
      <w:tblPr>
        <w:tblW w:w="2072" w:type="dxa"/>
        <w:jc w:val="left"/>
        <w:tblInd w:w="0" w:type="dxa"/>
        <w:tblLayout w:type="fixed"/>
        <w:tblCellMar>
          <w:top w:w="28" w:type="dxa"/>
          <w:left w:w="28" w:type="dxa"/>
          <w:bottom w:w="28" w:type="dxa"/>
          <w:right w:w="28" w:type="dxa"/>
        </w:tblCellMar>
      </w:tblPr>
      <w:tblGrid>
        <w:gridCol w:w="342"/>
        <w:gridCol w:w="300"/>
        <w:gridCol w:w="304"/>
        <w:gridCol w:w="218"/>
        <w:gridCol w:w="747"/>
        <w:gridCol w:w="16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w:t>
              <w:br/>
              <w:t>Amortization</w:t>
              <w:br/>
              <w:t>Expense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Accrued Expenses and Other Current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p>
      <w:pPr>
        <w:pStyle w:val="TextBody"/>
        <w:bidi w:val="0"/>
        <w:spacing w:lineRule="auto" w:line="288" w:before="0" w:after="0"/>
        <w:jc w:val="left"/>
        <w:rPr>
          <w:color w:val="000000"/>
        </w:rPr>
      </w:pPr>
      <w:r>
        <w:rPr>
          <w:color w:val="000000"/>
        </w:rPr>
        <w:t> </w:t>
      </w:r>
    </w:p>
    <w:tbl>
      <w:tblPr>
        <w:tblW w:w="6953" w:type="dxa"/>
        <w:jc w:val="left"/>
        <w:tblInd w:w="0" w:type="dxa"/>
        <w:tblLayout w:type="fixed"/>
        <w:tblCellMar>
          <w:top w:w="28" w:type="dxa"/>
          <w:left w:w="28" w:type="dxa"/>
          <w:bottom w:w="28" w:type="dxa"/>
          <w:right w:w="28" w:type="dxa"/>
        </w:tblCellMar>
      </w:tblPr>
      <w:tblGrid>
        <w:gridCol w:w="1631"/>
        <w:gridCol w:w="1429"/>
        <w:gridCol w:w="1439"/>
        <w:gridCol w:w="211"/>
        <w:gridCol w:w="721"/>
        <w:gridCol w:w="109"/>
        <w:gridCol w:w="109"/>
        <w:gridCol w:w="109"/>
        <w:gridCol w:w="109"/>
        <w:gridCol w:w="211"/>
        <w:gridCol w:w="721"/>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wages and related employee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workers' compensation and health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liability - Operating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accrual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Long-Term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39"/>
        <w:gridCol w:w="2398"/>
        <w:gridCol w:w="2403"/>
        <w:gridCol w:w="211"/>
        <w:gridCol w:w="826"/>
        <w:gridCol w:w="109"/>
        <w:gridCol w:w="109"/>
        <w:gridCol w:w="109"/>
        <w:gridCol w:w="109"/>
        <w:gridCol w:w="211"/>
        <w:gridCol w:w="826"/>
        <w:gridCol w:w="155"/>
      </w:tblGrid>
      <w:tr>
        <w:trPr/>
        <w:tc>
          <w:tcPr>
            <w:tcW w:w="2739"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net of unamortized debt issuance costs of $0.4 million and $0.5 million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Credit Facility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Prior to entering into the New Credit Agreement (defined and described below), the Company had a credit agreement with its banking group (the "Credit Agreement") which provided the Company with a $150 million revolving credit facility and a $100 million term loan. The Credit Agreement was most recently amended on May 19, 2021 and had a maturity date of December 12,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2022, the Company entered into a new credit agreement (the “New Credit Agreement”) which replaced the prior Credit Agreement and provides the Company with a $190 million, 5-year committed revolving credit facility and a $125 million term loan with a balance of $115.3 million as of December 31, 2023. The New Credit Agreement permits the Company to borrow up to $100 million in non-US dollar currencies and to use up to $20 million of the credit limit for the issuance of letters of credit. Both the revolving line of credit and the term loan under the New Credit Agreement have a maturity date of July 30,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605" cy="14605"/>
                <wp:effectExtent l="0" t="0" r="0" b="0"/>
                <wp:wrapNone/>
                <wp:docPr id="70" name="Frame6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New Credit Agreement has the following key terms, conditions and financial covenants: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Borrowings bear interest at Secured Overnight Financing Rate ("SOFR") plus a credit spread adjustment and applicable SOFR margin ranging from 1.25% to 2.75%, based upon our Total Consolidated Debt Leverage Ratio (defined below); under the Credit Agreement, the margin was based upon the LIBOR margin.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Consolidated Debt Leverage Ratio means the ratio of (a) Total Consolidated Debt to (b) EBITDA (as defined in the New Credit Agreement) for the trailing four consecutive fiscal quarters.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Consolidated Debt means all indebtedness (including subordinated debt) of the Company on a consolidated basis.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has the benefit of the lowest SOFR margin if its Total Consolidated Debt Leverage Ratio is equal to or less than 1.25 to 1.0, and the margin increases as the ratio increases, to the maximum margin if the ratio is greater than 3.75 to 1.0. The New Credit Agreement is secured by liens on substantially all of the assets of the Company and certain of its U.S subsidiaries and is guaranteed by those U.S subsidiaries.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Company has to maintain a Total Consolidated Debt Leverage Ratio of no more than 4.0 to 1.0 at the end of each quarter through June 30, 2023 and stepping down to a maximum permitted ratio of no more than 3.75 to 1.0 for the remainder of the term.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As of December 31, 2023, the Fixed Charge Coverage Ratio was modified from a ratio of 1.25 to 1.0 to a ratio of 1.1 to 1.0 for the duration of the New Credit Agreement, as defined in the New Credit Agreement. Refer to Note</w:t>
      </w:r>
      <w:r>
        <w:rPr>
          <w:color w:val="000000"/>
        </w:rPr>
        <w:t xml:space="preserve"> </w:t>
      </w:r>
      <w:r>
        <w:rPr>
          <w:rFonts w:ascii="Times New Roman;sans-serif" w:hAnsi="Times New Roman;sans-serif"/>
          <w:b w:val="false"/>
          <w:i/>
          <w:color w:val="000000"/>
          <w:sz w:val="20"/>
        </w:rPr>
        <w:t>21 - Subsequent Events</w:t>
      </w:r>
      <w:r>
        <w:rPr>
          <w:color w:val="000000"/>
        </w:rPr>
        <w:t xml:space="preserve"> </w:t>
      </w:r>
      <w:r>
        <w:rPr>
          <w:rFonts w:ascii="Times New Roman;sans-serif" w:hAnsi="Times New Roman;sans-serif"/>
          <w:b w:val="false"/>
          <w:color w:val="000000"/>
          <w:sz w:val="20"/>
        </w:rPr>
        <w:t>for further information.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New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New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Quarterly payments on the term loan of $1.56 million through June 30, 2024, then increasing to $2.34 million through June 30, 2025, and to $3.12 million for each quarterly payment thereafter through maturity.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New Credit Agreement was accounted for as a modification, and the Company expensed $0.8 million in unamortized capitalized debt issuance costs and fees during the three months ended September 30, 2022, which was included in selling, general and administrative expenses on the Consolidated Statements of Income (Loss). The Company incurred $1.6 million in financing costs for the New Credit Agreement, of which $0.2 million of third party costs were expensed and included in selling, general and administrative expenses on the Consolidated Statements of Income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borrowings of $186.4 million and a total of $2.9 million of letters of credit outstanding under the New Credit Agreement. The Company has capitalized costs associated with debt modifications of $1.2 million as of December 31, 2023, which is included in Other assets on the Consolidated Balance Sheet and will be amortized into interest expense over the remaining term of the Credit Agreement through July 30, 2027.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in compliance with the terms of the New Credit Agreement. The Company continuously monitors compliance with the covenants contained in the New Credit Agreement. The Company believes that it is probable that the Company will be able to comply with the financial covenants in the New Credit Agreement and that sufficient credit remains available under the New Credit Agreement to meet the Company's liquidity needs. However, such matters cannot be predicted with certainty.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other debt includes bank financing provided at the local subsidiary level used to support working capital requirements and fund capital expenditures. At December 31, 2023, there was an aggregate of approximately $4.0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outstanding, payable at various times through 2030. Monthly payments ran</w:t>
      </w:r>
      <w:r>
        <w:rPr>
          <w:rFonts w:ascii="Times New Roman;sans-serif" w:hAnsi="Times New Roman;sans-serif"/>
          <w:b w:val="false"/>
          <w:color w:val="000000"/>
          <w:sz w:val="20"/>
          <w:shd w:fill="FFFFFF" w:val="clear"/>
        </w:rPr>
        <w:t xml:space="preserve">ge from </w:t>
      </w:r>
      <w:r>
        <w:rPr>
          <w:rFonts w:ascii="Times New Roman;sans-serif" w:hAnsi="Times New Roman;sans-serif"/>
          <w:b w:val="false"/>
          <w:color w:val="000000"/>
          <w:sz w:val="20"/>
        </w:rPr>
        <w:t>$1 thousand</w:t>
      </w:r>
      <w:r>
        <w:rPr>
          <w:color w:val="000000"/>
          <w:shd w:fill="FFFFFF" w:val="clear"/>
        </w:rPr>
        <w:t xml:space="preserve"> </w:t>
      </w:r>
      <w:r>
        <w:rPr>
          <w:rFonts w:ascii="Times New Roman;sans-serif" w:hAnsi="Times New Roman;sans-serif"/>
          <w:b w:val="false"/>
          <w:color w:val="000000"/>
          <w:sz w:val="20"/>
          <w:shd w:fill="FFFFFF" w:val="clear"/>
        </w:rPr>
        <w:t xml:space="preserve">to </w:t>
      </w:r>
      <w:r>
        <w:rPr>
          <w:rFonts w:ascii="Times New Roman;sans-serif" w:hAnsi="Times New Roman;sans-serif"/>
          <w:b w:val="false"/>
          <w:color w:val="000000"/>
          <w:sz w:val="20"/>
        </w:rPr>
        <w:t>$19 thousand</w:t>
      </w:r>
      <w:r>
        <w:rPr>
          <w:color w:val="000000"/>
          <w:shd w:fill="FFFFFF" w:val="clear"/>
        </w:rPr>
        <w:t xml:space="preserve"> </w:t>
      </w:r>
      <w:r>
        <w:rPr>
          <w:rFonts w:ascii="Times New Roman;sans-serif" w:hAnsi="Times New Roman;sans-serif"/>
          <w:b w:val="false"/>
          <w:color w:val="000000"/>
          <w:sz w:val="20"/>
          <w:shd w:fill="FFFFFF" w:val="clear"/>
        </w:rPr>
        <w:t xml:space="preserve">and interest rates range from 0.4% to 3.5%.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due under all borrowing agreements in each of the five years and thereafter subsequent to December 31, 2023 are as follows (in thousands):</w:t>
      </w:r>
    </w:p>
    <w:p>
      <w:pPr>
        <w:pStyle w:val="TextBody"/>
        <w:bidi w:val="0"/>
        <w:spacing w:lineRule="auto" w:line="288" w:before="0" w:after="0"/>
        <w:jc w:val="center"/>
        <w:rPr>
          <w:color w:val="000000"/>
        </w:rPr>
      </w:pPr>
      <w:r>
        <w:rPr>
          <w:color w:val="000000"/>
        </w:rPr>
        <w:t> </w:t>
      </w:r>
    </w:p>
    <w:tbl>
      <w:tblPr>
        <w:tblW w:w="2137" w:type="dxa"/>
        <w:jc w:val="center"/>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The Company performs fair value measurements in accordance with the guidance provided by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ASC 820 defines fair value as the price that would be received to sell an asset or paid to transfer a liability in an orderly transaction between market participants at the measurement date. It also establishes a three-level hierarchy that prioritizes the inputs used to measure fair value. The three levels of the hierarchy are defined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1 — Inputs are unadjusted quoted prices in active markets for identical assets or liabilities that the Company has the ability to access at the measurement date.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reflecting the Company’s own assumptions about inputs that market participants would use in pricing the asset or liability based on the best information available.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Financial instruments measured at fair value on a recurring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changes in the fair value of Level 3 contingent consideration (in thousands):</w:t>
      </w:r>
    </w:p>
    <w:tbl>
      <w:tblPr>
        <w:tblW w:w="5721" w:type="dxa"/>
        <w:jc w:val="left"/>
        <w:tblInd w:w="0" w:type="dxa"/>
        <w:tblLayout w:type="fixed"/>
        <w:tblCellMar>
          <w:top w:w="28" w:type="dxa"/>
          <w:left w:w="28" w:type="dxa"/>
          <w:bottom w:w="28" w:type="dxa"/>
          <w:right w:w="28" w:type="dxa"/>
        </w:tblCellMar>
      </w:tblPr>
      <w:tblGrid>
        <w:gridCol w:w="1195"/>
        <w:gridCol w:w="1051"/>
        <w:gridCol w:w="1054"/>
        <w:gridCol w:w="109"/>
        <w:gridCol w:w="109"/>
        <w:gridCol w:w="109"/>
        <w:gridCol w:w="211"/>
        <w:gridCol w:w="466"/>
        <w:gridCol w:w="109"/>
        <w:gridCol w:w="109"/>
        <w:gridCol w:w="109"/>
        <w:gridCol w:w="109"/>
        <w:gridCol w:w="211"/>
        <w:gridCol w:w="61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Financial instruments not measured at fair value on a recurring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current market conditions and borrower credit quality and has determined that the carrying value of its long-term debt approximates fair value. The fair value of the Company’s notes payable and finance lease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approximates their carrying amounts based on anticipated interest rates which management believes would currently be available to the Company for similar issuances of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Share-Based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share-based incentive awards to its eligible employees and non-employee directors under two equity incentive plans: (i) the 2009 Long-Term Incentive Plan (the "2009 Plan") and (ii) the 2016 Long-Term Incentive Plan (the "2016 Plan"). No awards have been granted under the 2009 Plan since the 2016 Plan was approved by stockholders in 2016, and the remaining option award granted under the 2009 Plan expired during the three months ended March 31, 2022. Awards granted under the 2016 Plan may be in the form of stock options, restricted stock units, restricted stock and other forms of share-based incentives, including performance-based restricted stock units, stock appreciation rights and deferred stock rights. At the annual stockholders meeting on May 23, 2022, the Company’s stockholders approved an amendment to increase the total number of shares that may be issued under the 2016 Plan by 1.2 million, for a total of 4.9 million shares that are authorized for issuance under the 2016 plan, of which approximately 1,400,000 shares were available for future grants as of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11, 2023, Mr. Stamatakis was granted an award of stock options to purchase 250,000 shares of common stock of the Company, with an exercise price of $5.36, the closing price of the Company's common stock as quoted on the New York Stock Exchange on the grant date (the "Options"). The Options were granted as an inducement for Mr. Stamatakis to accept the position of Interim President and CEO of Mistras and were therefore granted outside the 2016 Plan, as permitted by NYSE Rules. The Options can be exercised any time after the grant date until its expiration date, which is the earlier of 10 years from the grant date or one year following the date Mr. Stamatakis is no longer serving as an officer, director or in any other capacity of the Company. During the three months ended December 31, 2023, the Company recorded $0.8 million share-based compensation expenses related to the 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each of the years ended December 31, 2022 and 2021, the Company did not recognize any share-based compensation expense related to stock option awards, as the one outstanding stock option award was already fully vested. No unrecognized compensation costs remained related to the stock option awards. In addition, there were no stock options exercised during the years ended December 31, 2023, 2022 and 2021.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stock option activity, weighted-average exercise prices and options outstanding as of December 31, 2023, 2022 and 2021 as follows (in thousands, except per share amounts and years):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2"/>
        <w:gridCol w:w="660"/>
        <w:gridCol w:w="663"/>
        <w:gridCol w:w="255"/>
        <w:gridCol w:w="255"/>
        <w:gridCol w:w="256"/>
        <w:gridCol w:w="109"/>
        <w:gridCol w:w="109"/>
        <w:gridCol w:w="109"/>
        <w:gridCol w:w="211"/>
        <w:gridCol w:w="511"/>
        <w:gridCol w:w="109"/>
        <w:gridCol w:w="109"/>
        <w:gridCol w:w="109"/>
        <w:gridCol w:w="109"/>
        <w:gridCol w:w="448"/>
        <w:gridCol w:w="448"/>
        <w:gridCol w:w="450"/>
        <w:gridCol w:w="109"/>
        <w:gridCol w:w="109"/>
        <w:gridCol w:w="109"/>
        <w:gridCol w:w="406"/>
        <w:gridCol w:w="1186"/>
        <w:gridCol w:w="209"/>
        <w:gridCol w:w="109"/>
        <w:gridCol w:w="109"/>
        <w:gridCol w:w="109"/>
        <w:gridCol w:w="255"/>
        <w:gridCol w:w="255"/>
        <w:gridCol w:w="256"/>
        <w:gridCol w:w="109"/>
        <w:gridCol w:w="109"/>
        <w:gridCol w:w="109"/>
        <w:gridCol w:w="211"/>
        <w:gridCol w:w="616"/>
        <w:gridCol w:w="158"/>
      </w:tblGrid>
      <w:tr>
        <w:trPr/>
        <w:tc>
          <w:tcPr>
            <w:tcW w:w="7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year:</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 or forfeited</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year:</w:t>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Issuances to Non-Employee Directors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its compensation program for non-employee directors, the Company makes semi-annual issuances of fully-vested common stock to its non-employee directors. A summary of the fully-vested common stock the Company issued to its non-employee directors, in connection with its non-employee director compensation, is as follows (in thousands): </w:t>
      </w:r>
    </w:p>
    <w:tbl>
      <w:tblPr>
        <w:tblW w:w="6191" w:type="dxa"/>
        <w:jc w:val="left"/>
        <w:tblInd w:w="0" w:type="dxa"/>
        <w:tblLayout w:type="fixed"/>
        <w:tblCellMar>
          <w:top w:w="28" w:type="dxa"/>
          <w:left w:w="28" w:type="dxa"/>
          <w:bottom w:w="28" w:type="dxa"/>
          <w:right w:w="28" w:type="dxa"/>
        </w:tblCellMar>
      </w:tblPr>
      <w:tblGrid>
        <w:gridCol w:w="1134"/>
        <w:gridCol w:w="996"/>
        <w:gridCol w:w="1004"/>
        <w:gridCol w:w="211"/>
        <w:gridCol w:w="466"/>
        <w:gridCol w:w="109"/>
        <w:gridCol w:w="109"/>
        <w:gridCol w:w="109"/>
        <w:gridCol w:w="109"/>
        <w:gridCol w:w="211"/>
        <w:gridCol w:w="466"/>
        <w:gridCol w:w="109"/>
        <w:gridCol w:w="109"/>
        <w:gridCol w:w="109"/>
        <w:gridCol w:w="109"/>
        <w:gridCol w:w="211"/>
        <w:gridCol w:w="46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issued</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fair value of awards issued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Restricted Stock Unit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generally vest ratably on each of the first four anniversary dates of issuance. The Company recognized approximately $4.9 million, $3.7 million and $3.5 million of share-based compensation for the years ended December 31, 2023, 2022 and 2021, respectively, related to restricted stock unit awards. As of December 31, 2023, there was approximately $6.9 million of unrecognized compensation costs, net of estimated forfeitures, related to restricted stock unit awards, which are expected to be recognized over a remaining weighted average period of 2.5 years. Upon vesting, restricted stock units are generally net share-settled to cover the required minimum withholding tax and the remaining amount is converted into an equivalent number of shares of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vesting activity of restricted stock unit awards, with the respective fair value of the awards, is as follows (in thousands):</w:t>
      </w:r>
    </w:p>
    <w:tbl>
      <w:tblPr>
        <w:tblW w:w="6687" w:type="dxa"/>
        <w:jc w:val="center"/>
        <w:tblInd w:w="0" w:type="dxa"/>
        <w:tblLayout w:type="fixed"/>
        <w:tblCellMar>
          <w:top w:w="28" w:type="dxa"/>
          <w:left w:w="28" w:type="dxa"/>
          <w:bottom w:w="28" w:type="dxa"/>
          <w:right w:w="28" w:type="dxa"/>
        </w:tblCellMar>
      </w:tblPr>
      <w:tblGrid>
        <w:gridCol w:w="1151"/>
        <w:gridCol w:w="1011"/>
        <w:gridCol w:w="1018"/>
        <w:gridCol w:w="211"/>
        <w:gridCol w:w="616"/>
        <w:gridCol w:w="109"/>
        <w:gridCol w:w="109"/>
        <w:gridCol w:w="109"/>
        <w:gridCol w:w="109"/>
        <w:gridCol w:w="211"/>
        <w:gridCol w:w="616"/>
        <w:gridCol w:w="109"/>
        <w:gridCol w:w="109"/>
        <w:gridCol w:w="109"/>
        <w:gridCol w:w="109"/>
        <w:gridCol w:w="211"/>
        <w:gridCol w:w="61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issued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date fair value of awards issued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outstanding, non-vested restricted share units is as follows (in thousands, except per share amounts and years):</w:t>
      </w:r>
    </w:p>
    <w:tbl>
      <w:tblPr>
        <w:tblW w:w="10069" w:type="dxa"/>
        <w:jc w:val="center"/>
        <w:tblInd w:w="0" w:type="dxa"/>
        <w:tblLayout w:type="fixed"/>
        <w:tblCellMar>
          <w:top w:w="28" w:type="dxa"/>
          <w:left w:w="28" w:type="dxa"/>
          <w:bottom w:w="28" w:type="dxa"/>
          <w:right w:w="28" w:type="dxa"/>
        </w:tblCellMar>
      </w:tblPr>
      <w:tblGrid>
        <w:gridCol w:w="1103"/>
        <w:gridCol w:w="968"/>
        <w:gridCol w:w="973"/>
        <w:gridCol w:w="308"/>
        <w:gridCol w:w="308"/>
        <w:gridCol w:w="161"/>
        <w:gridCol w:w="109"/>
        <w:gridCol w:w="109"/>
        <w:gridCol w:w="109"/>
        <w:gridCol w:w="255"/>
        <w:gridCol w:w="617"/>
        <w:gridCol w:w="132"/>
        <w:gridCol w:w="109"/>
        <w:gridCol w:w="109"/>
        <w:gridCol w:w="109"/>
        <w:gridCol w:w="308"/>
        <w:gridCol w:w="308"/>
        <w:gridCol w:w="161"/>
        <w:gridCol w:w="109"/>
        <w:gridCol w:w="109"/>
        <w:gridCol w:w="109"/>
        <w:gridCol w:w="226"/>
        <w:gridCol w:w="661"/>
        <w:gridCol w:w="118"/>
        <w:gridCol w:w="109"/>
        <w:gridCol w:w="109"/>
        <w:gridCol w:w="109"/>
        <w:gridCol w:w="308"/>
        <w:gridCol w:w="308"/>
        <w:gridCol w:w="161"/>
        <w:gridCol w:w="109"/>
        <w:gridCol w:w="109"/>
        <w:gridCol w:w="109"/>
        <w:gridCol w:w="225"/>
        <w:gridCol w:w="659"/>
        <w:gridCol w:w="166"/>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xml:space="preserve">Grant-Date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xml:space="preserve">Grant-Date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xml:space="preserve">Grant-Date </w:t>
              <w:br/>
              <w:t>Fair Value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Performance Restricted Stock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Performance Restricted Stock Units ("PRSUs") that have been granted to select executives and senior officers whose ultimate payouts may vary between zero and 200% of the target award, based on the Company’s performance over a one-year period based on specific metrics approved by the Compensation Committee of the Board of Directors of the Company.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2022, the Compensation Committee of the Board of Directors utilized the same performance metrics for the Company's PRSUs awarded in 2022 as it utilized for the 2021 PRSUs. The three metrics were:</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i/>
          <w:color w:val="000000"/>
          <w:sz w:val="20"/>
        </w:rPr>
        <w:t xml:space="preserve">Free Cash Flow </w:t>
      </w:r>
      <w:r>
        <w:rPr>
          <w:rFonts w:ascii="Times New Roman;sans-serif" w:hAnsi="Times New Roman;sans-serif"/>
          <w:b w:val="false"/>
          <w:color w:val="000000"/>
          <w:sz w:val="20"/>
        </w:rPr>
        <w:t>defined as</w:t>
      </w:r>
      <w:r>
        <w:rPr>
          <w:color w:val="000000"/>
        </w:rPr>
        <w:t xml:space="preserve"> </w:t>
      </w:r>
      <w:r>
        <w:rPr>
          <w:rFonts w:ascii="Times New Roman;sans-serif" w:hAnsi="Times New Roman;sans-serif"/>
          <w:b w:val="false"/>
          <w:color w:val="000000"/>
          <w:sz w:val="20"/>
        </w:rPr>
        <w:t>net cash provided by operating activities less purchases of property, plant, equipment and intangible assets and is subject to adjustments approved by the Compensation Committee.</w:t>
      </w:r>
    </w:p>
    <w:p>
      <w:pPr>
        <w:pStyle w:val="TextBody"/>
        <w:bidi w:val="0"/>
        <w:spacing w:lineRule="auto" w:line="288" w:before="0" w:after="0"/>
        <w:ind w:left="0" w:right="0" w:hanging="360"/>
        <w:jc w:val="both"/>
        <w:rPr/>
      </w:pPr>
      <w:r>
        <w:rPr>
          <w:rFonts w:ascii="Times New Roman;sans-serif" w:hAnsi="Times New Roman;sans-serif"/>
          <w:b w:val="false"/>
          <w:i/>
          <w:color w:val="000000"/>
          <w:sz w:val="20"/>
        </w:rPr>
        <w:t xml:space="preserve">2.Adjusted EBITDA </w:t>
      </w:r>
      <w:r>
        <w:rPr>
          <w:rFonts w:ascii="Times New Roman;sans-serif" w:hAnsi="Times New Roman;sans-serif"/>
          <w:b w:val="false"/>
          <w:color w:val="000000"/>
          <w:sz w:val="20"/>
        </w:rPr>
        <w:t xml:space="preserve">defined as net income attributable to the Company plus: interest expense, provision for income taxes, depreciation and amortization, share-based compensation expense and certain acquisition related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(including transaction due diligence costs and adjustments to the fair value of contingent consideration), foreign exchange (gain) loss and, if applicable, certain special items which are noted.</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i/>
          <w:color w:val="000000"/>
          <w:sz w:val="20"/>
        </w:rPr>
        <w:t>Total Shareholder Return ("TSR")</w:t>
      </w:r>
      <w:r>
        <w:rPr>
          <w:color w:val="000000"/>
        </w:rPr>
        <w:t xml:space="preserve"> </w:t>
      </w:r>
      <w:r>
        <w:rPr>
          <w:rFonts w:ascii="Times New Roman;sans-serif" w:hAnsi="Times New Roman;sans-serif"/>
          <w:b w:val="false"/>
          <w:color w:val="000000"/>
          <w:sz w:val="20"/>
        </w:rPr>
        <w:t xml:space="preserve">measures the total return to shareholders of the Company during 2021 versus the total return to the shareholders of 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2021), compared to the average share price during the 20-trading day period ending on the final measurement date (the last 20 trading days of 2022). Any cash dividends or distributions paid in 2022 were added to calculate the return to shareholders during the year. TSR is considered a market condition for which the fair value of PRSUs with this condition is determined using a Monte Carlo valuation model. Key assumptions in the Monte Carlo valuation model included: </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i/>
          <w:color w:val="000000"/>
          <w:sz w:val="20"/>
        </w:rPr>
        <w:t xml:space="preserve">Expected Volatility. </w:t>
      </w:r>
      <w:r>
        <w:rPr>
          <w:rFonts w:ascii="Times New Roman;sans-serif" w:hAnsi="Times New Roman;sans-serif"/>
          <w:b w:val="false"/>
          <w:color w:val="000000"/>
          <w:sz w:val="20"/>
        </w:rPr>
        <w:t xml:space="preserve">Expected volatility of the Company’s common stock at the date of grant was estimated based on a historical average volatility rate for the approximate 1-year performance period. </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i/>
          <w:color w:val="000000"/>
          <w:sz w:val="20"/>
        </w:rPr>
        <w:t>Dividend Yield</w:t>
      </w:r>
      <w:r>
        <w:rPr>
          <w:rFonts w:ascii="Times New Roman;sans-serif" w:hAnsi="Times New Roman;sans-serif"/>
          <w:b w:val="false"/>
          <w:color w:val="000000"/>
          <w:sz w:val="20"/>
        </w:rPr>
        <w:t xml:space="preserve">. The dividend yield assumption was based on historical and anticipated dividend payouts (assumed at zero). </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i/>
          <w:color w:val="000000"/>
          <w:sz w:val="20"/>
        </w:rPr>
        <w:t>Risk-Free Interest Rate</w:t>
      </w:r>
      <w:r>
        <w:rPr>
          <w:rFonts w:ascii="Times New Roman;sans-serif" w:hAnsi="Times New Roman;sans-serif"/>
          <w:b w:val="false"/>
          <w:color w:val="000000"/>
          <w:sz w:val="20"/>
        </w:rPr>
        <w:t>. The risk-free interest rate assumption was based on observed interest rates consistent with the approximate 1-year performance measurement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2023, the Compensation Committee of the Board of Directors used different performance metrics for PRSUs approved in that year. The three metrics are:</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i/>
          <w:color w:val="000000"/>
          <w:sz w:val="20"/>
        </w:rPr>
        <w:t xml:space="preserve">Free Cash Flow </w:t>
      </w:r>
      <w:r>
        <w:rPr>
          <w:rFonts w:ascii="Times New Roman;sans-serif" w:hAnsi="Times New Roman;sans-serif"/>
          <w:b w:val="false"/>
          <w:color w:val="000000"/>
          <w:sz w:val="20"/>
        </w:rPr>
        <w:t>defined as</w:t>
      </w:r>
      <w:r>
        <w:rPr>
          <w:color w:val="000000"/>
        </w:rPr>
        <w:t xml:space="preserve"> </w:t>
      </w:r>
      <w:r>
        <w:rPr>
          <w:rFonts w:ascii="Times New Roman;sans-serif" w:hAnsi="Times New Roman;sans-serif"/>
          <w:b w:val="false"/>
          <w:color w:val="000000"/>
          <w:sz w:val="20"/>
        </w:rPr>
        <w:t>net cash provided by operating activities less purchases of property, plant, equipment and intangible assets and is subject to adjustments approved by the Compensation Committee.</w:t>
      </w:r>
    </w:p>
    <w:p>
      <w:pPr>
        <w:pStyle w:val="TextBody"/>
        <w:bidi w:val="0"/>
        <w:spacing w:lineRule="auto" w:line="288" w:before="0" w:after="0"/>
        <w:ind w:left="0" w:right="0" w:hanging="360"/>
        <w:jc w:val="both"/>
        <w:rPr/>
      </w:pPr>
      <w:r>
        <w:rPr>
          <w:rFonts w:ascii="Times New Roman;sans-serif" w:hAnsi="Times New Roman;sans-serif"/>
          <w:b w:val="false"/>
          <w:i/>
          <w:color w:val="000000"/>
          <w:sz w:val="20"/>
        </w:rPr>
        <w:t xml:space="preserve">2.Adjusted EBITDA </w:t>
      </w:r>
      <w:r>
        <w:rPr>
          <w:rFonts w:ascii="Times New Roman;sans-serif" w:hAnsi="Times New Roman;sans-serif"/>
          <w:b w:val="false"/>
          <w:color w:val="000000"/>
          <w:sz w:val="20"/>
        </w:rPr>
        <w:t>defined as net income attributable to the Company plus: interest expense, provision for income taxes, depreciation and 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i/>
          <w:color w:val="000000"/>
          <w:sz w:val="20"/>
        </w:rPr>
        <w:t>Revenue</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Compensation cost related to the PRSUs with a market condition is not reversed if the market condition is not achieved, provided the employee requisite service has been rendered. Earned PRSUs generally vest ratably on each of the first four anniversary dates following completion of the performance period, for a total requisite service period of up to five years and have no dividend rights.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PRSU activity is presented as follows (in thousands, except per share amounts and years):</w:t>
      </w:r>
    </w:p>
    <w:tbl>
      <w:tblPr>
        <w:tblW w:w="10052" w:type="dxa"/>
        <w:jc w:val="center"/>
        <w:tblInd w:w="0" w:type="dxa"/>
        <w:tblLayout w:type="fixed"/>
        <w:tblCellMar>
          <w:top w:w="28" w:type="dxa"/>
          <w:left w:w="28" w:type="dxa"/>
          <w:bottom w:w="28" w:type="dxa"/>
          <w:right w:w="28" w:type="dxa"/>
        </w:tblCellMar>
      </w:tblPr>
      <w:tblGrid>
        <w:gridCol w:w="1206"/>
        <w:gridCol w:w="1059"/>
        <w:gridCol w:w="1064"/>
        <w:gridCol w:w="269"/>
        <w:gridCol w:w="271"/>
        <w:gridCol w:w="161"/>
        <w:gridCol w:w="109"/>
        <w:gridCol w:w="109"/>
        <w:gridCol w:w="109"/>
        <w:gridCol w:w="255"/>
        <w:gridCol w:w="617"/>
        <w:gridCol w:w="132"/>
        <w:gridCol w:w="109"/>
        <w:gridCol w:w="109"/>
        <w:gridCol w:w="109"/>
        <w:gridCol w:w="269"/>
        <w:gridCol w:w="271"/>
        <w:gridCol w:w="161"/>
        <w:gridCol w:w="109"/>
        <w:gridCol w:w="109"/>
        <w:gridCol w:w="109"/>
        <w:gridCol w:w="226"/>
        <w:gridCol w:w="661"/>
        <w:gridCol w:w="118"/>
        <w:gridCol w:w="109"/>
        <w:gridCol w:w="109"/>
        <w:gridCol w:w="109"/>
        <w:gridCol w:w="233"/>
        <w:gridCol w:w="233"/>
        <w:gridCol w:w="161"/>
        <w:gridCol w:w="109"/>
        <w:gridCol w:w="109"/>
        <w:gridCol w:w="109"/>
        <w:gridCol w:w="225"/>
        <w:gridCol w:w="659"/>
        <w:gridCol w:w="166"/>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xml:space="preserve">Grant-Date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xml:space="preserve">Grant-Date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xml:space="preserve">Grant-Date </w:t>
              <w:br/>
              <w:t>Fair Value</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condition adjustments, net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282,000 PRSUs were granted. There was a 305,000 net unit reduction to these awards, which represents Company performance below target, during the year ended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341,000 PRSUs were granted. There was a 285,000 net unit reduction to these awards, which represents Company performance below target, during the year ended December 31, 2022.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189,000 PRSUs were granted. There was a 56,000 unit reduction to these awards, which represents Company performance against target, during the year ended December 31,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all PRSUs described above was $0.7 million, $1.2 million, and $1.4 million for the years ended December 31, 2023, 2022 and 2021, respectively. At December 31, 2023, there was $0.2 million of total unrecognized compensation costs related to approximately 60,000 unvested performance restricted stock units. These costs are expected to be recognized over a weighted-average period of approximately 1.5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the income tax benefit recognized on all share based compensation arrangements referenced above was approximately $0.8 million, $1.6 million, and $1.4 million,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14. Income Taxes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(benefit) for income taxes is as follows (in thousands):</w:t>
      </w:r>
    </w:p>
    <w:p>
      <w:pPr>
        <w:pStyle w:val="TextBody"/>
        <w:bidi w:val="0"/>
        <w:spacing w:lineRule="auto" w:line="288" w:before="0" w:after="0"/>
        <w:jc w:val="left"/>
        <w:rPr>
          <w:color w:val="000000"/>
        </w:rPr>
      </w:pPr>
      <w:r>
        <w:rPr>
          <w:color w:val="000000"/>
        </w:rPr>
        <w:t> </w:t>
      </w:r>
    </w:p>
    <w:tbl>
      <w:tblPr>
        <w:tblW w:w="8861" w:type="dxa"/>
        <w:jc w:val="left"/>
        <w:tblInd w:w="0" w:type="dxa"/>
        <w:tblLayout w:type="fixed"/>
        <w:tblCellMar>
          <w:top w:w="28" w:type="dxa"/>
          <w:left w:w="28" w:type="dxa"/>
          <w:bottom w:w="28" w:type="dxa"/>
          <w:right w:w="28" w:type="dxa"/>
        </w:tblCellMar>
      </w:tblPr>
      <w:tblGrid>
        <w:gridCol w:w="1872"/>
        <w:gridCol w:w="1648"/>
        <w:gridCol w:w="1654"/>
        <w:gridCol w:w="211"/>
        <w:gridCol w:w="796"/>
        <w:gridCol w:w="109"/>
        <w:gridCol w:w="109"/>
        <w:gridCol w:w="109"/>
        <w:gridCol w:w="109"/>
        <w:gridCol w:w="211"/>
        <w:gridCol w:w="616"/>
        <w:gridCol w:w="109"/>
        <w:gridCol w:w="109"/>
        <w:gridCol w:w="109"/>
        <w:gridCol w:w="109"/>
        <w:gridCol w:w="211"/>
        <w:gridCol w:w="616"/>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(benefit) for income taxes from:</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(benefit)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consists of the following (in thousands):</w:t>
      </w:r>
    </w:p>
    <w:p>
      <w:pPr>
        <w:pStyle w:val="TextBody"/>
        <w:bidi w:val="0"/>
        <w:spacing w:lineRule="auto" w:line="288" w:before="0" w:after="0"/>
        <w:jc w:val="left"/>
        <w:rPr>
          <w:color w:val="000000"/>
        </w:rPr>
      </w:pPr>
      <w:r>
        <w:rPr>
          <w:color w:val="000000"/>
        </w:rPr>
        <w:t> </w:t>
      </w:r>
    </w:p>
    <w:tbl>
      <w:tblPr>
        <w:tblW w:w="7076" w:type="dxa"/>
        <w:jc w:val="left"/>
        <w:tblInd w:w="0" w:type="dxa"/>
        <w:tblLayout w:type="fixed"/>
        <w:tblCellMar>
          <w:top w:w="28" w:type="dxa"/>
          <w:left w:w="28" w:type="dxa"/>
          <w:bottom w:w="28" w:type="dxa"/>
          <w:right w:w="28" w:type="dxa"/>
        </w:tblCellMar>
      </w:tblPr>
      <w:tblGrid>
        <w:gridCol w:w="1265"/>
        <w:gridCol w:w="1109"/>
        <w:gridCol w:w="1120"/>
        <w:gridCol w:w="211"/>
        <w:gridCol w:w="691"/>
        <w:gridCol w:w="109"/>
        <w:gridCol w:w="109"/>
        <w:gridCol w:w="109"/>
        <w:gridCol w:w="109"/>
        <w:gridCol w:w="211"/>
        <w:gridCol w:w="616"/>
        <w:gridCol w:w="109"/>
        <w:gridCol w:w="109"/>
        <w:gridCol w:w="109"/>
        <w:gridCol w:w="109"/>
        <w:gridCol w:w="211"/>
        <w:gridCol w:w="61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States and local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uncertain tax positions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 (benefit)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States and local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uncertain tax positions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benefit</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valuation allowance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benefit</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(benefit)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differs from the amount computed by applying the statutory federal tax rate to income tax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191"/>
        <w:gridCol w:w="961"/>
        <w:gridCol w:w="963"/>
        <w:gridCol w:w="211"/>
        <w:gridCol w:w="680"/>
        <w:gridCol w:w="109"/>
        <w:gridCol w:w="109"/>
        <w:gridCol w:w="109"/>
        <w:gridCol w:w="109"/>
        <w:gridCol w:w="285"/>
        <w:gridCol w:w="288"/>
        <w:gridCol w:w="271"/>
        <w:gridCol w:w="109"/>
        <w:gridCol w:w="109"/>
        <w:gridCol w:w="109"/>
        <w:gridCol w:w="211"/>
        <w:gridCol w:w="616"/>
        <w:gridCol w:w="109"/>
        <w:gridCol w:w="109"/>
        <w:gridCol w:w="109"/>
        <w:gridCol w:w="109"/>
        <w:gridCol w:w="285"/>
        <w:gridCol w:w="288"/>
        <w:gridCol w:w="271"/>
        <w:gridCol w:w="109"/>
        <w:gridCol w:w="109"/>
        <w:gridCol w:w="109"/>
        <w:gridCol w:w="211"/>
        <w:gridCol w:w="616"/>
        <w:gridCol w:w="109"/>
        <w:gridCol w:w="109"/>
        <w:gridCol w:w="109"/>
        <w:gridCol w:w="109"/>
        <w:gridCol w:w="285"/>
        <w:gridCol w:w="288"/>
        <w:gridCol w:w="322"/>
      </w:tblGrid>
      <w:tr>
        <w:trPr/>
        <w:tc>
          <w:tcPr>
            <w:tcW w:w="11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years ended December 31, </w:t>
            </w:r>
          </w:p>
        </w:tc>
      </w:tr>
      <w:tr>
        <w:trPr/>
        <w:tc>
          <w:tcPr>
            <w:tcW w:w="3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taxation of foreign earnings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&amp; Development Credit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tax rate changes</w:t>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(benefit)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permanent differences identified above include normal recurring differences, such as meals, entertainment, and parking fringe benefits as well as a portion of the goodwill impairment charge.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June 28, 2019, the Canadian province of Alberta enacted the Job Creation Tax Cut which reduced the Alberta corporate income tax rate from 12% to 11% starting in 2019 with further annual reductions to 10% in 2020, 9% in 2021, and 8% in 2022.</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March 27, 2020, the United States enacted the Coronavirus Aid, Relief, and Economic Security Act (CARES Act). The CARES Act is an approximately $2 trillion emergency economic stimulus package in response to the Coronavirus outbreak, which among other things contains numerous income tax provisions.</w:t>
      </w:r>
      <w:r>
        <w:rPr>
          <w:color w:val="000000"/>
        </w:rPr>
        <w:t xml:space="preserve"> </w:t>
      </w:r>
      <w:r>
        <w:rPr>
          <w:rFonts w:ascii="Times New Roman;sans-serif" w:hAnsi="Times New Roman;sans-serif"/>
          <w:b w:val="false"/>
          <w:color w:val="000000"/>
          <w:sz w:val="20"/>
        </w:rPr>
        <w:t>Some of these tax provisions are effective retroactively for years ending before the date of enactment.</w:t>
      </w:r>
      <w:r>
        <w:rPr>
          <w:color w:val="000000"/>
        </w:rPr>
        <w:t xml:space="preserve"> </w:t>
      </w:r>
      <w:r>
        <w:rPr>
          <w:rFonts w:ascii="Times New Roman;sans-serif" w:hAnsi="Times New Roman;sans-serif"/>
          <w:b w:val="false"/>
          <w:color w:val="000000"/>
          <w:sz w:val="20"/>
        </w:rPr>
        <w:t xml:space="preserve">The CARES Act provides a five-year carryback of net operating losses generated in years 2018 through 2020. As the statutory federal income tax rate applicable to certain years within the carryback period is 35%, carryback to those years of our estimated 2020 annual federal tax loss provides a tax benefit in excess of the current federal statutory rate of 21%, resulting in an increased income tax benefit of $1.9 million. The income tax effects of the CARES Act resulted in a cash refund of approximately $4.9 million in 2021 of taxes paid in prior years.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The Appropriations Act did not have a material impact on our</w:t>
      </w:r>
      <w:r>
        <w:rPr>
          <w:color w:val="080808"/>
        </w:rPr>
        <w:t xml:space="preserve"> </w:t>
      </w:r>
      <w:r>
        <w:rPr>
          <w:rFonts w:ascii="Times New Roman;sans-serif" w:hAnsi="Times New Roman;sans-serif"/>
          <w:b w:val="false"/>
          <w:color w:val="080808"/>
          <w:sz w:val="20"/>
        </w:rPr>
        <w:t>consolidated financial position, results of operations, and cash flows</w:t>
      </w:r>
      <w:r>
        <w:rPr>
          <w:rFonts w:ascii="Times New Roman;sans-serif" w:hAnsi="Times New Roman;sans-serif"/>
          <w:b w:val="false"/>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response to the COVID-19 pandemic, the American Rescue Plan Act was signed into law on March 11, 2021.</w:t>
      </w:r>
      <w:r>
        <w:rPr>
          <w:color w:val="000000"/>
        </w:rPr>
        <w:t xml:space="preserve"> </w:t>
      </w:r>
      <w:r>
        <w:rPr>
          <w:rFonts w:ascii="Times New Roman;sans-serif" w:hAnsi="Times New Roman;sans-serif"/>
          <w:b w:val="false"/>
          <w:color w:val="000000"/>
          <w:sz w:val="20"/>
        </w:rPr>
        <w:t>This act, among other things, provides economic relief provisions to individuals and funding to certain businesses and programs.</w:t>
      </w:r>
      <w:r>
        <w:rPr>
          <w:color w:val="000000"/>
        </w:rPr>
        <w:t xml:space="preserve"> </w:t>
      </w:r>
      <w:r>
        <w:rPr>
          <w:rFonts w:ascii="Times New Roman;sans-serif" w:hAnsi="Times New Roman;sans-serif"/>
          <w:b w:val="false"/>
          <w:color w:val="000000"/>
          <w:sz w:val="20"/>
        </w:rPr>
        <w:t>This guidance did not have a material impact on our</w:t>
      </w:r>
      <w:r>
        <w:rPr>
          <w:color w:val="080808"/>
        </w:rPr>
        <w:t xml:space="preserve"> </w:t>
      </w:r>
      <w:r>
        <w:rPr>
          <w:rFonts w:ascii="Times New Roman;sans-serif" w:hAnsi="Times New Roman;sans-serif"/>
          <w:b w:val="false"/>
          <w:color w:val="000000"/>
          <w:sz w:val="20"/>
        </w:rPr>
        <w:t xml:space="preserve">consolidated financial position, results of operations, and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United States enacted the Inflation Reduction Act (“IRA”) of 2022 (Public Law No. 117-169), which includes a 15% book minimum tax on corporations with financial accounting profits over 1 billion US dollars (USD) and a 1% excise tax on certain stock buybacks. The IRA also contains numerous clean energy tax incentives related to electricity production, carbon sequestration, alternative vehicles and fuels, and residential and commercial energy efficiency. The company does not expect this act to have a material impact.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attributes resulting from differences between financial accounting amounts and income tax basis of assets and liabilities are as follows (in thousands):</w:t>
      </w:r>
    </w:p>
    <w:tbl>
      <w:tblPr>
        <w:tblW w:w="5439" w:type="dxa"/>
        <w:jc w:val="left"/>
        <w:tblInd w:w="0" w:type="dxa"/>
        <w:tblLayout w:type="fixed"/>
        <w:tblCellMar>
          <w:top w:w="28" w:type="dxa"/>
          <w:left w:w="28" w:type="dxa"/>
          <w:bottom w:w="28" w:type="dxa"/>
          <w:right w:w="28" w:type="dxa"/>
        </w:tblCellMar>
      </w:tblPr>
      <w:tblGrid>
        <w:gridCol w:w="1079"/>
        <w:gridCol w:w="950"/>
        <w:gridCol w:w="956"/>
        <w:gridCol w:w="211"/>
        <w:gridCol w:w="721"/>
        <w:gridCol w:w="109"/>
        <w:gridCol w:w="109"/>
        <w:gridCol w:w="109"/>
        <w:gridCol w:w="109"/>
        <w:gridCol w:w="211"/>
        <w:gridCol w:w="721"/>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income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stock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carryforward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income tax 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no federal net operating loss carry forwards (NOLs). In addition, as of December 31, 2023, the Company had state and foreign NOLs of $10.4 million and $15.0 million, respectively. Approximately $4.6 million of the state NOLs expire at various times from 2031 to 2040, while the remainder of the Company's state NOLs do not expire. Approximately $2.8 million of the foreign NOLs expire at various times from 2023 to 2041, while the remainder of the Company's foreign NOLs do not expire.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ability to realize deferred tax assets, management considers whether it is more likely than not that some portion or all of the deferred tax assets will be realized. Valuation allowances are provided when management believes the Company's deferred tax assets are not recoverable based on future reversals of existing taxable temporary differences, taxable income in prior carryback year(s) if carryback is permitted under the tax law, and an assessment of estimated future taxable income, exclusive of reversing temporary differences and carryforwards, that incorporates ongoing, prudent and feasible tax planning strategies. At December 31, 2023 and December 31, 2022, the Company has a valuation allowance of approximately $6.0 million and $7.8 million, respectively, primarily against certain state and foreign NOLs and other specific deferred tax assets. The net increase in the valuation allowance of approximately $1.8 million is primarily attributable to state and foreign net operating losses and changes in foreign exchange rates, offset by a reduction of expiring losses. Except for those deferred tax assets subject to the valuation allowance, management believes that it will realize all deferred tax assets as a result of sufficient future taxable income in each tax jurisdiction in which the Company has deferred tax assets. .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Company’s gross unrecognized tax benefits, excluding interest and penalties (in thousands):</w:t>
      </w:r>
    </w:p>
    <w:tbl>
      <w:tblPr>
        <w:tblW w:w="7631" w:type="dxa"/>
        <w:jc w:val="left"/>
        <w:tblInd w:w="0" w:type="dxa"/>
        <w:tblLayout w:type="fixed"/>
        <w:tblCellMar>
          <w:top w:w="28" w:type="dxa"/>
          <w:left w:w="28" w:type="dxa"/>
          <w:bottom w:w="28" w:type="dxa"/>
          <w:right w:w="28" w:type="dxa"/>
        </w:tblCellMar>
      </w:tblPr>
      <w:tblGrid>
        <w:gridCol w:w="1837"/>
        <w:gridCol w:w="1614"/>
        <w:gridCol w:w="1619"/>
        <w:gridCol w:w="278"/>
        <w:gridCol w:w="615"/>
        <w:gridCol w:w="143"/>
        <w:gridCol w:w="143"/>
        <w:gridCol w:w="143"/>
        <w:gridCol w:w="143"/>
        <w:gridCol w:w="278"/>
        <w:gridCol w:w="615"/>
        <w:gridCol w:w="203"/>
      </w:tblGrid>
      <w:tr>
        <w:trPr/>
        <w:tc>
          <w:tcPr>
            <w:tcW w:w="183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the current fiscal period</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prior years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related to the expiration of statutes of limitations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the unrecognized tax benefits in other long-term liabilities in the consolidated balance sheets. As of December 31, 2023 and December 31, 2022, there were approximately $0.3 million and $0.3 million of unrecognized tax benefits, respectively, including penalties and interest. If the Company recognized these unrecognized tax benefits, approximately $0.3 million and $0.3 million would favorably affect the effective tax rate for both December 31, 2023 and December 31, 2022, respectively. Interest and penalties related to unrecognized tax benefits are recorded in income tax expense and are not significant for the years ended December 31, 2023, 2022 and 2021. The Company anticipates a decrease to its unrecognized tax benefits of $0.1 million excluding interest and penalties within the next 12 months.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United States and various states and foreign jurisdictions. The Company is no longer subject to U.S. federal income tax examinations for years ending before December 31, 2017 and generally is no longer subject to state, local or foreign income tax examinations by tax authorities for years ending before December 31, 2019. Currently the Company is undergoing a federal tax audit for years ending December 31, 2018 through December 31, 2020.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noted, the Tax Act made significant changes to the taxation of undistributed earnings, requiring that all previously untaxed earnings and profits of the Company's controlled foreign operations be subjected to the transition tax. Since these earnings have now been subjected to U.S. federal tax, they would only be potentially subject to limited other taxes, including foreign withholding and certain state taxes. As of December 31, 2023, the Company has not recognized a deferred tax liability for foreign withholdings and state taxes on its undistributed international earnings or losses of its foreign subsidiaries since it intends to indefinitely reinvest the earnings outside the United States. The Company has estimated $73.3 million of unremitted international earnings which provides an unrecorded deferred tax liability related to undistributed international earnings is approximately $1.5 million.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Employee Benefit Plans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three months of continuous service. Under this plan, the Company matches 50% of the employee’s contributions up to 6% of the employee’s annual compensation, as defined by the plan. There is a five-year vesting schedule for the Company match.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2021, the Company re-installed the employer match which was previously suspended as part of the Company's cost reduction initiatives undertaken in 2020 due to the COVID-19 pandemic. The Company’s contribution to the plan was $3.9 million, $3.0 million, and $1.2 million for the years ended December 31, 2023, 2022 and 2021, respectively.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subsidiary participated with other employers in contributing to the Boilermaker-Blacksmith National Pension Trust (EIN 48-6168020) (“Boilermakers”) and Plumbers and Pipefitters National Pension Fund (EIN 52-6152779) (“Pipefitters”), multi-employer defined benefit pension plans, which cover certain U.S. based union employees. The plans provide pension benefits with contribution rates that are collectively bargained between participating employers and their affiliated Boilermakers and Pipefitters local unions. Both the Boilermakers and Pipefitters plans are approximately 80 percent funded as of the latest Form 5500 filed, respectively. The Company did not make any contributions to the Boilermakers plan during the years ended December 31, 2023 and 2022 while making de minimis contributions to the Pipefitters plan during the same periods. See Note</w:t>
      </w:r>
      <w:r>
        <w:rPr>
          <w:color w:val="000000"/>
        </w:rPr>
        <w:t xml:space="preserve"> </w:t>
      </w:r>
      <w:r>
        <w:rPr>
          <w:rFonts w:ascii="Times New Roman;sans-serif" w:hAnsi="Times New Roman;sans-serif"/>
          <w:b w:val="false"/>
          <w:i/>
          <w:color w:val="000000"/>
          <w:sz w:val="20"/>
        </w:rPr>
        <w:t xml:space="preserve">18-Commitments and Contingencies, Pension Related Contingencies, </w:t>
      </w:r>
      <w:r>
        <w:rPr>
          <w:rFonts w:ascii="Times New Roman;sans-serif" w:hAnsi="Times New Roman;sans-serif"/>
          <w:b w:val="false"/>
          <w:color w:val="000000"/>
          <w:sz w:val="20"/>
        </w:rPr>
        <w:t>for additional detail.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other benefit plans covering certain employees throughout the Company. Amounts charged to expense under these plans were not significant in any year.</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The Company leases its headquarters under an operating lease from a stockholder and director of the Company. On August 1, 2014, the Company extended its lease at its headquarters requiring monthly payments through October 2024. Total rent payments made during the year ended December 31, 2023 were approximately $1.0 million. See Note </w:t>
      </w:r>
      <w:r>
        <w:rPr>
          <w:rFonts w:ascii="Times New Roman;sans-serif" w:hAnsi="Times New Roman;sans-serif"/>
          <w:b w:val="false"/>
          <w:i/>
          <w:color w:val="000000"/>
          <w:sz w:val="20"/>
        </w:rPr>
        <w:t>17-Leases</w:t>
      </w:r>
      <w:r>
        <w:rPr>
          <w:color w:val="000000"/>
        </w:rPr>
        <w:t xml:space="preserve"> </w:t>
      </w:r>
      <w:r>
        <w:rPr>
          <w:rFonts w:ascii="Times New Roman;sans-serif" w:hAnsi="Times New Roman;sans-serif"/>
          <w:b w:val="false"/>
          <w:color w:val="000000"/>
          <w:sz w:val="20"/>
        </w:rPr>
        <w:t xml:space="preserve">for further detail.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receives benefits consulting services from Capital Management Enterprise (“CME”). Manuel N. Stamatakis, Chairman of our Board of Directors and our interim President and Chief Executive Officer, is the Chief Executive Officer of CME. The Company does not pay any fees to CME and any compensation CME receives related to work for the Company is received by commissions paid by the third-party benefit providers.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Leases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the Company's leases include one or more options to renew. When it is reasonably certain that the Company will exercise the option, the Company will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include the following related to operating leases as of December 31, 2023 and 2022 (in thousands):</w:t>
      </w:r>
    </w:p>
    <w:tbl>
      <w:tblPr>
        <w:tblW w:w="9092" w:type="dxa"/>
        <w:jc w:val="left"/>
        <w:tblInd w:w="0" w:type="dxa"/>
        <w:tblLayout w:type="fixed"/>
        <w:tblCellMar>
          <w:top w:w="28" w:type="dxa"/>
          <w:left w:w="28" w:type="dxa"/>
          <w:bottom w:w="28" w:type="dxa"/>
          <w:right w:w="28" w:type="dxa"/>
        </w:tblCellMar>
      </w:tblPr>
      <w:tblGrid>
        <w:gridCol w:w="784"/>
        <w:gridCol w:w="689"/>
        <w:gridCol w:w="701"/>
        <w:gridCol w:w="109"/>
        <w:gridCol w:w="109"/>
        <w:gridCol w:w="109"/>
        <w:gridCol w:w="1268"/>
        <w:gridCol w:w="1268"/>
        <w:gridCol w:w="1274"/>
        <w:gridCol w:w="109"/>
        <w:gridCol w:w="109"/>
        <w:gridCol w:w="109"/>
        <w:gridCol w:w="211"/>
        <w:gridCol w:w="721"/>
        <w:gridCol w:w="109"/>
        <w:gridCol w:w="109"/>
        <w:gridCol w:w="109"/>
        <w:gridCol w:w="109"/>
        <w:gridCol w:w="211"/>
        <w:gridCol w:w="721"/>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liability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liability -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ROU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Included within the balance of operating leases is a lease for the Company’s headquarters which is with a related party. The ROU liability for this facility is approximately $0.8 million as of December 31, 2023 and $1.8 million as of December 31, 2022. Total rent payments for this facility were approximately $1.0 million and $1.0 million during the years ended December 31, 2023 and 2022. An agreement was reached with the related party to reduce rental payments by 12.5% for the lease of the Company’s headquarters, effective February 2022 as part of a voluntary reduction.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total ROU assets attributable to finance leases are approximately $14.5 million and $13.0 million, respectively, which is included in Property, plant, and equipment, net on the Consolidated Balance Sheets.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for the year ended December 31, 2023 and 2022 are as follows (in thousands):</w:t>
      </w:r>
    </w:p>
    <w:tbl>
      <w:tblPr>
        <w:tblW w:w="10205" w:type="dxa"/>
        <w:jc w:val="left"/>
        <w:tblInd w:w="0" w:type="dxa"/>
        <w:tblLayout w:type="fixed"/>
        <w:tblCellMar>
          <w:top w:w="28" w:type="dxa"/>
          <w:left w:w="28" w:type="dxa"/>
          <w:bottom w:w="28" w:type="dxa"/>
          <w:right w:w="28" w:type="dxa"/>
        </w:tblCellMar>
      </w:tblPr>
      <w:tblGrid>
        <w:gridCol w:w="850"/>
        <w:gridCol w:w="728"/>
        <w:gridCol w:w="734"/>
        <w:gridCol w:w="109"/>
        <w:gridCol w:w="109"/>
        <w:gridCol w:w="109"/>
        <w:gridCol w:w="1598"/>
        <w:gridCol w:w="1583"/>
        <w:gridCol w:w="1600"/>
        <w:gridCol w:w="109"/>
        <w:gridCol w:w="109"/>
        <w:gridCol w:w="109"/>
        <w:gridCol w:w="211"/>
        <w:gridCol w:w="721"/>
        <w:gridCol w:w="109"/>
        <w:gridCol w:w="109"/>
        <w:gridCol w:w="109"/>
        <w:gridCol w:w="109"/>
        <w:gridCol w:w="211"/>
        <w:gridCol w:w="721"/>
        <w:gridCol w:w="158"/>
      </w:tblGrid>
      <w:tr>
        <w:trPr/>
        <w:tc>
          <w:tcPr>
            <w:tcW w:w="85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Selling, general &amp;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Selling, general &amp;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Selling, general &amp;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related to leases as of December 31, 2023 and 2022 is as follows:</w:t>
      </w:r>
    </w:p>
    <w:tbl>
      <w:tblPr>
        <w:tblW w:w="10205" w:type="dxa"/>
        <w:jc w:val="left"/>
        <w:tblInd w:w="0" w:type="dxa"/>
        <w:tblLayout w:type="fixed"/>
        <w:tblCellMar>
          <w:top w:w="28" w:type="dxa"/>
          <w:left w:w="28" w:type="dxa"/>
          <w:bottom w:w="28" w:type="dxa"/>
          <w:right w:w="28" w:type="dxa"/>
        </w:tblCellMar>
      </w:tblPr>
      <w:tblGrid>
        <w:gridCol w:w="2728"/>
        <w:gridCol w:w="2284"/>
        <w:gridCol w:w="2296"/>
        <w:gridCol w:w="109"/>
        <w:gridCol w:w="109"/>
        <w:gridCol w:w="109"/>
        <w:gridCol w:w="211"/>
        <w:gridCol w:w="616"/>
        <w:gridCol w:w="271"/>
        <w:gridCol w:w="109"/>
        <w:gridCol w:w="109"/>
        <w:gridCol w:w="109"/>
        <w:gridCol w:w="211"/>
        <w:gridCol w:w="616"/>
        <w:gridCol w:w="318"/>
      </w:tblGrid>
      <w:tr>
        <w:trPr/>
        <w:tc>
          <w:tcPr>
            <w:tcW w:w="2728"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for finance and operating leases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 financing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 operating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 operating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the exchange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as of December 31, 2023 is as follows (in thousands):</w:t>
      </w:r>
    </w:p>
    <w:tbl>
      <w:tblPr>
        <w:tblW w:w="4869" w:type="dxa"/>
        <w:jc w:val="left"/>
        <w:tblInd w:w="0" w:type="dxa"/>
        <w:tblLayout w:type="fixed"/>
        <w:tblCellMar>
          <w:top w:w="28" w:type="dxa"/>
          <w:left w:w="28" w:type="dxa"/>
          <w:bottom w:w="28" w:type="dxa"/>
          <w:right w:w="28" w:type="dxa"/>
        </w:tblCellMar>
      </w:tblPr>
      <w:tblGrid>
        <w:gridCol w:w="873"/>
        <w:gridCol w:w="766"/>
        <w:gridCol w:w="776"/>
        <w:gridCol w:w="211"/>
        <w:gridCol w:w="721"/>
        <w:gridCol w:w="109"/>
        <w:gridCol w:w="109"/>
        <w:gridCol w:w="109"/>
        <w:gridCol w:w="109"/>
        <w:gridCol w:w="211"/>
        <w:gridCol w:w="721"/>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Proceedings and Government Investigations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periodically involved in lawsuits, investigations and claims that arise in the ordinary course of business. The Company cannot predict with certainty the ultimate resolution of lawsuits, investigations and claims asserted against it. Except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possible losses from the matters described below,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Litigation and Commercial Claims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contracted to perform inspections of welds on various pipeline projects in Texas for a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filed a lawsuit in the District Court of Bexar County, Texas, 37th Judicial District, on December 17, 2019, in an action captioned Mistras Group, Inc. v. Epic Y-Grade Pipeline LP, to recover the $1.4 million and other amounts due to the Company. The customer filed a counterclaim on March 6, 2020, alleging breach of contract and seeking recovery of its alleged damages. On April 25, 2023, the parties agreed to settle all claims, and in July 2023, the parties executed a settlement agreement. As part of the settlement, the Company paid $0.3 million in July 2023 (which the Company estimates is significantly less than the cost of going to trial) and released its claim of $1.4 million for associated past due receivables, which were fully reserved for in prior periods. In the year ended December 31, 2022, the Company recorded a charge of $0.1 million for a potential loss from this matter. The Company recorded a reserve in the amount of $1.4 million during the twelve months ended December 31, 2019 for these past due receivables.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Two proceedings were filed in California Superior Court for the County of Los Angeles regarding alleged violations of the California Labor Code. Both cases were captioned </w:t>
      </w:r>
      <w:r>
        <w:rPr>
          <w:rFonts w:ascii="Times New Roman;sans-serif" w:hAnsi="Times New Roman;sans-serif"/>
          <w:b w:val="false"/>
          <w:i/>
          <w:color w:val="000000"/>
          <w:sz w:val="20"/>
        </w:rPr>
        <w:t>Justin Price v. Mistras Group, Inc.</w:t>
      </w:r>
      <w:r>
        <w:rPr>
          <w:rFonts w:ascii="Times New Roman;sans-serif" w:hAnsi="Times New Roman;sans-serif"/>
          <w:b w:val="false"/>
          <w:color w:val="000000"/>
          <w:sz w:val="20"/>
        </w:rPr>
        <w:t>, one being a purported class action lawsuit on behalf of current and former Mistras employees in California, filed on June 10, 2020, and the other was filed on September 18, 2020, on behalf of the State of California under the California Private Attorney General Act on the basis of the same alleged violations. The two cases were consolidated and payment was demanded for all damages, including unpaid wages, and various fines and penalties available under California law. On May 4, 2021, the Company agreed to a settlement of all claims in the cases, which was more formally documented pursuant to a settlement agreement completed October 5, 2021, as amended as of May 3, 2022. Pursuant to the settlement, the Company agreed to pay $2.3 million to resolve the allegations in these proceedings and to be responsible for the employer portion of payroll taxes on the amount of the settlement allocated to wages. The settlement as agreed upon by the parties received final court approval on September 26, 2022, and the Company paid the settlement proceeds and related payroll taxes to the claims administrator in the fourth quarter of 2022. The Company recorded expense of approximately $1.6 million during the three months ended March 31, 2021 related to this settlement, which is in addition to expense of $0.8 million the Company recorded during the three months ended December 31, 2020.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Pension Related Contingencies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Certain of Company’s subsidiaries had significant reductions in their unionized workers in 2018.</w:t>
      </w:r>
      <w:r>
        <w:rPr>
          <w:color w:val="000000"/>
        </w:rPr>
        <w:t xml:space="preserve"> </w:t>
      </w:r>
      <w:r>
        <w:rPr>
          <w:rFonts w:ascii="Times New Roman;sans-serif" w:hAnsi="Times New Roman;sans-serif"/>
          <w:b w:val="false"/>
          <w:color w:val="000000"/>
          <w:sz w:val="20"/>
        </w:rPr>
        <w:t>The collective bargaining agreements for the employees of this subsidiary required contributions for these employees to two national multi-employer pension funds.</w:t>
      </w:r>
      <w:r>
        <w:rPr>
          <w:color w:val="000000"/>
        </w:rPr>
        <w:t xml:space="preserve"> </w:t>
      </w:r>
      <w:r>
        <w:rPr>
          <w:rFonts w:ascii="Times New Roman;sans-serif" w:hAnsi="Times New Roman;sans-serif"/>
          <w:b w:val="false"/>
          <w:color w:val="000000"/>
          <w:sz w:val="20"/>
        </w:rPr>
        <w:t>The reduction in employees resulted in the subsidiary incurring a complete withdrawal to one of the pension funds under the Employee Retirement Income Security Act of 1974 ("ERISA"), which was fully satisfied in 2019.</w:t>
      </w:r>
      <w:r>
        <w:rPr>
          <w:color w:val="000000"/>
        </w:rPr>
        <w:t xml:space="preserve"> </w:t>
      </w:r>
      <w:r>
        <w:rPr>
          <w:rFonts w:ascii="Times New Roman;sans-serif" w:hAnsi="Times New Roman;sans-serif"/>
          <w:b w:val="false"/>
          <w:color w:val="000000"/>
          <w:sz w:val="20"/>
        </w:rPr>
        <w:t>The Company has determined that the subsidiary is likely to incur partial or complete withdrawal liability to the other pension fund. The balance of the estimated total amount of this potential liability as of December 31, 2023 is approximately $2.5 million, which was incurred in 2018 and 2019.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 and disposition related contingencies</w:t>
      </w:r>
    </w:p>
    <w:p>
      <w:pPr>
        <w:pStyle w:val="TextBody"/>
        <w:bidi w:val="0"/>
        <w:spacing w:lineRule="auto" w:line="288" w:before="0" w:after="0"/>
        <w:jc w:val="left"/>
        <w:rPr/>
      </w:pPr>
      <w:r>
        <w:rPr>
          <w:rFonts w:ascii="Times New Roman;sans-serif" w:hAnsi="Times New Roman;sans-serif"/>
          <w:b w:val="false"/>
          <w:color w:val="000000"/>
          <w:sz w:val="20"/>
        </w:rPr>
        <w:t>During 2018, the Company sold a subsidiary in the Products and Systems segment. As part of the sale, the Company entered into a three-year agreement to purchase products from the buyer, with a cumulative commitment of $2.3 million. On August 3, 2021, the parties amended the agreement and extended the period by 12 months</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As of December 31, 2022, the commitment was fully satisfied.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19. Segment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three operating segments are:</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North America.</w:t>
      </w:r>
      <w:r>
        <w:rPr>
          <w:color w:val="000000"/>
        </w:rPr>
        <w:t> </w:t>
      </w:r>
      <w:r>
        <w:rPr>
          <w:rFonts w:ascii="Times New Roman;sans-serif" w:hAnsi="Times New Roman;sans-serif"/>
          <w:b w:val="false"/>
          <w:color w:val="000000"/>
          <w:sz w:val="20"/>
        </w:rPr>
        <w:t>This segment provides asset protection solutions with the largest concentration in the United 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International.</w:t>
      </w:r>
      <w:r>
        <w:rPr>
          <w:color w:val="000000"/>
        </w:rPr>
        <w:t> </w:t>
      </w:r>
      <w:r>
        <w:rPr>
          <w:rFonts w:ascii="Times New Roman;sans-serif" w:hAnsi="Times New Roman;sans-serif"/>
          <w:b w:val="false"/>
          <w:color w:val="000000"/>
          <w:sz w:val="20"/>
        </w:rPr>
        <w:t>This segment offers services, products and systems similar to those of the other segments to select markets within Europe, the Middle East, Africa, Asia and South America, but not to customers in China and South Korea, which are served by the Products and Systems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Products and Systems.</w:t>
      </w:r>
      <w:r>
        <w:rPr>
          <w:color w:val="000000"/>
        </w:rPr>
        <w:t> </w:t>
      </w:r>
      <w:r>
        <w:rPr>
          <w:rFonts w:ascii="Times New Roman;sans-serif" w:hAnsi="Times New Roman;sans-serif"/>
          <w:b w:val="false"/>
          <w:color w:val="000000"/>
          <w:sz w:val="20"/>
        </w:rPr>
        <w:t>This segment designs, manufactures, sells, installs and services the Company’s asset protection products and systems, including equipment and instrumentation, predominantly in the United States.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The accounting policies of the reportable segments are the same as those described in Note </w:t>
      </w:r>
      <w:r>
        <w:rPr>
          <w:rFonts w:ascii="Times New Roman;sans-serif" w:hAnsi="Times New Roman;sans-serif"/>
          <w:b w:val="false"/>
          <w:i/>
          <w:color w:val="000000"/>
          <w:sz w:val="20"/>
        </w:rPr>
        <w:t>1-Summary of Significant Accounting Policies and Practices</w:t>
      </w:r>
      <w:r>
        <w:rPr>
          <w:rFonts w:ascii="Times New Roman;sans-serif" w:hAnsi="Times New Roman;sans-serif"/>
          <w:b w:val="false"/>
          <w:color w:val="000000"/>
          <w:sz w:val="20"/>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Selected consolidated financial information by segment for the periods shown was as follows (with intercompany transactions eliminated in Corporate and eliminations):</w:t>
      </w:r>
    </w:p>
    <w:tbl>
      <w:tblPr>
        <w:tblW w:w="6476" w:type="dxa"/>
        <w:jc w:val="left"/>
        <w:tblInd w:w="0" w:type="dxa"/>
        <w:tblLayout w:type="fixed"/>
        <w:tblCellMar>
          <w:top w:w="28" w:type="dxa"/>
          <w:left w:w="28" w:type="dxa"/>
          <w:bottom w:w="28" w:type="dxa"/>
          <w:right w:w="28" w:type="dxa"/>
        </w:tblCellMar>
      </w:tblPr>
      <w:tblGrid>
        <w:gridCol w:w="846"/>
        <w:gridCol w:w="746"/>
        <w:gridCol w:w="747"/>
        <w:gridCol w:w="211"/>
        <w:gridCol w:w="826"/>
        <w:gridCol w:w="109"/>
        <w:gridCol w:w="109"/>
        <w:gridCol w:w="109"/>
        <w:gridCol w:w="109"/>
        <w:gridCol w:w="211"/>
        <w:gridCol w:w="826"/>
        <w:gridCol w:w="109"/>
        <w:gridCol w:w="109"/>
        <w:gridCol w:w="109"/>
        <w:gridCol w:w="109"/>
        <w:gridCol w:w="211"/>
        <w:gridCol w:w="82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Systems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6477" w:type="dxa"/>
        <w:jc w:val="center"/>
        <w:tblInd w:w="0" w:type="dxa"/>
        <w:tblLayout w:type="fixed"/>
        <w:tblCellMar>
          <w:top w:w="28" w:type="dxa"/>
          <w:left w:w="28" w:type="dxa"/>
          <w:bottom w:w="28" w:type="dxa"/>
          <w:right w:w="28" w:type="dxa"/>
        </w:tblCellMar>
      </w:tblPr>
      <w:tblGrid>
        <w:gridCol w:w="848"/>
        <w:gridCol w:w="744"/>
        <w:gridCol w:w="748"/>
        <w:gridCol w:w="211"/>
        <w:gridCol w:w="826"/>
        <w:gridCol w:w="109"/>
        <w:gridCol w:w="109"/>
        <w:gridCol w:w="109"/>
        <w:gridCol w:w="109"/>
        <w:gridCol w:w="211"/>
        <w:gridCol w:w="826"/>
        <w:gridCol w:w="109"/>
        <w:gridCol w:w="109"/>
        <w:gridCol w:w="109"/>
        <w:gridCol w:w="109"/>
        <w:gridCol w:w="211"/>
        <w:gridCol w:w="82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Systems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Income (loss) from operations by operating segment includes intercompany transactions, which are eliminated in Corporate and eliminations</w:t>
      </w:r>
      <w:r>
        <w:rPr>
          <w:rFonts w:ascii="Times New Roman;sans-serif" w:hAnsi="Times New Roman;sans-serif"/>
          <w:b w:val="false"/>
          <w:color w:val="008080"/>
          <w:sz w:val="24"/>
        </w:rPr>
        <w:t>.</w:t>
      </w:r>
      <w:r>
        <w:rPr>
          <w:color w:val="000000"/>
        </w:rPr>
        <w:t> </w:t>
      </w:r>
    </w:p>
    <w:tbl>
      <w:tblPr>
        <w:tblW w:w="6462" w:type="dxa"/>
        <w:jc w:val="left"/>
        <w:tblInd w:w="0" w:type="dxa"/>
        <w:tblLayout w:type="fixed"/>
        <w:tblCellMar>
          <w:top w:w="28" w:type="dxa"/>
          <w:left w:w="28" w:type="dxa"/>
          <w:bottom w:w="28" w:type="dxa"/>
          <w:right w:w="28" w:type="dxa"/>
        </w:tblCellMar>
      </w:tblPr>
      <w:tblGrid>
        <w:gridCol w:w="957"/>
        <w:gridCol w:w="840"/>
        <w:gridCol w:w="843"/>
        <w:gridCol w:w="211"/>
        <w:gridCol w:w="721"/>
        <w:gridCol w:w="109"/>
        <w:gridCol w:w="109"/>
        <w:gridCol w:w="109"/>
        <w:gridCol w:w="109"/>
        <w:gridCol w:w="211"/>
        <w:gridCol w:w="721"/>
        <w:gridCol w:w="109"/>
        <w:gridCol w:w="109"/>
        <w:gridCol w:w="109"/>
        <w:gridCol w:w="109"/>
        <w:gridCol w:w="211"/>
        <w:gridCol w:w="721"/>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Systems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6551" w:type="dxa"/>
        <w:jc w:val="center"/>
        <w:tblInd w:w="0" w:type="dxa"/>
        <w:tblLayout w:type="fixed"/>
        <w:tblCellMar>
          <w:top w:w="28" w:type="dxa"/>
          <w:left w:w="28" w:type="dxa"/>
          <w:bottom w:w="28" w:type="dxa"/>
          <w:right w:w="28" w:type="dxa"/>
        </w:tblCellMar>
      </w:tblPr>
      <w:tblGrid>
        <w:gridCol w:w="989"/>
        <w:gridCol w:w="869"/>
        <w:gridCol w:w="871"/>
        <w:gridCol w:w="211"/>
        <w:gridCol w:w="721"/>
        <w:gridCol w:w="109"/>
        <w:gridCol w:w="109"/>
        <w:gridCol w:w="109"/>
        <w:gridCol w:w="109"/>
        <w:gridCol w:w="211"/>
        <w:gridCol w:w="721"/>
        <w:gridCol w:w="109"/>
        <w:gridCol w:w="109"/>
        <w:gridCol w:w="109"/>
        <w:gridCol w:w="109"/>
        <w:gridCol w:w="211"/>
        <w:gridCol w:w="72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Systems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794" w:type="dxa"/>
        <w:jc w:val="center"/>
        <w:tblInd w:w="0" w:type="dxa"/>
        <w:tblLayout w:type="fixed"/>
        <w:tblCellMar>
          <w:top w:w="28" w:type="dxa"/>
          <w:left w:w="28" w:type="dxa"/>
          <w:bottom w:w="28" w:type="dxa"/>
          <w:right w:w="28" w:type="dxa"/>
        </w:tblCellMar>
      </w:tblPr>
      <w:tblGrid>
        <w:gridCol w:w="847"/>
        <w:gridCol w:w="744"/>
        <w:gridCol w:w="749"/>
        <w:gridCol w:w="211"/>
        <w:gridCol w:w="721"/>
        <w:gridCol w:w="109"/>
        <w:gridCol w:w="109"/>
        <w:gridCol w:w="109"/>
        <w:gridCol w:w="109"/>
        <w:gridCol w:w="211"/>
        <w:gridCol w:w="72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Systems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04" w:type="dxa"/>
        <w:jc w:val="left"/>
        <w:tblInd w:w="0" w:type="dxa"/>
        <w:tblLayout w:type="fixed"/>
        <w:tblCellMar>
          <w:top w:w="28" w:type="dxa"/>
          <w:left w:w="28" w:type="dxa"/>
          <w:bottom w:w="28" w:type="dxa"/>
          <w:right w:w="28" w:type="dxa"/>
        </w:tblCellMar>
      </w:tblPr>
      <w:tblGrid>
        <w:gridCol w:w="845"/>
        <w:gridCol w:w="745"/>
        <w:gridCol w:w="750"/>
        <w:gridCol w:w="211"/>
        <w:gridCol w:w="826"/>
        <w:gridCol w:w="109"/>
        <w:gridCol w:w="109"/>
        <w:gridCol w:w="109"/>
        <w:gridCol w:w="109"/>
        <w:gridCol w:w="211"/>
        <w:gridCol w:w="826"/>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Systems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238" w:type="dxa"/>
        <w:jc w:val="center"/>
        <w:tblInd w:w="0" w:type="dxa"/>
        <w:tblLayout w:type="fixed"/>
        <w:tblCellMar>
          <w:top w:w="28" w:type="dxa"/>
          <w:left w:w="28" w:type="dxa"/>
          <w:bottom w:w="28" w:type="dxa"/>
          <w:right w:w="28" w:type="dxa"/>
        </w:tblCellMar>
      </w:tblPr>
      <w:tblGrid>
        <w:gridCol w:w="571"/>
        <w:gridCol w:w="500"/>
        <w:gridCol w:w="503"/>
        <w:gridCol w:w="211"/>
        <w:gridCol w:w="826"/>
        <w:gridCol w:w="109"/>
        <w:gridCol w:w="109"/>
        <w:gridCol w:w="109"/>
        <w:gridCol w:w="109"/>
        <w:gridCol w:w="211"/>
        <w:gridCol w:w="826"/>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Long-lived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Refer to Note </w:t>
      </w:r>
      <w:r>
        <w:rPr>
          <w:rFonts w:ascii="Times New Roman;sans-serif" w:hAnsi="Times New Roman;sans-serif"/>
          <w:b w:val="false"/>
          <w:i/>
          <w:color w:val="000000"/>
          <w:sz w:val="20"/>
        </w:rPr>
        <w:t>2-Revenue</w:t>
      </w:r>
      <w:r>
        <w:rPr>
          <w:rFonts w:ascii="Times New Roman;sans-serif" w:hAnsi="Times New Roman;sans-serif"/>
          <w:b w:val="false"/>
          <w:color w:val="000000"/>
          <w:sz w:val="20"/>
        </w:rPr>
        <w:t>, for revenue by segment and by geographic area for the years ended December 31, 2023, 2022, and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20. Selected Quarterly Financial Information (unaudited)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quarterly results of operations for calendar years 2023, 2022, and 2021 (in thousands).</w:t>
      </w:r>
    </w:p>
    <w:tbl>
      <w:tblPr>
        <w:tblW w:w="10205" w:type="dxa"/>
        <w:jc w:val="center"/>
        <w:tblInd w:w="0" w:type="dxa"/>
        <w:tblLayout w:type="fixed"/>
        <w:tblCellMar>
          <w:top w:w="28" w:type="dxa"/>
          <w:left w:w="28" w:type="dxa"/>
          <w:bottom w:w="28" w:type="dxa"/>
          <w:right w:w="28" w:type="dxa"/>
        </w:tblCellMar>
      </w:tblPr>
      <w:tblGrid>
        <w:gridCol w:w="1306"/>
        <w:gridCol w:w="1147"/>
        <w:gridCol w:w="1150"/>
        <w:gridCol w:w="109"/>
        <w:gridCol w:w="109"/>
        <w:gridCol w:w="109"/>
        <w:gridCol w:w="260"/>
        <w:gridCol w:w="1021"/>
        <w:gridCol w:w="134"/>
        <w:gridCol w:w="109"/>
        <w:gridCol w:w="109"/>
        <w:gridCol w:w="109"/>
        <w:gridCol w:w="267"/>
        <w:gridCol w:w="1047"/>
        <w:gridCol w:w="138"/>
        <w:gridCol w:w="109"/>
        <w:gridCol w:w="109"/>
        <w:gridCol w:w="109"/>
        <w:gridCol w:w="211"/>
        <w:gridCol w:w="826"/>
        <w:gridCol w:w="109"/>
        <w:gridCol w:w="109"/>
        <w:gridCol w:w="109"/>
        <w:gridCol w:w="109"/>
        <w:gridCol w:w="226"/>
        <w:gridCol w:w="886"/>
        <w:gridCol w:w="169"/>
      </w:tblGrid>
      <w:tr>
        <w:trPr/>
        <w:tc>
          <w:tcPr>
            <w:tcW w:w="130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182,073 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168,016 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Mistras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06"/>
        <w:gridCol w:w="1147"/>
        <w:gridCol w:w="1150"/>
        <w:gridCol w:w="109"/>
        <w:gridCol w:w="109"/>
        <w:gridCol w:w="109"/>
        <w:gridCol w:w="260"/>
        <w:gridCol w:w="1021"/>
        <w:gridCol w:w="134"/>
        <w:gridCol w:w="109"/>
        <w:gridCol w:w="109"/>
        <w:gridCol w:w="109"/>
        <w:gridCol w:w="267"/>
        <w:gridCol w:w="1047"/>
        <w:gridCol w:w="138"/>
        <w:gridCol w:w="109"/>
        <w:gridCol w:w="109"/>
        <w:gridCol w:w="109"/>
        <w:gridCol w:w="211"/>
        <w:gridCol w:w="826"/>
        <w:gridCol w:w="109"/>
        <w:gridCol w:w="109"/>
        <w:gridCol w:w="109"/>
        <w:gridCol w:w="109"/>
        <w:gridCol w:w="226"/>
        <w:gridCol w:w="886"/>
        <w:gridCol w:w="169"/>
      </w:tblGrid>
      <w:tr>
        <w:trPr/>
        <w:tc>
          <w:tcPr>
            <w:tcW w:w="130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3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168,218 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178,462 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161,662 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Mistras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06"/>
        <w:gridCol w:w="1147"/>
        <w:gridCol w:w="1150"/>
        <w:gridCol w:w="109"/>
        <w:gridCol w:w="109"/>
        <w:gridCol w:w="109"/>
        <w:gridCol w:w="260"/>
        <w:gridCol w:w="1021"/>
        <w:gridCol w:w="134"/>
        <w:gridCol w:w="109"/>
        <w:gridCol w:w="109"/>
        <w:gridCol w:w="109"/>
        <w:gridCol w:w="267"/>
        <w:gridCol w:w="1047"/>
        <w:gridCol w:w="138"/>
        <w:gridCol w:w="109"/>
        <w:gridCol w:w="109"/>
        <w:gridCol w:w="109"/>
        <w:gridCol w:w="211"/>
        <w:gridCol w:w="826"/>
        <w:gridCol w:w="109"/>
        <w:gridCol w:w="109"/>
        <w:gridCol w:w="109"/>
        <w:gridCol w:w="109"/>
        <w:gridCol w:w="226"/>
        <w:gridCol w:w="886"/>
        <w:gridCol w:w="169"/>
      </w:tblGrid>
      <w:tr>
        <w:trPr/>
        <w:tc>
          <w:tcPr>
            <w:tcW w:w="130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2021</w:t>
            </w:r>
          </w:p>
        </w:tc>
      </w:tr>
      <w:tr>
        <w:trPr/>
        <w:tc>
          <w:tcPr>
            <w:tcW w:w="3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171,163 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174,556 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153,735 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Mistras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21. Subsequent Events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2024, the Company entered into the First Amendment (the “Amendment”) to its New Credit Agreement, dated August 1, 2022, with JPMorgan Chase Bank N.A., as administrative agent for the lenders and a lender and the other lenders under the New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First Amendment was filed as Exhibit 10.1 to the Company’s Form 8-K filed with the SEC on March 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Amendment increases the amount of non-recurring cash charges (as defined in the New Credit Agreement) allowed to be added back for any period of four consecutive quarters for purposes of defining EBITDA under Section 1.01 of the New Credit Agreement from $10 million to $15 million for the periods ended December 31, 2023 to December 31, 2024. The allowable non-recurring cash charge addback reverts to $10 million starting January 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minimum Consolidated Fixed Charge Coverage Ratio was reduced from 1.25 to 1, to 1.10 to 1, for the fiscal quarters ended December 31, 2023 and March 31, 2024. For the period ending June 30, 2024 to maturity, the Fixed Charge Coverage Ratio is 1.25 to 1 as stated in the New Credit Agreement.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9.   </w:t>
      </w:r>
      <w:r>
        <w:rPr>
          <w:rFonts w:ascii="Times New Roman;sans-serif" w:hAnsi="Times New Roman;sans-serif"/>
          <w:b/>
          <w:i/>
          <w:color w:val="000000"/>
          <w:sz w:val="20"/>
        </w:rPr>
        <w:t>CHANGES IN AND DISAGREEMENTS WITH ACCOUNTANTS ON ACCOUNTING AND FINANCIAL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9A.   </w:t>
      </w:r>
      <w:r>
        <w:rPr>
          <w:rFonts w:ascii="Times New Roman;sans-serif" w:hAnsi="Times New Roman;sans-serif"/>
          <w:b/>
          <w:i/>
          <w:color w:val="000000"/>
          <w:sz w:val="20"/>
        </w:rPr>
        <w:t>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05"/>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Rule 13a-15(b) under the Exchange Act, our management carried out an evaluation, under the supervision and with the participation of our Interim President and Chief Executive Officer and our Senior Executive Vice President and Chief Financial Officer, of the effectiveness of the design and operation of our disclosure controls and procedures (as defined in Rule 13a-15(e) under the Exchange Act). Based upon that evaluation, our Interim President and Chief Executive Officer and our Senior Executive Vice President and Chief Financial Officer concluded that, as of December 31, 2023, our disclosure controls and procedures were effective.</w:t>
      </w:r>
    </w:p>
    <w:p>
      <w:pPr>
        <w:pStyle w:val="TextBody"/>
        <w:bidi w:val="0"/>
        <w:spacing w:before="0" w:after="0"/>
        <w:jc w:val="left"/>
        <w:rPr/>
      </w:pPr>
      <w:r>
        <w:rPr/>
      </w:r>
    </w:p>
    <w:p>
      <w:pPr>
        <w:pStyle w:val="TextBody"/>
        <w:bidi w:val="0"/>
        <w:spacing w:lineRule="auto" w:line="288" w:before="0" w:after="0"/>
        <w:ind w:left="0" w:right="0" w:firstLine="405"/>
        <w:jc w:val="left"/>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Chairman and Interim President and Chief Executive Officer and our Senior Executive Vice President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Our management assessed the effectiveness of our internal control over financial reporting as of December 31, 2023. In making this assessment, management used the criteria set forth by the Committee of Sponsoring Organizations of the Treadway Commission (COSO) in the updated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issued in 2013</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Based on that assessment, our management concluded that, as of December 31, 2023, our internal control over financial reporting was effective.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2023, has been audited by PricewaterhouseCoopers LLP, an independent registered public accounting firm, as stated in their report which appears herein.</w:t>
      </w:r>
    </w:p>
    <w:p>
      <w:pPr>
        <w:pStyle w:val="TextBody"/>
        <w:bidi w:val="0"/>
        <w:spacing w:before="0" w:after="0"/>
        <w:ind w:left="0" w:right="0" w:firstLine="720"/>
        <w:jc w:val="left"/>
        <w:rPr/>
      </w:pPr>
      <w:r>
        <w:rPr/>
      </w:r>
    </w:p>
    <w:p>
      <w:pPr>
        <w:pStyle w:val="TextBody"/>
        <w:bidi w:val="0"/>
        <w:spacing w:lineRule="auto" w:line="276" w:before="0" w:after="0"/>
        <w:ind w:left="0" w:right="0" w:firstLine="405"/>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the quarter ended December 31, 2023, that has materially affected, or is reasonably likely to materially affect, our internal control over financial reporting.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2023, none of the Company’s directors or officers (as defined in Rule 16a-1(f) of the Exchange Act) adopted, terminated or modified a Rule 10b5-1 trading arrangement or non-Rule 10b5-1 trading arrangement (as such terms are defined in Item 408 of Regulation S-K of the Securities Act). During the three months ended December 31, 2023, the Company did not adopt, terminate or modify a Rule 10b5-1 trading arrangement. </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 THAT PREVENT INSPECTIONS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information concerning our executive officers required by this Item 10 is provided under the caption “Executive Officers” in Part I of this Annual Report. The remaining information required by Item 10 is incorporated herein by reference to the relevant information to be included in our definitive proxy statement related to our 2024 annual meeting of stockholders. </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11 is incorporated by reference to the relevant information to be included in our definitive proxy statement related to the 2024 annual meeting of stockholders.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12 is incorporated by reference to the relevant information to be included in our definitive proxy statement related to the 2024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13 is incorporated by reference to the relevant information to be included in our definitive proxy statement related to the 2024 annual meeting of stockholders.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14 is incorporated by reference to the information to be included in our definitive proxy statement related to the 2024 annual meeting of stockholders.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following financial statements are filed herewith in Item 8 of Part II above:</w:t>
      </w:r>
    </w:p>
    <w:tbl>
      <w:tblPr>
        <w:tblW w:w="9780" w:type="dxa"/>
        <w:jc w:val="left"/>
        <w:tblInd w:w="0" w:type="dxa"/>
        <w:tblLayout w:type="fixed"/>
        <w:tblCellMar>
          <w:top w:w="28" w:type="dxa"/>
          <w:left w:w="28" w:type="dxa"/>
          <w:bottom w:w="28" w:type="dxa"/>
          <w:right w:w="28" w:type="dxa"/>
        </w:tblCellMar>
      </w:tblPr>
      <w:tblGrid>
        <w:gridCol w:w="3359"/>
        <w:gridCol w:w="2951"/>
        <w:gridCol w:w="2959"/>
        <w:gridCol w:w="149"/>
        <w:gridCol w:w="149"/>
        <w:gridCol w:w="213"/>
      </w:tblGrid>
      <w:tr>
        <w:trPr/>
        <w:tc>
          <w:tcPr>
            <w:tcW w:w="3359"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70">
              <w:r>
                <w:rPr>
                  <w:rStyle w:val="InternetLink"/>
                  <w:rFonts w:ascii="Times New Roman;sans-serif" w:hAnsi="Times New Roman;sans-serif"/>
                  <w:b w:val="false"/>
                  <w:color w:val="0000FF"/>
                  <w:sz w:val="20"/>
                  <w:u w:val="single"/>
                </w:rPr>
                <w:t>Report of independent registered public accounting firm - PricewaterhouseCoopers LLP</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13948255d4264b4782f3aa4244cf830f_70">
              <w:r>
                <w:rPr>
                  <w:rStyle w:val="InternetLink"/>
                  <w:rFonts w:ascii="Times New Roman;sans-serif" w:hAnsi="Times New Roman;sans-serif"/>
                  <w:b w:val="false"/>
                  <w:color w:val="0000FF"/>
                  <w:sz w:val="20"/>
                  <w:u w:val="single"/>
                </w:rPr>
                <w:t>47</w:t>
              </w:r>
            </w:hyperlink>
          </w:p>
        </w:tc>
      </w:tr>
      <w:tr>
        <w:trPr/>
        <w:tc>
          <w:tcPr>
            <w:tcW w:w="9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2199023257416">
              <w:r>
                <w:rPr>
                  <w:rStyle w:val="InternetLink"/>
                  <w:rFonts w:ascii="Times New Roman;sans-serif" w:hAnsi="Times New Roman;sans-serif"/>
                  <w:b w:val="false"/>
                  <w:color w:val="000080"/>
                  <w:sz w:val="20"/>
                  <w:u w:val="single"/>
                </w:rPr>
                <w:t>R</w:t>
              </w:r>
            </w:hyperlink>
            <w:hyperlink w:anchor="i13948255d4264b4782f3aa4244cf830f_2199023257416">
              <w:r>
                <w:rPr>
                  <w:rStyle w:val="InternetLink"/>
                  <w:rFonts w:ascii="Times New Roman;sans-serif" w:hAnsi="Times New Roman;sans-serif"/>
                  <w:b w:val="false"/>
                  <w:color w:val="000080"/>
                  <w:sz w:val="20"/>
                  <w:u w:val="single"/>
                </w:rPr>
                <w:t xml:space="preserve">eport of </w:t>
              </w:r>
            </w:hyperlink>
            <w:hyperlink w:anchor="i13948255d4264b4782f3aa4244cf830f_2199023257416">
              <w:r>
                <w:rPr>
                  <w:rStyle w:val="InternetLink"/>
                  <w:rFonts w:ascii="Times New Roman;sans-serif" w:hAnsi="Times New Roman;sans-serif"/>
                  <w:b w:val="false"/>
                  <w:color w:val="000080"/>
                  <w:sz w:val="20"/>
                  <w:u w:val="single"/>
                </w:rPr>
                <w:t>independent registered public accounting firm - KPMG LLP</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2199023257416">
              <w:r>
                <w:rPr>
                  <w:rStyle w:val="InternetLink"/>
                  <w:rFonts w:ascii="Times New Roman;sans-serif" w:hAnsi="Times New Roman;sans-serif"/>
                  <w:b w:val="false"/>
                  <w:color w:val="000080"/>
                  <w:sz w:val="20"/>
                  <w:u w:val="single"/>
                </w:rPr>
                <w:t>5</w:t>
              </w:r>
            </w:hyperlink>
            <w:hyperlink w:anchor="i13948255d4264b4782f3aa4244cf830f_2199023257416">
              <w:r>
                <w:rPr>
                  <w:rStyle w:val="InternetLink"/>
                  <w:rFonts w:ascii="Times New Roman;sans-serif" w:hAnsi="Times New Roman;sans-serif"/>
                  <w:b w:val="false"/>
                  <w:color w:val="000080"/>
                  <w:sz w:val="20"/>
                  <w:u w:val="single"/>
                </w:rPr>
                <w:t>0</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73">
              <w:r>
                <w:rPr>
                  <w:rStyle w:val="InternetLink"/>
                  <w:rFonts w:ascii="Times New Roman;sans-serif" w:hAnsi="Times New Roman;sans-serif"/>
                  <w:b w:val="false"/>
                  <w:color w:val="0000FF"/>
                  <w:sz w:val="20"/>
                  <w:u w:val="single"/>
                </w:rPr>
                <w:t>Consolidated Balance sheets as of December 31, 2023 and December 31,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73">
              <w:r>
                <w:rPr>
                  <w:rStyle w:val="InternetLink"/>
                  <w:rFonts w:ascii="Times New Roman;sans-serif" w:hAnsi="Times New Roman;sans-serif"/>
                  <w:b w:val="false"/>
                  <w:color w:val="0000FF"/>
                  <w:sz w:val="20"/>
                  <w:u w:val="single"/>
                </w:rPr>
                <w:t>50</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76">
              <w:r>
                <w:rPr>
                  <w:rStyle w:val="InternetLink"/>
                  <w:rFonts w:ascii="Times New Roman;sans-serif" w:hAnsi="Times New Roman;sans-serif"/>
                  <w:b w:val="false"/>
                  <w:color w:val="0000FF"/>
                  <w:sz w:val="20"/>
                  <w:u w:val="single"/>
                </w:rPr>
                <w:t>Consolidated Statements of income (loss) for the years ended December 31, 2023, 2022 and 2021</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76">
              <w:r>
                <w:rPr>
                  <w:rStyle w:val="InternetLink"/>
                  <w:rFonts w:ascii="Times New Roman;sans-serif" w:hAnsi="Times New Roman;sans-serif"/>
                  <w:b w:val="false"/>
                  <w:color w:val="0000FF"/>
                  <w:sz w:val="20"/>
                  <w:u w:val="single"/>
                </w:rPr>
                <w:t>51</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79">
              <w:r>
                <w:rPr>
                  <w:rStyle w:val="InternetLink"/>
                  <w:rFonts w:ascii="Times New Roman;sans-serif" w:hAnsi="Times New Roman;sans-serif"/>
                  <w:b w:val="false"/>
                  <w:color w:val="0000FF"/>
                  <w:sz w:val="20"/>
                  <w:u w:val="single"/>
                </w:rPr>
                <w:t>Consolidated Statements of comprehensive income (loss) for the years ended December 31, 2023, 2022 and 2021</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79">
              <w:r>
                <w:rPr>
                  <w:rStyle w:val="InternetLink"/>
                  <w:rFonts w:ascii="Times New Roman;sans-serif" w:hAnsi="Times New Roman;sans-serif"/>
                  <w:b w:val="false"/>
                  <w:color w:val="0000FF"/>
                  <w:sz w:val="20"/>
                  <w:u w:val="single"/>
                </w:rPr>
                <w:t>52</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82">
              <w:r>
                <w:rPr>
                  <w:rStyle w:val="InternetLink"/>
                  <w:rFonts w:ascii="Times New Roman;sans-serif" w:hAnsi="Times New Roman;sans-serif"/>
                  <w:b w:val="false"/>
                  <w:color w:val="0000FF"/>
                  <w:sz w:val="20"/>
                  <w:u w:val="single"/>
                </w:rPr>
                <w:t>Consolidated Statements of equity for the years ended December 31, 2023, 2022 and 2021</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82">
              <w:r>
                <w:rPr>
                  <w:rStyle w:val="InternetLink"/>
                  <w:rFonts w:ascii="Times New Roman;sans-serif" w:hAnsi="Times New Roman;sans-serif"/>
                  <w:b w:val="false"/>
                  <w:color w:val="0000FF"/>
                  <w:sz w:val="20"/>
                  <w:u w:val="single"/>
                </w:rPr>
                <w:t>53</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85">
              <w:r>
                <w:rPr>
                  <w:rStyle w:val="InternetLink"/>
                  <w:rFonts w:ascii="Times New Roman;sans-serif" w:hAnsi="Times New Roman;sans-serif"/>
                  <w:b w:val="false"/>
                  <w:color w:val="0000FF"/>
                  <w:sz w:val="20"/>
                  <w:u w:val="single"/>
                </w:rPr>
                <w:t>Consolidated Statements of cash flows for the years ended December 31, 2023, 2022 and 2021</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85">
              <w:r>
                <w:rPr>
                  <w:rStyle w:val="InternetLink"/>
                  <w:rFonts w:ascii="Times New Roman;sans-serif" w:hAnsi="Times New Roman;sans-serif"/>
                  <w:b w:val="false"/>
                  <w:color w:val="0000FF"/>
                  <w:sz w:val="20"/>
                  <w:u w:val="single"/>
                </w:rPr>
                <w:t>54</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948255d4264b4782f3aa4244cf830f_88">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48255d4264b4782f3aa4244cf830f_88">
              <w:r>
                <w:rPr>
                  <w:rStyle w:val="InternetLink"/>
                  <w:rFonts w:ascii="Times New Roman;sans-serif" w:hAnsi="Times New Roman;sans-serif"/>
                  <w:b w:val="false"/>
                  <w:color w:val="0000FF"/>
                  <w:sz w:val="20"/>
                  <w:u w:val="single"/>
                </w:rPr>
                <w:t>55</w:t>
              </w:r>
            </w:hyperlink>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Financial Statement Schedules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are omitted because of the absence of conditions under which they are required or because the required information is given in the financial statements or notes thereto.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322"/>
        <w:gridCol w:w="283"/>
        <w:gridCol w:w="284"/>
        <w:gridCol w:w="109"/>
        <w:gridCol w:w="109"/>
        <w:gridCol w:w="109"/>
        <w:gridCol w:w="2622"/>
        <w:gridCol w:w="2622"/>
        <w:gridCol w:w="3745"/>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20"/>
                  <w:u w:val="single"/>
                </w:rPr>
                <w:t>Second Amended and Restated Certificate of Incorporation (filed as exhibit 3.1 to Registration Statement on Form S-1 (Amendment No. 4) filed on September 21, 2009 (Registration No. 333-151559) and incorporated herein by reference)</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FF"/>
                  <w:sz w:val="20"/>
                  <w:u w:val="single"/>
                </w:rPr>
                <w:t>Certificate of Amendment to the Second Amended and Restated Certificate of Incorporation (filed as exhibit 3.1 to the Quarterly Report on Form 10-Q filed on January 11, 2017 and incorporated herein by reference)</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ans-serif" w:hAnsi="Times New Roman;sans-serif"/>
                  <w:b w:val="false"/>
                  <w:color w:val="0000FF"/>
                  <w:sz w:val="20"/>
                  <w:u w:val="single"/>
                </w:rPr>
                <w:t>Amended and Restated Bylaws, effective July 20, 2016 (filed as exhibit 3.1 to the Quarterly Report on Form 10-Q filed on October 7, 2016 and incorporated herein by reference)</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FF"/>
                  <w:sz w:val="20"/>
                  <w:u w:val="single"/>
                </w:rPr>
                <w:t>Description of Securities Registered Under Section 12 of the Securities Exchange Act of 1934 (filed as Exhibit 4.2 to the Annual Report on Form 10-K filed March 27, 2020 and incorporated herein by reference)</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4"/>
        <w:gridCol w:w="198"/>
        <w:gridCol w:w="201"/>
        <w:gridCol w:w="109"/>
        <w:gridCol w:w="109"/>
        <w:gridCol w:w="109"/>
        <w:gridCol w:w="3137"/>
        <w:gridCol w:w="2529"/>
        <w:gridCol w:w="3589"/>
      </w:tblGrid>
      <w:tr>
        <w:trPr/>
        <w:tc>
          <w:tcPr>
            <w:tcW w:w="2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ans-serif" w:hAnsi="Times New Roman;sans-serif"/>
                  <w:b w:val="false"/>
                  <w:color w:val="0000FF"/>
                  <w:sz w:val="20"/>
                  <w:u w:val="single"/>
                </w:rPr>
                <w:t>Credit Agreement, dated August 1, 2022 (filed as Exhibit 10.1 to the Annual Report on Form 10-K filed March 15, 2023 and incorporated herein by reference).</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FF"/>
                  <w:sz w:val="20"/>
                  <w:u w:val="single"/>
                  <w:shd w:fill="FFFFFF" w:val="clear"/>
                </w:rPr>
                <w:t>First Amendment, dated February 27, 2024, to the Credit Agreement, dated August 1, 2022</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ans-serif" w:hAnsi="Times New Roman;sans-serif"/>
                  <w:b w:val="false"/>
                  <w:color w:val="0000FF"/>
                  <w:sz w:val="20"/>
                  <w:u w:val="single"/>
                </w:rPr>
                <w:t>Form of Indemnification Agreement for directors and officers (filed as exhibit 10.1 to the Registration Statement on Form S-1 (Amendment No. 4) filed on September 21, 2009 (Registration No. 333-151559) and incorporated herein by reference)</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20"/>
                  <w:u w:val="single"/>
                </w:rPr>
                <w:t>Mistras Group, Inc. 2016 Long-Term Incentive Plan (filed as exhibit B to the Definitive Proxy Statement dated September 7, 2016 and incorporated herein by reference)</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ans-serif" w:hAnsi="Times New Roman;sans-serif"/>
                  <w:b w:val="false"/>
                  <w:color w:val="0000FF"/>
                  <w:sz w:val="20"/>
                  <w:u w:val="single"/>
                </w:rPr>
                <w:t>Amendment No. 1, dated May 19, 2020, to the 2016 Long-Term Incentive Plan (filed as exhibit 10.2 to the Quarterly Report Form 10-Q filed on August 7, 2020 and incorporated herein by reference)</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ans-serif" w:hAnsi="Times New Roman;sans-serif"/>
                  <w:b w:val="false"/>
                  <w:color w:val="0000FF"/>
                  <w:sz w:val="20"/>
                  <w:u w:val="single"/>
                </w:rPr>
                <w:t>Amendment No. 2, dated December 1, 2020, to the 2016 Long-Term Incentive Plan (filed as exhibit 10.10 to the Annual Report on Form 10-K filed March 16, 2021.</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ans-serif" w:hAnsi="Times New Roman;sans-serif"/>
                  <w:b w:val="false"/>
                  <w:color w:val="0000FF"/>
                  <w:sz w:val="20"/>
                  <w:u w:val="single"/>
                </w:rPr>
                <w:t>Amendment No. 3 dated May 23, 2022 to the 2016 Long-Term Incentive Plan (filed as exhibit 10.2 to the Quarterly Report on Form 10-Q filed on August 5, 2022)</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ans-serif" w:hAnsi="Times New Roman;sans-serif"/>
                  <w:b w:val="false"/>
                  <w:color w:val="0000FF"/>
                  <w:sz w:val="20"/>
                  <w:u w:val="single"/>
                </w:rPr>
                <w:t>Form of Restricted Stock Unit Certificate for awards under the 2016 Long-Term Incentive Plan (filed as exhibit 10.16 to the Transition Report on Form 10-K filed on March 20, 2017 and incorporated herein by reference)</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FF"/>
                  <w:sz w:val="20"/>
                  <w:u w:val="single"/>
                </w:rPr>
                <w:t>Form of Restricted Stock Unit Certificate for awards to senior officers under the 2016 Long-Term Incentive Plan (filed as exhibit 10.2 to the Quarterly Report Form 10-Q filed on May 19, 2020 and incorporated herein by reference)</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ans-serif" w:hAnsi="Times New Roman;sans-serif"/>
                  <w:b w:val="false"/>
                  <w:color w:val="0000FF"/>
                  <w:sz w:val="20"/>
                  <w:u w:val="single"/>
                </w:rPr>
                <w:t>Mistras Group, Inc. Executive Severance Plan</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ans-serif" w:hAnsi="Times New Roman;sans-serif"/>
                  <w:b w:val="false"/>
                  <w:color w:val="0000FF"/>
                  <w:sz w:val="20"/>
                  <w:u w:val="single"/>
                </w:rPr>
                <w:t>Employment Agreement between the Company and Sotirios J. Vahaviolos, dated February 28, 2018 (filed as exhibit 10.1 to the Quarterly Report on Form 10-Q filed May 8, 2018 and incorporated by reference herein)</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ans-serif" w:hAnsi="Times New Roman;sans-serif"/>
                  <w:b w:val="false"/>
                  <w:color w:val="0000FF"/>
                  <w:sz w:val="20"/>
                  <w:u w:val="single"/>
                  <w:shd w:fill="FFFFFF" w:val="clear"/>
                </w:rPr>
                <w:t>Employment Agreement between the Company and Dennis Bertolotti, dated March 13, 2018 (filed as exhibit 10.2 to the Quarterly Report on Form 10-Q filed May 8, 2018 and incorporated by reference herein)</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Description of Compensation for Non-Employee Directors effective January 1, 2023 (filed as exhibit 10.2 to Quarterly Report on Form 10-Q filed on May 5, 2023, and incorporated herein by reference).</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Separation Agreement and Release between Jonathan Wolk and Registrant (filed as exhibit 10.1 to Current Report on Form 8-K filed on March 8, 2023 and incorporated herein by reference).</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Employment Agreement between the Company and Gennaro A. D'Alterio dated September 11, 2023 (filed as exhibit 10.1 to the Quarterly Report on Form 10-Q filed November 6, 2023 and incorporated by reference herein).</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mistras-employmentagreemen.htm">
              <w:r>
                <w:rPr>
                  <w:rStyle w:val="InternetLink"/>
                  <w:rFonts w:ascii="Times New Roman;sans-serif" w:hAnsi="Times New Roman;sans-serif"/>
                  <w:b w:val="false"/>
                  <w:color w:val="0000FF"/>
                  <w:sz w:val="20"/>
                  <w:u w:val="single"/>
                  <w:shd w:fill="FFFFFF" w:val="clear"/>
                </w:rPr>
                <w:t>Employment Agreement between the Company and John A. Smith dated October 1, 2023</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Letter Agreement dated October 9, 2023, between the Company and Manuel N. Stamatakis (filed as exhibit 10.1 to Current Report on Form 8-K filed on October 10, 2023 and incorporated herein by reference).</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mistrasgroupinc-stamatakis.htm">
              <w:r>
                <w:rPr>
                  <w:rStyle w:val="InternetLink"/>
                  <w:rFonts w:ascii="Times New Roman;sans-serif" w:hAnsi="Times New Roman;sans-serif"/>
                  <w:b w:val="false"/>
                  <w:color w:val="0000FF"/>
                  <w:sz w:val="20"/>
                  <w:u w:val="single"/>
                </w:rPr>
                <w:t>Inducement Award between the Company and Manuel N. Stamatakis dated October 11, 2023</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ans-serif" w:hAnsi="Times New Roman;sans-serif"/>
                  <w:b w:val="false"/>
                  <w:color w:val="0000FF"/>
                  <w:sz w:val="20"/>
                  <w:u w:val="single"/>
                </w:rPr>
                <w:t>Separation Agreement (and a General Release of Claims attached thereto) between the Company and Dennis Bertolotti effective December 6, 2023 (filed as exhibited 10.1 to Current Report on Form 8-K filed December 8, 2023, and incorporated herein by reference).</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nsidertradingcompliancepo.htm">
              <w:r>
                <w:rPr>
                  <w:rStyle w:val="InternetLink"/>
                  <w:rFonts w:ascii="Times New Roman;sans-serif" w:hAnsi="Times New Roman;sans-serif"/>
                  <w:b w:val="false"/>
                  <w:color w:val="0000FF"/>
                  <w:sz w:val="20"/>
                  <w:u w:val="single"/>
                  <w:shd w:fill="FFFFFF" w:val="clear"/>
                </w:rPr>
                <w:t>Insider Trading Compliance Policy</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11231subsidiarylisting.htm">
              <w:r>
                <w:rPr>
                  <w:rStyle w:val="InternetLink"/>
                  <w:rFonts w:ascii="Times New Roman;sans-serif" w:hAnsi="Times New Roman;sans-serif"/>
                  <w:b w:val="false"/>
                  <w:color w:val="0000FF"/>
                  <w:sz w:val="20"/>
                  <w:u w:val="single"/>
                </w:rPr>
                <w:t>Subsidiaries of the Registrant</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12312023-consentfrompwcex.htm">
              <w:r>
                <w:rPr>
                  <w:rStyle w:val="InternetLink"/>
                  <w:rFonts w:ascii="Times New Roman;sans-serif" w:hAnsi="Times New Roman;sans-serif"/>
                  <w:b w:val="false"/>
                  <w:color w:val="0000FF"/>
                  <w:sz w:val="20"/>
                  <w:u w:val="single"/>
                  <w:shd w:fill="FFFFFF" w:val="clear"/>
                </w:rPr>
                <w:t>Consent of PricewaterhouseCoopers LLP</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mistrasgroupincfy23kpmgcon.htm">
              <w:r>
                <w:rPr>
                  <w:rStyle w:val="InternetLink"/>
                  <w:rFonts w:ascii="Times New Roman;sans-serif" w:hAnsi="Times New Roman;sans-serif"/>
                  <w:b w:val="false"/>
                  <w:color w:val="0000FF"/>
                  <w:sz w:val="20"/>
                  <w:u w:val="single"/>
                  <w:shd w:fill="FFFFFF" w:val="clear"/>
                </w:rPr>
                <w:t>Consent of KPMG LLP</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13948255d4264b4782f3aa4244cf830f_199">
              <w:r>
                <w:rPr>
                  <w:rStyle w:val="InternetLink"/>
                  <w:rFonts w:ascii="Times New Roman;sans-serif" w:hAnsi="Times New Roman;sans-serif"/>
                  <w:b w:val="false"/>
                  <w:color w:val="0000FF"/>
                  <w:sz w:val="20"/>
                  <w:u w:val="single"/>
                </w:rPr>
                <w:t>Power of Attorney (included as part of the signature page to this report)</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231202310kexhibit311.htm">
              <w:r>
                <w:rPr>
                  <w:rStyle w:val="InternetLink"/>
                  <w:rFonts w:ascii="Times New Roman;sans-serif" w:hAnsi="Times New Roman;sans-serif"/>
                  <w:b w:val="false"/>
                  <w:color w:val="0000FF"/>
                  <w:sz w:val="20"/>
                  <w:u w:val="single"/>
                </w:rPr>
                <w:t>Certification of Chief Executive Officer pursuant to Rule 13a-14(a) under the Securities Exchange Act of 1934</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231202310kexhibit312.htm">
              <w:r>
                <w:rPr>
                  <w:rStyle w:val="InternetLink"/>
                  <w:rFonts w:ascii="Times New Roman;sans-serif" w:hAnsi="Times New Roman;sans-serif"/>
                  <w:b w:val="false"/>
                  <w:color w:val="0000FF"/>
                  <w:sz w:val="20"/>
                  <w:u w:val="single"/>
                </w:rPr>
                <w:t>Certification of Chief Financial Officer pursuant to Rule 13a-14(a) under the Securities Exchange Act of 1934</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231202310kexhibit321.htm">
              <w:r>
                <w:rPr>
                  <w:rStyle w:val="InternetLink"/>
                  <w:rFonts w:ascii="Times New Roman;sans-serif" w:hAnsi="Times New Roman;sans-serif"/>
                  <w:b w:val="false"/>
                  <w:color w:val="0000FF"/>
                  <w:sz w:val="20"/>
                  <w:u w:val="single"/>
                </w:rPr>
                <w:t>Certification pursuant to Section 906 of the Sarbanes-Oxley Act of 2002</w:t>
              </w:r>
            </w:hyperlink>
          </w:p>
        </w:tc>
      </w:tr>
      <w:tr>
        <w:trPr/>
        <w:tc>
          <w:tcPr>
            <w:tcW w:w="6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231202310kexhibit322.htm">
              <w:r>
                <w:rPr>
                  <w:rStyle w:val="InternetLink"/>
                  <w:rFonts w:ascii="Times New Roman;sans-serif" w:hAnsi="Times New Roman;sans-serif"/>
                  <w:b w:val="false"/>
                  <w:color w:val="0000FF"/>
                  <w:sz w:val="20"/>
                  <w:u w:val="single"/>
                </w:rPr>
                <w:t>Certification pursuant to Section 906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3948255d4264b4782f3aa4244cf830f_7">
        <w:r>
          <w:rPr>
            <w:rStyle w:val="InternetLink"/>
            <w:rFonts w:ascii="Times New Roman;sans-serif" w:hAnsi="Times New Roman;sans-serif"/>
            <w:b w:val="false"/>
            <w:color w:val="0000FF"/>
            <w:sz w:val="20"/>
            <w:u w:val="single"/>
          </w:rPr>
          <w:t>Table of Contents</w:t>
        </w:r>
      </w:hyperlink>
    </w:p>
    <w:tbl>
      <w:tblPr>
        <w:tblW w:w="4991" w:type="dxa"/>
        <w:jc w:val="left"/>
        <w:tblInd w:w="0" w:type="dxa"/>
        <w:tblLayout w:type="fixed"/>
        <w:tblCellMar>
          <w:top w:w="28" w:type="dxa"/>
          <w:left w:w="28" w:type="dxa"/>
          <w:bottom w:w="28" w:type="dxa"/>
          <w:right w:w="28" w:type="dxa"/>
        </w:tblCellMar>
      </w:tblPr>
      <w:tblGrid>
        <w:gridCol w:w="314"/>
        <w:gridCol w:w="277"/>
        <w:gridCol w:w="279"/>
        <w:gridCol w:w="109"/>
        <w:gridCol w:w="109"/>
        <w:gridCol w:w="109"/>
        <w:gridCol w:w="1110"/>
        <w:gridCol w:w="1110"/>
        <w:gridCol w:w="1574"/>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mistrascompensationrecoupm.htm">
              <w:r>
                <w:rPr>
                  <w:rStyle w:val="InternetLink"/>
                  <w:rFonts w:ascii="Times New Roman;sans-serif" w:hAnsi="Times New Roman;sans-serif"/>
                  <w:b w:val="false"/>
                  <w:color w:val="0000FF"/>
                  <w:sz w:val="20"/>
                  <w:u w:val="single"/>
                </w:rPr>
                <w:t>Incentive Compensation Recoupment Policy</w:t>
              </w:r>
            </w:hyperlink>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Labels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Definition Linkbase Document</w:t>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417"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10.3 to 10.19 are management contracts or compensatory plans, contracts, or arrangements.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1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366" w:type="dxa"/>
        <w:jc w:val="left"/>
        <w:tblInd w:w="0" w:type="dxa"/>
        <w:tblLayout w:type="fixed"/>
        <w:tblCellMar>
          <w:top w:w="28" w:type="dxa"/>
          <w:left w:w="28" w:type="dxa"/>
          <w:bottom w:w="28" w:type="dxa"/>
          <w:right w:w="28" w:type="dxa"/>
        </w:tblCellMar>
      </w:tblPr>
      <w:tblGrid>
        <w:gridCol w:w="124"/>
        <w:gridCol w:w="109"/>
        <w:gridCol w:w="109"/>
        <w:gridCol w:w="527"/>
        <w:gridCol w:w="527"/>
        <w:gridCol w:w="527"/>
        <w:gridCol w:w="1002"/>
        <w:gridCol w:w="1002"/>
        <w:gridCol w:w="14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GROUP,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Manuel N. Stamatakis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Manuel N. Stamatakis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Interim President and Chief Executive Officer</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11,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the undersigned directors and officers of Mistras Group, Inc., hereby severally constitute Manuel N. Stamatakis, Edward J. Prajzner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power of attorney may only be revoked by a written document executed by the undersigned that expressly revokes this power by referring to the date and subject 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752"/>
        <w:gridCol w:w="586"/>
        <w:gridCol w:w="589"/>
        <w:gridCol w:w="109"/>
        <w:gridCol w:w="109"/>
        <w:gridCol w:w="109"/>
        <w:gridCol w:w="2184"/>
        <w:gridCol w:w="2141"/>
        <w:gridCol w:w="2168"/>
        <w:gridCol w:w="109"/>
        <w:gridCol w:w="109"/>
        <w:gridCol w:w="109"/>
        <w:gridCol w:w="328"/>
        <w:gridCol w:w="328"/>
        <w:gridCol w:w="475"/>
      </w:tblGrid>
      <w:tr>
        <w:trPr/>
        <w:tc>
          <w:tcPr>
            <w:tcW w:w="75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Manuel N. Stamatakis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Chairman, Interim President, Chief Executive Officer, and Director </w:t>
            </w: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Manuel N. Stamatakis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J. Prajzner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Executive Vice President, and Chief Financial Officer </w:t>
            </w:r>
            <w:r>
              <w:rPr>
                <w:rFonts w:ascii="Times New Roman;sans-serif" w:hAnsi="Times New Roman;sans-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J. Prajzner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Dr. Sotirios J. Vahaviolos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Emeritus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Sotirios J. Vahaviolos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Nicholas DeBenedictis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DeBenedictis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Forese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Forese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H. Glanton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H. Glanton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Michelle J. Lohmeier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Michelle J. Lohmeier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P. Pizzi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Charles P. Pizzi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EMPLOYMENT AGREEMENT</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Employment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dated as of October 1, 2023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by and between Mistras Group,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and John A. Smith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pPr>
      <w:r>
        <w:rPr>
          <w:rFonts w:ascii="Times New Roman;sans-serif" w:hAnsi="Times New Roman;sans-serif"/>
          <w:b/>
          <w:color w:val="000000"/>
          <w:sz w:val="24"/>
          <w:u w:val="single"/>
        </w:rPr>
        <w:t>Recital</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immediately prior to the execution and delivery of this Agreement, Executive has been employed by the Company as Senior Vice President, Services Operations (the “</w:t>
      </w:r>
      <w:r>
        <w:rPr>
          <w:rFonts w:ascii="Times New Roman;sans-serif" w:hAnsi="Times New Roman;sans-serif"/>
          <w:b/>
          <w:color w:val="000000"/>
          <w:sz w:val="24"/>
        </w:rPr>
        <w:t>Prior Position</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immediately prior to the execution and delivery of this Agreement, and in respect of his Prior Position, Executive’s compensation arrangements were set forth in the letter dated May 19, 2023 from the Company to Executive (such letter, the “</w:t>
      </w:r>
      <w:r>
        <w:rPr>
          <w:rFonts w:ascii="Times New Roman;sans-serif" w:hAnsi="Times New Roman;sans-serif"/>
          <w:b/>
          <w:color w:val="000000"/>
          <w:sz w:val="24"/>
        </w:rPr>
        <w:t>Prior Compensation Letter</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immediately upon the execution and delivery of this Agreement, the compensation arrangements and other terms and conditions set forth in the Prior Compensation Letter shall terminate automatically except as and to the extent expressly set forth in this Agreement;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this Agreement sets forth the terms and conditions of the Company’s employment of Executive from and after the execution and delivery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for good and valuable consideration, the receipt and sufficiency of which are hereby acknowledged, and intending to be legally bound hereby, the parties agree as follows:</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Employment</w:t>
      </w:r>
      <w:r>
        <w:rPr>
          <w:rFonts w:ascii="Times New Roman;sans-serif" w:hAnsi="Times New Roman;sans-serif"/>
          <w:b w:val="false"/>
          <w:color w:val="000000"/>
          <w:sz w:val="24"/>
        </w:rPr>
        <w:t>. The Company shall employ Executive and Executive shall be employed by the Company upon the terms and conditions set forth in this Agreement.</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Term</w:t>
      </w:r>
      <w:r>
        <w:rPr>
          <w:rFonts w:ascii="Times New Roman;sans-serif" w:hAnsi="Times New Roman;sans-serif"/>
          <w:b w:val="false"/>
          <w:color w:val="000000"/>
          <w:sz w:val="24"/>
        </w:rPr>
        <w:t xml:space="preserve">. Executive’s employment pursuant to this Agreement will commence on the Effective Date and will continue until terminated in accordance with </w:t>
      </w:r>
      <w:r>
        <w:rPr>
          <w:rFonts w:ascii="Times New Roman;sans-serif" w:hAnsi="Times New Roman;sans-serif"/>
          <w:b w:val="false"/>
          <w:color w:val="000000"/>
          <w:sz w:val="24"/>
          <w:u w:val="single"/>
        </w:rPr>
        <w:t>Section 10</w:t>
      </w:r>
      <w:r>
        <w:rPr>
          <w:color w:val="000000"/>
        </w:rPr>
        <w:t xml:space="preserve"> </w:t>
      </w:r>
      <w:r>
        <w:rPr>
          <w:rFonts w:ascii="Times New Roman;sans-serif" w:hAnsi="Times New Roman;sans-serif"/>
          <w:b w:val="false"/>
          <w:color w:val="000000"/>
          <w:sz w:val="24"/>
        </w:rPr>
        <w:t xml:space="preserve">hereof. </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Position and Duties; Full Time Commitment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Executive shall serve as the Executive Vice President and President of Services of the Company, and in this position, Executive will report to, and be subject to the control and direction of, the Company’s Chief Executive Officer and carry out such duties and responsibilities as are customarily performed by persons in Executive’s position within the industry and such other duties and responsibilities as the Company may reasonably assign to him from time to time.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attached hereto sets forth some of those duties and responsibilities that the Company currently expects Executive to perform, subject to the Company’s reservation of the right to reasonably change these duties and responsibilities or to reasonably assign to Executive other duties and responsibilities, as well as some of the key expectations of the Company in its promotion of Executive.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Executive agrees to devote his full business time and best efforts to the performance of his duties and responsibilities hereunder and in furtherance of the Company’s interests and will not engage in any other employment, consulting or business services; provided that Executive may engage in charitable activities so long as such activities do not interfere with the performance of his duties and responsibilities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02235"/>
                <wp:effectExtent l="0" t="0" r="0" b="0"/>
                <wp:wrapNone/>
                <wp:docPr id="90" name="Frame8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Company Policies</w:t>
      </w:r>
      <w:r>
        <w:rPr>
          <w:rFonts w:ascii="Times New Roman;sans-serif" w:hAnsi="Times New Roman;sans-serif"/>
          <w:b w:val="false"/>
          <w:color w:val="000000"/>
          <w:sz w:val="24"/>
        </w:rPr>
        <w:t>. Executive will comply with all policies of the Company in effect from time to time, including (without limitation) policies regarding ethics, personal conduct, stock ownership, securities trading, compensation clawbacks and hedging and pledging of securities.</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Place of Performance</w:t>
      </w:r>
      <w:r>
        <w:rPr>
          <w:rFonts w:ascii="Times New Roman;sans-serif" w:hAnsi="Times New Roman;sans-serif"/>
          <w:b w:val="false"/>
          <w:color w:val="000000"/>
          <w:sz w:val="24"/>
        </w:rPr>
        <w:t>. Executive will continue to perform his duties and responsibilities primarily from his home office in South Carolina; provided, however, that Executive will be required to travel for business purposes frequently, including to the Company’s corporate headquarters in Princeton, New Jersey.</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Salary</w:t>
      </w:r>
      <w:r>
        <w:rPr>
          <w:rFonts w:ascii="Times New Roman;sans-serif" w:hAnsi="Times New Roman;sans-serif"/>
          <w:b w:val="false"/>
          <w:color w:val="000000"/>
          <w:sz w:val="24"/>
        </w:rPr>
        <w:t>. Executive’s position with the Company is a full-time exempt position. The Company will pay Executive a salary (the “</w:t>
      </w:r>
      <w:r>
        <w:rPr>
          <w:rFonts w:ascii="Times New Roman;sans-serif" w:hAnsi="Times New Roman;sans-serif"/>
          <w:b/>
          <w:color w:val="000000"/>
          <w:sz w:val="24"/>
        </w:rPr>
        <w:t>Base Salary</w:t>
      </w:r>
      <w:r>
        <w:rPr>
          <w:color w:val="000000"/>
        </w:rPr>
        <w:t>”</w:t>
      </w:r>
      <w:r>
        <w:rPr>
          <w:rFonts w:ascii="Times New Roman;sans-serif" w:hAnsi="Times New Roman;sans-serif"/>
          <w:b w:val="false"/>
          <w:color w:val="000000"/>
          <w:sz w:val="24"/>
        </w:rPr>
        <w:t>) at an initial annual rate (effective as of the Effective Date) of $450,000, payable in accordance with the Company’s standard payroll schedule and subject to applicable deductions and withholdings. The amount of the Base Salary shall be reviewed on an annual basis by the Company in conjunction with an annual performance assessment of Executive and may be increased or decreased from time to time by the Company. For the avoidance of doubt, immediately prior to the Effective Date, Executive was entitled to receive a base salary at the annual rate of $380,000 (the “</w:t>
      </w:r>
      <w:r>
        <w:rPr>
          <w:rFonts w:ascii="Times New Roman;sans-serif" w:hAnsi="Times New Roman;sans-serif"/>
          <w:b/>
          <w:color w:val="000000"/>
          <w:sz w:val="24"/>
        </w:rPr>
        <w:t>Prior Salary Amount</w:t>
      </w:r>
      <w:r>
        <w:rPr>
          <w:color w:val="000000"/>
        </w:rPr>
        <w:t>”</w:t>
      </w:r>
      <w:r>
        <w:rPr>
          <w:rFonts w:ascii="Times New Roman;sans-serif" w:hAnsi="Times New Roman;sans-serif"/>
          <w:b w:val="false"/>
          <w:color w:val="000000"/>
          <w:sz w:val="24"/>
        </w:rPr>
        <w:t>), and the Base Salary, as set forth above, shall be effective solely for periods from and after the Effective Date.</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Annual Incentive Awards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For each calendar year (other than calendar year 2023) during his employment, Executive will have the opportunity to earn an annual incentive award under the Company’s “Executive annual incentive plan” (sometimes referred to as the “Executive annual bonus plan”) applicable to senior executives generally, with Executive’s annual incentive target opportunity amount (and range of potential payouts, if any) for each calendar year to be set by the Company and to be dependent upon the extent to which performance targets established by the Company are or are not achieved for such year. Any annual incentive award that is earned by Executive will be payable consistent with the Company’s regular payroll practices applicable to annual incentive awards for senior executives generally. Except as otherwise provided herein or determined by the Company, payment of any otherwise earned annual incentive award will be conditioned on Executive’s continued employment through the date that annual incentive awards are paid to senior executives generally with respect to the applicable year. For the avoidance of doubt, Executive’s annual incentive award opportunity for calendar year 2023 shall be covered by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For calendar year 2023, Executive will have the opportunity to earn an annual cash incentive award, which shall be comprised of two components as specified in subparagraphs (b)(i) and (b)(ii)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one component (the “</w:t>
      </w:r>
      <w:r>
        <w:rPr>
          <w:rFonts w:ascii="Times New Roman;sans-serif" w:hAnsi="Times New Roman;sans-serif"/>
          <w:b/>
          <w:color w:val="000000"/>
          <w:sz w:val="24"/>
        </w:rPr>
        <w:t>First Cash Incentive Component</w:t>
      </w:r>
      <w:r>
        <w:rPr>
          <w:color w:val="000000"/>
        </w:rPr>
        <w:t>”</w:t>
      </w:r>
      <w:r>
        <w:rPr>
          <w:rFonts w:ascii="Times New Roman;sans-serif" w:hAnsi="Times New Roman;sans-serif"/>
          <w:b w:val="false"/>
          <w:color w:val="000000"/>
          <w:sz w:val="24"/>
        </w:rPr>
        <w:t>) of Executive’s opportunity to earn an annual cash incentive award for calendar year 2023 will based on the 2023 annual incentive plan established for Executive in the Prior Compensation Letter (and referred to in the Prior Compensation Letter as “cash bonus”); provided that (1) any amount that may be earned thereunder on the basis of actual achievements thereunder (the “</w:t>
      </w:r>
      <w:r>
        <w:rPr>
          <w:rFonts w:ascii="Times New Roman;sans-serif" w:hAnsi="Times New Roman;sans-serif"/>
          <w:b/>
          <w:color w:val="000000"/>
          <w:sz w:val="24"/>
        </w:rPr>
        <w:t>clause 7(b)(i) nominal amount</w:t>
      </w:r>
      <w:r>
        <w:rPr>
          <w:color w:val="000000"/>
        </w:rPr>
        <w:t>”</w:t>
      </w:r>
      <w:r>
        <w:rPr>
          <w:rFonts w:ascii="Times New Roman;sans-serif" w:hAnsi="Times New Roman;sans-serif"/>
          <w:b w:val="false"/>
          <w:color w:val="000000"/>
          <w:sz w:val="24"/>
        </w:rPr>
        <w:t>) shall be pro-rated to equal the product of the clause 7(b)(i) nominal amount multiplied by a fraction the numerator of which is the number of days from and including January 1, 2023 to but excluding the Effective Date, and the denominator of which is three hundred sixty-five (365) and (2) for the avoidance of doubt, the Prior Salary Amount (and not the Bae Salary) shall be used in the computation of the clause 7(b)(i) nominal amount;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the other component (the “</w:t>
      </w:r>
      <w:r>
        <w:rPr>
          <w:rFonts w:ascii="Times New Roman;sans-serif" w:hAnsi="Times New Roman;sans-serif"/>
          <w:b/>
          <w:color w:val="000000"/>
          <w:sz w:val="24"/>
        </w:rPr>
        <w:t>Second Cash Incentive Component</w:t>
      </w:r>
      <w:r>
        <w:rPr>
          <w:color w:val="000000"/>
        </w:rPr>
        <w:t>”</w:t>
      </w:r>
      <w:r>
        <w:rPr>
          <w:rFonts w:ascii="Times New Roman;sans-serif" w:hAnsi="Times New Roman;sans-serif"/>
          <w:b w:val="false"/>
          <w:color w:val="000000"/>
          <w:sz w:val="24"/>
        </w:rPr>
        <w:t xml:space="preserve">) of Executive’s opportunity to earn an annual cash incentive award for calendar year 2023 will based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7495"/>
                <wp:effectExtent l="0" t="0" r="0" b="0"/>
                <wp:wrapNone/>
                <wp:docPr id="91" name="Frame8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on the Company’s previously established “Executive annual incentive plan” (sometimes, as noted in </w:t>
      </w:r>
      <w:r>
        <w:rPr>
          <w:rFonts w:ascii="Times New Roman;sans-serif" w:hAnsi="Times New Roman;sans-serif"/>
          <w:b w:val="false"/>
          <w:color w:val="000000"/>
          <w:sz w:val="24"/>
          <w:u w:val="single"/>
        </w:rPr>
        <w:t>Section 7(a)</w:t>
      </w:r>
      <w:r>
        <w:rPr>
          <w:color w:val="000000"/>
        </w:rPr>
        <w:t xml:space="preserve"> </w:t>
      </w:r>
      <w:r>
        <w:rPr>
          <w:rFonts w:ascii="Times New Roman;sans-serif" w:hAnsi="Times New Roman;sans-serif"/>
          <w:b w:val="false"/>
          <w:color w:val="000000"/>
          <w:sz w:val="24"/>
        </w:rPr>
        <w:t xml:space="preserve">above, referred to as the “Executive annual bonus plan”) applicable to senior executives generally for calendar year 2023, but with the amount of amount of any payment on account thereof to be pro-rated and computed as follows: </w:t>
      </w:r>
      <w:r>
        <w:rPr>
          <w:rFonts w:ascii="Times New Roman;sans-serif" w:hAnsi="Times New Roman;sans-serif"/>
          <w:b w:val="false"/>
          <w:i/>
          <w:color w:val="000000"/>
          <w:sz w:val="24"/>
        </w:rPr>
        <w:t>first</w:t>
      </w:r>
      <w:r>
        <w:rPr>
          <w:rFonts w:ascii="Times New Roman;sans-serif" w:hAnsi="Times New Roman;sans-serif"/>
          <w:b w:val="false"/>
          <w:color w:val="000000"/>
          <w:sz w:val="24"/>
        </w:rPr>
        <w:t>, the target amount (prior to the following proration) shall be equal to 50% of the Base Salary (and with the actual award amount (the “</w:t>
      </w:r>
      <w:r>
        <w:rPr>
          <w:rFonts w:ascii="Times New Roman;sans-serif" w:hAnsi="Times New Roman;sans-serif"/>
          <w:b/>
          <w:color w:val="000000"/>
          <w:sz w:val="24"/>
        </w:rPr>
        <w:t>clause 7(b)(ii) nominal amount</w:t>
      </w:r>
      <w:r>
        <w:rPr>
          <w:color w:val="000000"/>
        </w:rPr>
        <w:t>”</w:t>
      </w:r>
      <w:r>
        <w:rPr>
          <w:rFonts w:ascii="Times New Roman;sans-serif" w:hAnsi="Times New Roman;sans-serif"/>
          <w:b w:val="false"/>
          <w:color w:val="000000"/>
          <w:sz w:val="24"/>
        </w:rPr>
        <w:t xml:space="preserve">), if any and prior to the following proration, ranging from 0 to 200% of the foregoing target amount, depending upon the extent to which performance targets previously established by the Company under the Executive annual incentive plan for calendar year 2023 are or are not achieved, and with the weightings among such performance targets applied in the same manner for Executive as applicable to other senior executives participating in the Executive annual incentive plan); and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the actual payment amount, if any, shall be pro-rated to equal the product of the clause 7(b)(ii) nominal amount multiplied by a fraction the numerator of which is the number of days from and including the Effective Date to and including December 31, 2023, and the denominator of which is three hundred sixty-five (365).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the “metrics” and weightings, and computations in respect thereof, set forth in the Prior Compensation Letter apply solely to the First Cash Incentive Component and not to the Second Cash Incentive Component.</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Long-Term Equity Incentive Grants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For each calendar year (other than calendar year 2023) during his employment, Executive will be eligible to receive a grant of performance-based equity, which, as of the Effective Date, is contemplated to be in the form of Restricted Stock Unit Awards (“</w:t>
      </w:r>
      <w:r>
        <w:rPr>
          <w:rFonts w:ascii="Times New Roman;sans-serif" w:hAnsi="Times New Roman;sans-serif"/>
          <w:b/>
          <w:color w:val="000000"/>
          <w:sz w:val="24"/>
        </w:rPr>
        <w:t>Performance-Based RSUs</w:t>
      </w:r>
      <w:r>
        <w:rPr>
          <w:color w:val="000000"/>
        </w:rPr>
        <w:t>”</w:t>
      </w:r>
      <w:r>
        <w:rPr>
          <w:rFonts w:ascii="Times New Roman;sans-serif" w:hAnsi="Times New Roman;sans-serif"/>
          <w:b w:val="false"/>
          <w:color w:val="000000"/>
          <w:sz w:val="24"/>
        </w:rPr>
        <w:t xml:space="preserve">) under the LTIP (as defined in </w:t>
      </w:r>
      <w:r>
        <w:rPr>
          <w:rFonts w:ascii="Times New Roman;sans-serif" w:hAnsi="Times New Roman;sans-serif"/>
          <w:b w:val="false"/>
          <w:color w:val="000000"/>
          <w:sz w:val="24"/>
          <w:u w:val="single"/>
        </w:rPr>
        <w:t>Section 14</w:t>
      </w:r>
      <w:r>
        <w:rPr>
          <w:color w:val="000000"/>
        </w:rPr>
        <w:t xml:space="preserve"> </w:t>
      </w:r>
      <w:r>
        <w:rPr>
          <w:rFonts w:ascii="Times New Roman;sans-serif" w:hAnsi="Times New Roman;sans-serif"/>
          <w:b w:val="false"/>
          <w:color w:val="000000"/>
          <w:sz w:val="24"/>
        </w:rPr>
        <w:t xml:space="preserve">below). Executive’s performance-based target equity opportunity amount (and range of potential payouts, if any) for each calendar year (other than calendar year 2023) will be set by the Company and will be dependent upon the extent to which performance targets established by the Company are or are not achieved for such year. For the avoidance of doubt, Executive’s performance-based equity award opportunity for calendar year 2023 shall be covered by </w:t>
      </w:r>
      <w:r>
        <w:rPr>
          <w:rFonts w:ascii="Times New Roman;sans-serif" w:hAnsi="Times New Roman;sans-serif"/>
          <w:b w:val="false"/>
          <w:color w:val="000000"/>
          <w:sz w:val="24"/>
          <w:u w:val="single"/>
        </w:rPr>
        <w:t>Section 8(b)</w:t>
      </w:r>
      <w:r>
        <w:rPr>
          <w:color w:val="000000"/>
        </w:rPr>
        <w:t xml:space="preserve"> </w:t>
      </w:r>
      <w:r>
        <w:rPr>
          <w:rFonts w:ascii="Times New Roman;sans-serif" w:hAnsi="Times New Roman;sans-serif"/>
          <w:b w:val="false"/>
          <w:color w:val="000000"/>
          <w:sz w:val="24"/>
        </w:rPr>
        <w:t>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For calendar year 2023, Executive will have the opportunity to earn and receive an aggregate number of Performance-Based RSUs (collectively, the “</w:t>
      </w:r>
      <w:r>
        <w:rPr>
          <w:rFonts w:ascii="Times New Roman;sans-serif" w:hAnsi="Times New Roman;sans-serif"/>
          <w:b/>
          <w:color w:val="000000"/>
          <w:sz w:val="24"/>
        </w:rPr>
        <w:t>2023 RSUs</w:t>
      </w:r>
      <w:r>
        <w:rPr>
          <w:color w:val="000000"/>
        </w:rPr>
        <w:t>”</w:t>
      </w:r>
      <w:r>
        <w:rPr>
          <w:rFonts w:ascii="Times New Roman;sans-serif" w:hAnsi="Times New Roman;sans-serif"/>
          <w:b w:val="false"/>
          <w:color w:val="000000"/>
          <w:sz w:val="24"/>
        </w:rPr>
        <w:t>), with the aggregate number being the sum of the two numbers determined as specified in subparagraphs (b)(i) and (b)(ii)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first number of 2023 RSUs (“</w:t>
      </w:r>
      <w:r>
        <w:rPr>
          <w:rFonts w:ascii="Times New Roman;sans-serif" w:hAnsi="Times New Roman;sans-serif"/>
          <w:b/>
          <w:color w:val="000000"/>
          <w:sz w:val="24"/>
        </w:rPr>
        <w:t>Clause (i) 2023 RSUs</w:t>
      </w:r>
      <w:r>
        <w:rPr>
          <w:color w:val="000000"/>
        </w:rPr>
        <w:t>”</w:t>
      </w:r>
      <w:r>
        <w:rPr>
          <w:rFonts w:ascii="Times New Roman;sans-serif" w:hAnsi="Times New Roman;sans-serif"/>
          <w:b w:val="false"/>
          <w:color w:val="000000"/>
          <w:sz w:val="24"/>
        </w:rPr>
        <w:t>) that Executive will be eligible to receive for calendar year 2023 will be determined in accordance with the 2023 performance-based equity award established for Executive in the Prior Compensation Letter and, accordingly, will be contingent upon, and a direct function of, the extent to which the performance targets established for Executive in the Prior Compensation Letter are or are not achieved (and with the weightings among such performance targets applied in the manner established for Executive in the Prior Compensation Letter and with the target amount and range of potential payouts as set forth in the Prior Compensation Letter); provided that the actual award amount (the “</w:t>
      </w:r>
      <w:r>
        <w:rPr>
          <w:rFonts w:ascii="Times New Roman;sans-serif" w:hAnsi="Times New Roman;sans-serif"/>
          <w:b/>
          <w:color w:val="000000"/>
          <w:sz w:val="24"/>
        </w:rPr>
        <w:t>clause (8)(b)(i) nominal amount</w:t>
      </w:r>
      <w:r>
        <w:rPr>
          <w:color w:val="000000"/>
        </w:rPr>
        <w:t>”</w:t>
      </w:r>
      <w:r>
        <w:rPr>
          <w:rFonts w:ascii="Times New Roman;sans-serif" w:hAnsi="Times New Roman;sans-serif"/>
          <w:b w:val="false"/>
          <w:color w:val="000000"/>
          <w:sz w:val="24"/>
        </w:rPr>
        <w:t xml:space="preserve">), if any, shall be pro-rated to equal the product of the clause (8)(b)(i) nominal amount multiplied by a fraction the numerator of which is the number of days from and including January 1, 2023 to but excluding the Effective Date and the denominator of which is three hundred sixty-five (365) (and, for the avoidance of doubt, the Prior Salary Amount, and not the Bae Salary, shall be used in the computation of the clause 8(b)(i) nominal amount); and the resulting dollar amount shall be converted into a number of earned Clause (i) 2023 RSUs using the Company’s valuation methodology for conversions generally applicable to senior vice presidents of operations and regional managers in the Company’s “Services” segment; and </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7495"/>
                <wp:effectExtent l="0" t="0" r="0" b="0"/>
                <wp:wrapNone/>
                <wp:docPr id="92" name="Frame8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the second number of 2023 RSUs (“</w:t>
      </w:r>
      <w:r>
        <w:rPr>
          <w:rFonts w:ascii="Times New Roman;sans-serif" w:hAnsi="Times New Roman;sans-serif"/>
          <w:b/>
          <w:color w:val="000000"/>
          <w:sz w:val="24"/>
        </w:rPr>
        <w:t>Clause (ii) 2023 RSUs</w:t>
      </w:r>
      <w:r>
        <w:rPr>
          <w:color w:val="000000"/>
        </w:rPr>
        <w:t>”</w:t>
      </w:r>
      <w:r>
        <w:rPr>
          <w:rFonts w:ascii="Times New Roman;sans-serif" w:hAnsi="Times New Roman;sans-serif"/>
          <w:b w:val="false"/>
          <w:color w:val="000000"/>
          <w:sz w:val="24"/>
        </w:rPr>
        <w:t xml:space="preserve">) that Executive will be eligible to receive for calendar year 2023 will be determined as follows: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any issuance of Clause (ii) 2023 RSUs will be contingent upon, and a direct function of, the extent to which the previously established performance targets applicable to performance-based equity for senior executives generally for calendar year 2023 are or are not achieved (and with the weightings among such performance targets applied in the same manner for Executive);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the target dollar amount of the Clause (ii) 2023 RSUs (prior to the following proration) shall be equal to 100% of the Base Salary (and with the actual award amount, if any and prior to proration, ranging from 0 to 200% of the target dollar amount, depending upon the extent to which such previously established performance targets for calendar year 2023 are or are not achieved); </w:t>
      </w:r>
      <w:r>
        <w:rPr>
          <w:rFonts w:ascii="Times New Roman;sans-serif" w:hAnsi="Times New Roman;sans-serif"/>
          <w:b w:val="false"/>
          <w:i/>
          <w:color w:val="000000"/>
          <w:sz w:val="24"/>
        </w:rPr>
        <w:t>third</w:t>
      </w:r>
      <w:r>
        <w:rPr>
          <w:rFonts w:ascii="Times New Roman;sans-serif" w:hAnsi="Times New Roman;sans-serif"/>
          <w:b w:val="false"/>
          <w:color w:val="000000"/>
          <w:sz w:val="24"/>
        </w:rPr>
        <w:t>, the actual award amount (the “</w:t>
      </w:r>
      <w:r>
        <w:rPr>
          <w:rFonts w:ascii="Times New Roman;sans-serif" w:hAnsi="Times New Roman;sans-serif"/>
          <w:b/>
          <w:color w:val="000000"/>
          <w:sz w:val="24"/>
        </w:rPr>
        <w:t>clause 8(b)(ii) nominal amount</w:t>
      </w:r>
      <w:r>
        <w:rPr>
          <w:color w:val="000000"/>
        </w:rPr>
        <w:t>”</w:t>
      </w:r>
      <w:r>
        <w:rPr>
          <w:rFonts w:ascii="Times New Roman;sans-serif" w:hAnsi="Times New Roman;sans-serif"/>
          <w:b w:val="false"/>
          <w:color w:val="000000"/>
          <w:sz w:val="24"/>
        </w:rPr>
        <w:t xml:space="preserve">), if any, shall be pro-rated to equal the product of the clause 8(b)(ii) nominal amount multiplied by a fraction the numerator of which is the number of days from and including the Effective Date to and including December 31, 2023 and the denominator of which is three hundred sixty-five (365); and </w:t>
      </w:r>
      <w:r>
        <w:rPr>
          <w:rFonts w:ascii="Times New Roman;sans-serif" w:hAnsi="Times New Roman;sans-serif"/>
          <w:b w:val="false"/>
          <w:i/>
          <w:color w:val="000000"/>
          <w:sz w:val="24"/>
        </w:rPr>
        <w:t>fourth</w:t>
      </w:r>
      <w:r>
        <w:rPr>
          <w:rFonts w:ascii="Times New Roman;sans-serif" w:hAnsi="Times New Roman;sans-serif"/>
          <w:b w:val="false"/>
          <w:color w:val="000000"/>
          <w:sz w:val="24"/>
        </w:rPr>
        <w:t>, the resulting dollar amount shall be converted into a number of earned Clause (ii) 2023 RSUs using the Company’s valuation methodology for conversions generally applicable to other senior executives.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the “metrics” and weightings, and computations in respect thereof, set forth in the Prior Compensation Letter apply solely to the First 2023 RSU Component and not to the Second 2023 RSU Component.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Any earned Clause (i) 2023 RSUs and Clause (ii) 2023 RSUs (collectively, the “</w:t>
      </w:r>
      <w:r>
        <w:rPr>
          <w:rFonts w:ascii="Times New Roman;sans-serif" w:hAnsi="Times New Roman;sans-serif"/>
          <w:b/>
          <w:color w:val="000000"/>
          <w:sz w:val="24"/>
        </w:rPr>
        <w:t>2023 RSUs</w:t>
      </w:r>
      <w:r>
        <w:rPr>
          <w:color w:val="000000"/>
        </w:rPr>
        <w:t>”</w:t>
      </w:r>
      <w:r>
        <w:rPr>
          <w:rFonts w:ascii="Times New Roman;sans-serif" w:hAnsi="Times New Roman;sans-serif"/>
          <w:b w:val="false"/>
          <w:color w:val="000000"/>
          <w:sz w:val="24"/>
        </w:rPr>
        <w:t xml:space="preserve">) shall vest in four (4) equal installments on each of the first four (4) anniversary dates of the Earned Date (as defined below), subject to the continued employment of Executive on each of such vesting dates and except as otherwise provided in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below and the LTIP. Except as provided for in this </w:t>
      </w:r>
      <w:r>
        <w:rPr>
          <w:rFonts w:ascii="Times New Roman;sans-serif" w:hAnsi="Times New Roman;sans-serif"/>
          <w:b w:val="false"/>
          <w:color w:val="000000"/>
          <w:sz w:val="24"/>
          <w:u w:val="single"/>
        </w:rPr>
        <w:t>Section 8(c)</w:t>
      </w:r>
      <w:r>
        <w:rPr>
          <w:color w:val="000000"/>
        </w:rPr>
        <w:t xml:space="preserve"> </w:t>
      </w:r>
      <w:r>
        <w:rPr>
          <w:rFonts w:ascii="Times New Roman;sans-serif" w:hAnsi="Times New Roman;sans-serif"/>
          <w:b w:val="false"/>
          <w:color w:val="000000"/>
          <w:sz w:val="24"/>
        </w:rPr>
        <w:t xml:space="preserve">and in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below, the Performance-Based RSUs and 2023 RSUs shall be subject to the terms of the LTIP, including Article 6 and Article 9 thereof. The “</w:t>
      </w:r>
      <w:r>
        <w:rPr>
          <w:rFonts w:ascii="Times New Roman;sans-serif" w:hAnsi="Times New Roman;sans-serif"/>
          <w:b/>
          <w:color w:val="000000"/>
          <w:sz w:val="24"/>
        </w:rPr>
        <w:t>Earned Date</w:t>
      </w:r>
      <w:r>
        <w:rPr>
          <w:color w:val="000000"/>
        </w:rPr>
        <w:t xml:space="preserve">” </w:t>
      </w:r>
      <w:r>
        <w:rPr>
          <w:rFonts w:ascii="Times New Roman;sans-serif" w:hAnsi="Times New Roman;sans-serif"/>
          <w:b w:val="false"/>
          <w:color w:val="000000"/>
          <w:sz w:val="24"/>
        </w:rPr>
        <w:t>in respect of Performance-Based RSUs and 2023 RSUs, as applicable, shall be the date on which the Committee (as defined in the LTIP) or its designee has determined the achievement levels in respect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Each equity award described herein will be subject to additional terms and conditions, not inconsistent with this Agreement, as specified by the administrator of the applicable equity plan and memorialized in a separate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Nothing in this Agreement changes the terms and conditions applicable to the “One-Time Special RSU Award” referred to in the Prior Compensation Letter.</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Benefits; Business Expenses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Executive shall be entitled to participate in Company benefit plans that are generally available to other executives of the Company of similar rank and tenure, in accordance with and subject to the terms and conditions of such plans, as in effect from time to time.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connection with his Prior Position, Executive has had use of a Company vehicle for business and personal purposes, and will continue to be eligible to have such use of a Company vehicle on and after the Effective Date, consistent with the Company’s fleet vehicle policy and practices for senior executives generally.</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7495"/>
                <wp:effectExtent l="0" t="0" r="0" b="0"/>
                <wp:wrapNone/>
                <wp:docPr id="93" name="Frame89"/>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Termination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Executive’s employment hereunder shall terminate on the earliest of: (i) on the date set forth in a written notice to Executive from the Company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Company that Executive’s employment is terminated on account of Executive’s Disability, as determined by the Company. Notwithstanding the foregoing, in the event that Executive gives notice of termination to the Company, the Company may unilaterally accelerate the date of termination and such acceleration shall not constitute a termination by the Company for purposes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Upon cessation of Executive’s employment for any reason, unless otherwise consented to in writing by the Company, Executive will resign immediately from any and all officer, director and other positions Executive then holds with the Company and its affiliates and agrees to execute such documents as may be requested by the Company to confirm that resignation.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Upon any cessation of Executive’s employment with the Company, Executive will be entitled only to such compensation and benefits as described in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Rights Upon Termination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Termination without Cause or Resignation for Good Reason</w:t>
      </w:r>
      <w:r>
        <w:rPr>
          <w:rFonts w:ascii="Times New Roman;sans-serif" w:hAnsi="Times New Roman;sans-serif"/>
          <w:b w:val="false"/>
          <w:color w:val="000000"/>
          <w:sz w:val="24"/>
        </w:rPr>
        <w:t xml:space="preserve">. If Executive’s employment by the Company ceases due to a termination by the Company without Cause (as defined in </w:t>
      </w:r>
      <w:r>
        <w:rPr>
          <w:rFonts w:ascii="Times New Roman;sans-serif" w:hAnsi="Times New Roman;sans-serif"/>
          <w:b w:val="false"/>
          <w:color w:val="000000"/>
          <w:sz w:val="24"/>
          <w:u w:val="single"/>
        </w:rPr>
        <w:t>Section 14</w:t>
      </w:r>
      <w:r>
        <w:rPr>
          <w:rFonts w:ascii="Times New Roman;sans-serif" w:hAnsi="Times New Roman;sans-serif"/>
          <w:b w:val="false"/>
          <w:color w:val="000000"/>
          <w:sz w:val="24"/>
        </w:rPr>
        <w:t xml:space="preserve">) or a resignation by Executive for Good Reason (as defined in </w:t>
      </w:r>
      <w:r>
        <w:rPr>
          <w:rFonts w:ascii="Times New Roman;sans-serif" w:hAnsi="Times New Roman;sans-serif"/>
          <w:b w:val="false"/>
          <w:color w:val="000000"/>
          <w:sz w:val="24"/>
          <w:u w:val="single"/>
        </w:rPr>
        <w:t>Section 14</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Company shall pay to Executive all accrued and unpaid Base Salary through the date of such cessation of employment at the time such Base Salary would otherwise be paid according to the Company’s usual payroll practices;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the Company shall pay to Executive any business expenses that were incurred prior to the date of such cessation of employment but not reimbursed and that are otherwise eligible for reimbursement;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to the extent then unpaid, the Company shall pay to Executive the annual incentive award (if any) earned with respect to the calendar year ended immediately prior to the date of such cessation of employment;</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7495"/>
                <wp:effectExtent l="0" t="0" r="0" b="0"/>
                <wp:wrapNone/>
                <wp:docPr id="94" name="Frame9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the Company shall make twelve (12) monthly severance payments to Executive, with each payment equal to one-twelfth (1/12) of the Base Salary as in effect immediately prior to such cessation of employment (or, if such cessation is due to the Good Reason described in clause (ii) of that definition, the Base Salary in effect immediately prior to such material diminution); provided, however, that if the cessation of Executive’s employment with the Company due to a termination by the Company without Cause or a resignation by Executive for Good Reason occurs within ninety (90) days preceding or twelve (12) months after the date of a Change in Control (as defined in </w:t>
      </w:r>
      <w:r>
        <w:rPr>
          <w:rFonts w:ascii="Times New Roman;sans-serif" w:hAnsi="Times New Roman;sans-serif"/>
          <w:b w:val="false"/>
          <w:color w:val="000000"/>
          <w:sz w:val="24"/>
          <w:u w:val="single"/>
        </w:rPr>
        <w:t>Section 14</w:t>
      </w:r>
      <w:r>
        <w:rPr>
          <w:rFonts w:ascii="Times New Roman;sans-serif" w:hAnsi="Times New Roman;sans-serif"/>
          <w:b w:val="false"/>
          <w:color w:val="000000"/>
          <w:sz w:val="24"/>
        </w:rPr>
        <w:t>), then, in lieu of the foregoing, the number of monthly severance payments shall be changed to eighteen (18), with each payment equal to one-eighteenth (1/18) of 150% of the Base Salary as in effect immediately prior to such cessation of employment (or, if such cessation is due to the Good Reason described in clause (ii) of that definition, the Base Salary in effect immediately prior to such material diminution);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the Company shall pay to Executive a lump sum cash payment equal to a pro rata portion of the annual incentive award, if any, that Executive would have earned for the calendar year of his termination based on achievement of the applicable performance targets for such year (the “</w:t>
      </w:r>
      <w:r>
        <w:rPr>
          <w:rFonts w:ascii="Times New Roman;sans-serif" w:hAnsi="Times New Roman;sans-serif"/>
          <w:b/>
          <w:color w:val="000000"/>
          <w:sz w:val="24"/>
        </w:rPr>
        <w:t>Terminal Award</w:t>
      </w:r>
      <w:r>
        <w:rPr>
          <w:color w:val="000000"/>
        </w:rPr>
        <w:t>”</w:t>
      </w:r>
      <w:r>
        <w:rPr>
          <w:rFonts w:ascii="Times New Roman;sans-serif" w:hAnsi="Times New Roman;sans-serif"/>
          <w:b w:val="false"/>
          <w:color w:val="000000"/>
          <w:sz w:val="24"/>
        </w:rPr>
        <w:t xml:space="preserve">) and, for the avoidance of doubt, if and to the extent that any portion of such achievement is based on subjective or judgmental factors, the Company’s determination of the extent of such achievement (if any) shall be final and binding. The pro-rated portion of the Terminal Award shall be determined by multiplying the Terminal Award by a fraction, the numerator of which is the number of days during which Executive was employed by the Company in the calendar year of his termination of employment and the denominator of which is three hundred sixty-five (365). Notwithstanding the foregoing, if the cessation of Executive’s employment with the Company due to a termination by the Company without Cause or a resignation by Executive for Good Reason occurs within ninety (90) days preceding or twelve (12) months after the date of a Change in Control, then in lieu of the foregoing, Executive shall receive 1.50 times his “base amount,” which “base amount” for Executive as of the Effective Date shall mean Executive’s annual incentive award target amount for the calendar year of Executive’s termination of employment; provided, however, that the formulation of the “base amount” is subject to change if the formulation for the base amount for similarly situated executives who experience a qualifying termination within an specified time window of a Change in Control is hereafter changed to something other than “annual incentive award target amount” for the calendar year of employment termination. Unless the payment is required to be delayed pursuant to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below, the payment shall be made on the date that annual incentive awards are paid to similarly situated executives (or if later, the Settlement Date (as defined below)), but in no event later than two-and-a-half months following the end of the calendar year in which Executive’s termination date occurs;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if, immediately before the cessation of Executive’s employment, Executive participates (other than pursuant to COBRA) in a Company group health plan, then, for the twelve (12) months following the date of such cessation (or, if sooner, if executive becomes eligible to obtain coverage under another employer plan), the Company will provide COBRA continuation coverage under such plan to Executive and his spouse at the Company’s expense, if and to the extent they or either of them shall have elected and shall be entitled to receive COBRA continuation coverage; and Executive shall provide immediate notice to the Company of such election and the date of such entitlement. The Company may impute income to Executive in an amount determined by the Company, in its sole discretion, to the extent the Company determines that such imputation of income is necessary to mitigate the risk of penalties and/or taxes to Executive or the Company, or to otherwise comply with applicable law;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rPr>
        <w:t xml:space="preserve">Executive will immediately vest solely in those Performance-Based RSUs and/or 2023 RSUs earned prior to the date of such cessation of employment and that (but for such cessation of employment) are scheduled to vest during (but not after) the one-year period following such cessation date; and, except as provided in the foregoing clause, all other unvested </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7495"/>
                <wp:effectExtent l="0" t="0" r="0" b="0"/>
                <wp:wrapNone/>
                <wp:docPr id="95" name="Frame91"/>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and/or unearned Shares and equity-based awards then held by Executive will remain outstanding and held in suspense for ninety (90) days following such termination and (I) if a Change of Control occurs within such ninety (90) day period, then, in such circumstances only, those Shares and equity-based incentive awards shall become fully vested, with any performance-based equity awards then otherwise subject to an open performance period (as of the later of the termination or Change in Control) being deemed earned at the target amount established by the Company in connection with the grant of the applicable performance-based equity awards and (II) if a Change of Control does not occur within such ninety (90) day period, those Shares and equity-based awards shall be forfeited on such ninetieth (90</w:t>
      </w:r>
      <w:r>
        <w:rPr>
          <w:rFonts w:ascii="Times New Roman;sans-serif" w:hAnsi="Times New Roman;sans-serif"/>
          <w:b w:val="false"/>
          <w:color w:val="000000"/>
          <w:sz w:val="16"/>
        </w:rPr>
        <w:t>th</w:t>
      </w:r>
      <w:r>
        <w:rPr>
          <w:rFonts w:ascii="Times New Roman;sans-serif" w:hAnsi="Times New Roman;sans-serif"/>
          <w:b w:val="false"/>
          <w:color w:val="000000"/>
          <w:sz w:val="24"/>
        </w:rPr>
        <w:t>) day.</w:t>
      </w:r>
    </w:p>
    <w:p>
      <w:pPr>
        <w:pStyle w:val="TextBody"/>
        <w:bidi w:val="0"/>
        <w:spacing w:lineRule="auto" w:line="240" w:before="0" w:after="240"/>
        <w:jc w:val="both"/>
        <w:rPr/>
      </w:pPr>
      <w:r>
        <w:rPr>
          <w:rFonts w:ascii="Times New Roman;sans-serif" w:hAnsi="Times New Roman;sans-serif"/>
          <w:b w:val="false"/>
          <w:color w:val="000000"/>
          <w:sz w:val="24"/>
        </w:rPr>
        <w:t xml:space="preserve">Except as and solely to the extent otherwise provided in this </w:t>
      </w:r>
      <w:r>
        <w:rPr>
          <w:rFonts w:ascii="Times New Roman;sans-serif" w:hAnsi="Times New Roman;sans-serif"/>
          <w:b w:val="false"/>
          <w:color w:val="000000"/>
          <w:sz w:val="24"/>
          <w:u w:val="single"/>
        </w:rPr>
        <w:t>Section 11(a)</w:t>
      </w:r>
      <w:r>
        <w:rPr>
          <w:rFonts w:ascii="Times New Roman;sans-serif" w:hAnsi="Times New Roman;sans-serif"/>
          <w:b w:val="false"/>
          <w:color w:val="000000"/>
          <w:sz w:val="24"/>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Times New Roman;sans-serif" w:hAnsi="Times New Roman;sans-serif"/>
          <w:b w:val="false"/>
          <w:color w:val="000000"/>
          <w:sz w:val="24"/>
          <w:u w:val="single"/>
        </w:rPr>
        <w:t>Section 11(a)</w:t>
      </w:r>
      <w:r>
        <w:rPr>
          <w:color w:val="000000"/>
        </w:rPr>
        <w:t xml:space="preserve"> </w:t>
      </w:r>
      <w:r>
        <w:rPr>
          <w:rFonts w:ascii="Times New Roman;sans-serif" w:hAnsi="Times New Roman;sans-serif"/>
          <w:b w:val="false"/>
          <w:color w:val="000000"/>
          <w:sz w:val="24"/>
        </w:rPr>
        <w:t xml:space="preserve">are in lieu of, and are not in addition to, any other severance arrangements maintained by the Company, including but not limited to severance arrangements in Company plans of applicability to other executives. Notwithstanding any provision of this Agreement, the payments and benefits described in </w:t>
      </w:r>
      <w:r>
        <w:rPr>
          <w:rFonts w:ascii="Times New Roman;sans-serif" w:hAnsi="Times New Roman;sans-serif"/>
          <w:b w:val="false"/>
          <w:color w:val="000000"/>
          <w:sz w:val="24"/>
          <w:u w:val="single"/>
        </w:rPr>
        <w:t>Section 11(a)(iii) - 11(a)(vii)</w:t>
      </w:r>
      <w:r>
        <w:rPr>
          <w:color w:val="000000"/>
        </w:rPr>
        <w:t xml:space="preserve"> </w:t>
      </w:r>
      <w:r>
        <w:rPr>
          <w:rFonts w:ascii="Times New Roman;sans-serif" w:hAnsi="Times New Roman;sans-serif"/>
          <w:b w:val="false"/>
          <w:color w:val="000000"/>
          <w:sz w:val="24"/>
        </w:rPr>
        <w:t>are conditioned on Executive’s execution and delivery to the Company and the expiration of all applicable statutory revocation periods, by the 60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following the effective date of Executive’s cessation of employment, of a general release of claims against the Company and its affiliates in a form and manner satisfactory to the Company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xml:space="preserve">) and on Executive’s continued compliance with the provisions of </w:t>
      </w:r>
      <w:r>
        <w:rPr>
          <w:rFonts w:ascii="Times New Roman;sans-serif" w:hAnsi="Times New Roman;sans-serif"/>
          <w:b w:val="false"/>
          <w:color w:val="000000"/>
          <w:sz w:val="24"/>
          <w:u w:val="single"/>
        </w:rPr>
        <w:t>Section 15</w:t>
      </w:r>
      <w:r>
        <w:rPr>
          <w:color w:val="000000"/>
        </w:rPr>
        <w:t xml:space="preserve"> </w:t>
      </w:r>
      <w:r>
        <w:rPr>
          <w:rFonts w:ascii="Times New Roman;sans-serif" w:hAnsi="Times New Roman;sans-serif"/>
          <w:b w:val="false"/>
          <w:color w:val="000000"/>
          <w:sz w:val="24"/>
        </w:rPr>
        <w:t>below.</w:t>
      </w:r>
    </w:p>
    <w:p>
      <w:pPr>
        <w:pStyle w:val="TextBody"/>
        <w:bidi w:val="0"/>
        <w:spacing w:lineRule="auto" w:line="240" w:before="0" w:after="24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 xml:space="preserve">below (to the extent applicable) and provided the Release requirement described above has been timely satisfied: (x) the payment described in </w:t>
      </w:r>
      <w:r>
        <w:rPr>
          <w:rFonts w:ascii="Times New Roman;sans-serif" w:hAnsi="Times New Roman;sans-serif"/>
          <w:b w:val="false"/>
          <w:color w:val="000000"/>
          <w:sz w:val="24"/>
          <w:u w:val="single"/>
        </w:rPr>
        <w:t>Section 11(a)(iii)</w:t>
      </w:r>
      <w:r>
        <w:rPr>
          <w:color w:val="000000"/>
        </w:rPr>
        <w:t xml:space="preserve"> </w:t>
      </w:r>
      <w:r>
        <w:rPr>
          <w:rFonts w:ascii="Times New Roman;sans-serif" w:hAnsi="Times New Roman;sans-serif"/>
          <w:b w:val="false"/>
          <w:color w:val="000000"/>
          <w:sz w:val="24"/>
        </w:rPr>
        <w:t>will be paid on the later of the sixty-fifth (65</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Executive’s cessation of employment (the “</w:t>
      </w:r>
      <w:r>
        <w:rPr>
          <w:rFonts w:ascii="Times New Roman;sans-serif" w:hAnsi="Times New Roman;sans-serif"/>
          <w:b/>
          <w:color w:val="000000"/>
          <w:sz w:val="24"/>
        </w:rPr>
        <w:t>Settlement Date</w:t>
      </w:r>
      <w:r>
        <w:rPr>
          <w:color w:val="000000"/>
        </w:rPr>
        <w:t>”</w:t>
      </w:r>
      <w:r>
        <w:rPr>
          <w:rFonts w:ascii="Times New Roman;sans-serif" w:hAnsi="Times New Roman;sans-serif"/>
          <w:b w:val="false"/>
          <w:color w:val="000000"/>
          <w:sz w:val="24"/>
        </w:rPr>
        <w:t xml:space="preserve">) or the date such annual incentive award would have otherwise been paid absent Executive’s cessation of employment; and (y) the payments described in </w:t>
      </w:r>
      <w:r>
        <w:rPr>
          <w:rFonts w:ascii="Times New Roman;sans-serif" w:hAnsi="Times New Roman;sans-serif"/>
          <w:b w:val="false"/>
          <w:color w:val="000000"/>
          <w:sz w:val="24"/>
          <w:u w:val="single"/>
        </w:rPr>
        <w:t>Section 11(a)(iv)</w:t>
      </w:r>
      <w:r>
        <w:rPr>
          <w:color w:val="000000"/>
        </w:rPr>
        <w:t xml:space="preserve"> </w:t>
      </w:r>
      <w:r>
        <w:rPr>
          <w:rFonts w:ascii="Times New Roman;sans-serif" w:hAnsi="Times New Roman;sans-serif"/>
          <w:b w:val="false"/>
          <w:color w:val="000000"/>
          <w:sz w:val="24"/>
        </w:rPr>
        <w:t xml:space="preserve">will commence to be paid on the Settlement Date, provided that the initial payment will include any payments that, but for the above-described timing rule, would have otherwise been paid since the date of Executive’s related cessation of employment.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Other Terminations</w:t>
      </w:r>
      <w:r>
        <w:rPr>
          <w:rFonts w:ascii="Times New Roman;sans-serif" w:hAnsi="Times New Roman;sans-serif"/>
          <w:b w:val="false"/>
          <w:color w:val="000000"/>
          <w:sz w:val="24"/>
        </w:rPr>
        <w:t xml:space="preserve">. If Executive’s employment with the Company ceases for any reason other than as described in </w:t>
      </w:r>
      <w:r>
        <w:rPr>
          <w:rFonts w:ascii="Times New Roman;sans-serif" w:hAnsi="Times New Roman;sans-serif"/>
          <w:b w:val="false"/>
          <w:color w:val="000000"/>
          <w:sz w:val="24"/>
          <w:u w:val="single"/>
        </w:rPr>
        <w:t>Section 11(a)</w:t>
      </w:r>
      <w:r>
        <w:rPr>
          <w:color w:val="000000"/>
        </w:rPr>
        <w:t xml:space="preserve"> </w:t>
      </w:r>
      <w:r>
        <w:rPr>
          <w:rFonts w:ascii="Times New Roman;sans-serif" w:hAnsi="Times New Roman;sans-serif"/>
          <w:b w:val="false"/>
          <w:color w:val="000000"/>
          <w:sz w:val="24"/>
        </w:rPr>
        <w:t xml:space="preserve">above (including but not limited to (i) termination by the Company for Cause, (ii) resignation by Executive without Good Reason, (iii) termination as a result of Executive’s Disability (as defined in </w:t>
      </w:r>
      <w:r>
        <w:rPr>
          <w:rFonts w:ascii="Times New Roman;sans-serif" w:hAnsi="Times New Roman;sans-serif"/>
          <w:b w:val="false"/>
          <w:color w:val="000000"/>
          <w:sz w:val="24"/>
          <w:u w:val="single"/>
        </w:rPr>
        <w:t>Section 14</w:t>
      </w:r>
      <w:r>
        <w:rPr>
          <w:rFonts w:ascii="Times New Roman;sans-serif" w:hAnsi="Times New Roman;sans-serif"/>
          <w:b w:val="false"/>
          <w:color w:val="000000"/>
          <w:sz w:val="24"/>
        </w:rPr>
        <w:t xml:space="preserve">), or (iv) Executive’s death), then the Company’s obligation to Executive will be limited solely to the payment of accrued and unpaid Base Salary through the date of such cessation of employment and payment of any business expenses that were previously incurred but not reimbursed and are otherwise eligible for reimbursement. Except as otherwise provided by COBRA, all compensation and benefits will cease at the time of such cessation of employment and the Company will have no further liability or obligation by reason of such termination; and, for the avoidance of doubt, all unvested and/or unearned equity and equity-based awards then held by Executive (including, without limitation, 2023 RSUs and Performance Based-RSUs) will be forfeited; provided, however, that, notwithstanding the foregoing, but without limiting </w:t>
      </w:r>
      <w:r>
        <w:rPr>
          <w:rFonts w:ascii="Times New Roman;sans-serif" w:hAnsi="Times New Roman;sans-serif"/>
          <w:b w:val="false"/>
          <w:color w:val="000000"/>
          <w:sz w:val="24"/>
          <w:u w:val="single"/>
        </w:rPr>
        <w:t>Section 11(a)</w:t>
      </w:r>
      <w:r>
        <w:rPr>
          <w:rFonts w:ascii="Times New Roman;sans-serif" w:hAnsi="Times New Roman;sans-serif"/>
          <w:b w:val="false"/>
          <w:color w:val="000000"/>
          <w:sz w:val="24"/>
        </w:rPr>
        <w:t xml:space="preserve">, if Executive’s employment with the Company ceases as a result of Executive’s Disability or death then any unvested and/or unearned equity and equity-based awards then held by Executive shall vest if and to the extent determined by the Committee at or after the time of the grant of the applicable awards (and, for the avoidance of doubt, as of the Effective Date, the Committee has made no such determination). The foregoing will not be construed to limit Executive’s right to payment or reimbursement for claims incurred prior to the date of such termination under any insurance contract funding an employee benefit plan or arrangement of the Company in accordance with the terms of such insurance contract. </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7495"/>
                <wp:effectExtent l="0" t="0" r="0" b="0"/>
                <wp:wrapNone/>
                <wp:docPr id="96" name="Frame9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Section 409A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anything to the contrary in this Agreement, no portion of the benefits or payments to be made under </w:t>
      </w:r>
      <w:r>
        <w:rPr>
          <w:rFonts w:ascii="Times New Roman;sans-serif" w:hAnsi="Times New Roman;sans-serif"/>
          <w:b w:val="false"/>
          <w:color w:val="000000"/>
          <w:sz w:val="24"/>
          <w:u w:val="single"/>
        </w:rPr>
        <w:t>Section 11(a) or 11(b)(ii)</w:t>
      </w:r>
      <w:r>
        <w:rPr>
          <w:color w:val="000000"/>
        </w:rPr>
        <w:t xml:space="preserve"> </w:t>
      </w:r>
      <w:r>
        <w:rPr>
          <w:rFonts w:ascii="Times New Roman;sans-serif" w:hAnsi="Times New Roman;sans-serif"/>
          <w:b w:val="false"/>
          <w:color w:val="000000"/>
          <w:sz w:val="24"/>
        </w:rPr>
        <w:t>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Section 280G</w:t>
      </w:r>
      <w:r>
        <w:rPr>
          <w:rFonts w:ascii="Times New Roman;sans-serif" w:hAnsi="Times New Roman;sans-serif"/>
          <w:b w:val="false"/>
          <w:color w:val="000000"/>
          <w:sz w:val="24"/>
        </w:rPr>
        <w:t>. Notwithstanding any contrary provision of this Agreement (or any plan, policy, agreement or other arrangement covering Executive), if any payment, right or benefit paid, provided or due to Executive, whether pursuant to this Agreement or otherwise (each, a “</w:t>
      </w:r>
      <w:r>
        <w:rPr>
          <w:rFonts w:ascii="Times New Roman;sans-serif" w:hAnsi="Times New Roman;sans-serif"/>
          <w:b/>
          <w:color w:val="000000"/>
          <w:sz w:val="24"/>
        </w:rPr>
        <w:t>Payment</w:t>
      </w:r>
      <w:r>
        <w:rPr>
          <w:rFonts w:ascii="Times New Roman;sans-serif" w:hAnsi="Times New Roman;sans-serif"/>
          <w:b w:val="false"/>
          <w:color w:val="000000"/>
          <w:sz w:val="24"/>
        </w:rPr>
        <w:t>,” and collectively, the “</w:t>
      </w:r>
      <w:r>
        <w:rPr>
          <w:rFonts w:ascii="Times New Roman;sans-serif" w:hAnsi="Times New Roman;sans-serif"/>
          <w:b/>
          <w:color w:val="000000"/>
          <w:sz w:val="24"/>
        </w:rPr>
        <w:t>Total Payments</w:t>
      </w:r>
      <w:r>
        <w:rPr>
          <w:color w:val="000000"/>
        </w:rPr>
        <w:t>”</w:t>
      </w:r>
      <w:r>
        <w:rPr>
          <w:rFonts w:ascii="Times New Roman;sans-serif" w:hAnsi="Times New Roman;sans-serif"/>
          <w:b w:val="false"/>
          <w:color w:val="000000"/>
          <w:sz w:val="24"/>
        </w:rPr>
        <w:t>), would subject Executive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by the Company on an after-tax basis). Any reduction of the Total Payments required by this paragraph will be implemented by determining the Parachute Ratio (as defined below and determined by the Company)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w:t>
      </w:r>
      <w:r>
        <w:rPr>
          <w:rFonts w:ascii="Times New Roman;sans-serif" w:hAnsi="Times New Roman;sans-serif"/>
          <w:b/>
          <w:color w:val="000000"/>
          <w:sz w:val="24"/>
        </w:rPr>
        <w:t>Parachute Ratio</w:t>
      </w:r>
      <w:r>
        <w:rPr>
          <w:color w:val="000000"/>
        </w:rPr>
        <w:t xml:space="preserve">” </w:t>
      </w:r>
      <w:r>
        <w:rPr>
          <w:rFonts w:ascii="Times New Roman;sans-serif" w:hAnsi="Times New Roman;sans-serif"/>
          <w:b w:val="false"/>
          <w:color w:val="000000"/>
          <w:sz w:val="24"/>
        </w:rPr>
        <w:t>means a fraction, (x) the numerator of which is the value of the applicable Payment, as calculated for purposes of Section 280G of the Code, and (y) the denominator of which is the economic value of the applicable Payment.</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7495"/>
                <wp:effectExtent l="0" t="0" r="0" b="0"/>
                <wp:wrapNone/>
                <wp:docPr id="97" name="Frame93"/>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Certain Definitions</w:t>
      </w:r>
      <w:r>
        <w:rPr>
          <w:rFonts w:ascii="Times New Roman;sans-serif" w:hAnsi="Times New Roman;sans-serif"/>
          <w:b w:val="false"/>
          <w:color w:val="000000"/>
          <w:sz w:val="24"/>
        </w:rPr>
        <w:t>. For purposes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any of the following: (i) failure of Executive to perform his duties and responsibilities to the Company (other than by reason of Executive’s physical or mental illness, incapacity or disability) which has continued for more than thirty (30) days following written notice of such non-performance from the Company; (ii) misconduct by Executive in connection with the performance of his duties and responsibilities to the Company, including, without limitation, a breach of fiduciary duties or a misappropriation of funds or property; (iii) the commission by Executive of any felony; (iv) the commission by Executive of a misdemeanor involving moral turpitude, deceit, dishonesty or fraud; (v) any conduct by Executive that would reasonably be expected to result in injury or reputational harm to the Company or any of its subsidiaries and affiliates; (vi) a breach by Executive of any agreement with the Company or its affiliates, which breach is not cured (if curable) within thirty (30) days after the delivery of written notice thereof (provided that if any such agreement includes a cure period and if such cure period is less than thirty (30) days, such shorter cure period shall apply); (vii) a violation by Executive of the Company’s written employment policies, which violation is not cured (if curable) within thirty (30) days after the delivery of written notice thereof (provided that if any such policies include a cure period and if such cure period is less than thirty (30) days, such shorter cure period shall apply); or (viii) Executive’s failure to cooperate with a </w:t>
      </w:r>
      <w:r>
        <w:rPr>
          <w:rFonts w:ascii="Times New Roman;sans-serif" w:hAnsi="Times New Roman;sans-serif"/>
          <w:b w:val="false"/>
          <w:i/>
          <w:color w:val="000000"/>
          <w:sz w:val="24"/>
        </w:rPr>
        <w:t>bona fide</w:t>
      </w:r>
      <w:r>
        <w:rPr>
          <w:color w:val="000000"/>
        </w:rPr>
        <w:t xml:space="preserve"> </w:t>
      </w:r>
      <w:r>
        <w:rPr>
          <w:rFonts w:ascii="Times New Roman;sans-serif" w:hAnsi="Times New Roman;sans-serif"/>
          <w:b w:val="false"/>
          <w:color w:val="000000"/>
          <w:sz w:val="24"/>
        </w:rPr>
        <w:t>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In regard to each of those clauses in this definition of “Cause” that afford Executive a “cure right,” such cure right shall apply solely to the first failure, breach or violation by Executive that gives rise to the cure right and shall not apply to any repeat or subsequent failure, breach or violation involving similar actions or omissions, whether or not related to the first failure, breach or violation. For avoidance of doubt, a termination of Executive’s employment due to his Disability will not constitute a termination without Cause.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has the meaning given to this term in the LTIP.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a condition entitling Executive to benefits under the Company’s long term disability plan, policy or arrangement; provided, however, that if no such plan, policy or arrangement is then maintained by the Company and applicable to Executive, “</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 xml:space="preserve">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 xml:space="preserve">means: (i) a reduction in the Base Salary that exceeds ten percent (10%) of the Base Salary as in effect immediately prior to the reduction (excluding, however, the impact of across-the-board salary reductions similarly affecting other senior executives of the Company); (ii) an annual cash incentive target opportunity amount set at less than forty percent (40%) of the Base Salary (excluding, however, the impact of across-the-board reductions to annual incentive target opportunity amounts similarly affecting other senior executives of the Company); (iii) an annual equity incentive target opportunity amount (as measured using the same valuation methodology generally applicable to other senior executives) set at less than eighty five percent (85%) of the Base Salary (excluding, however, the impact of across-the-board reductions to equity incentive target opportunity amounts similarly affecting other senior executives of the Company); (iv) a Company-mandated relocation of Executive’s principal place </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7495"/>
                <wp:effectExtent l="0" t="0" r="0" b="0"/>
                <wp:wrapNone/>
                <wp:docPr id="98" name="Frame9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of employment to a location that is more than 50 miles from Executive’s home office in South Carolina; or (v) the material breach of this Agreement by the Company; provided, however, that no such event will constitute Good Reason unless (x) Executive provides the Company with written objection to such event within 30 days after the initial occurrence thereof</w:t>
      </w:r>
      <w:r>
        <w:rPr>
          <w:rFonts w:ascii="Times New Roman;sans-serif" w:hAnsi="Times New Roman;sans-serif"/>
          <w:b w:val="false"/>
          <w:color w:val="464646"/>
          <w:sz w:val="24"/>
        </w:rPr>
        <w:t xml:space="preserve">, </w:t>
      </w:r>
      <w:r>
        <w:rPr>
          <w:rFonts w:ascii="Times New Roman;sans-serif" w:hAnsi="Times New Roman;sans-serif"/>
          <w:b w:val="false"/>
          <w:color w:val="000000"/>
          <w:sz w:val="24"/>
        </w:rPr>
        <w:t xml:space="preserve">(y) such event is not reversed or corrected </w:t>
      </w:r>
      <w:r>
        <w:rPr>
          <w:rFonts w:ascii="Times New Roman;sans-serif" w:hAnsi="Times New Roman;sans-serif"/>
          <w:b w:val="false"/>
          <w:color w:val="161515"/>
          <w:sz w:val="24"/>
        </w:rPr>
        <w:t xml:space="preserve">by </w:t>
      </w:r>
      <w:r>
        <w:rPr>
          <w:rFonts w:ascii="Times New Roman;sans-serif" w:hAnsi="Times New Roman;sans-serif"/>
          <w:b w:val="false"/>
          <w:color w:val="000000"/>
          <w:sz w:val="24"/>
        </w:rPr>
        <w:t>the Company within 30 days of its receipt of such written objection, and (z) Executive separates from service within 30 days following the expiration of that cure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color w:val="000000"/>
          <w:sz w:val="24"/>
        </w:rPr>
        <w:t>LTIP</w:t>
      </w:r>
      <w:r>
        <w:rPr>
          <w:color w:val="000000"/>
        </w:rPr>
        <w:t xml:space="preserve">” </w:t>
      </w:r>
      <w:r>
        <w:rPr>
          <w:rFonts w:ascii="Times New Roman;sans-serif" w:hAnsi="Times New Roman;sans-serif"/>
          <w:b w:val="false"/>
          <w:color w:val="000000"/>
          <w:sz w:val="24"/>
        </w:rPr>
        <w:t>means the Company’s 2016 Long-Term Incentive Plan, as amended from time to time, or a successor plan.</w:t>
      </w:r>
    </w:p>
    <w:p>
      <w:pPr>
        <w:pStyle w:val="TextBody"/>
        <w:bidi w:val="0"/>
        <w:spacing w:lineRule="auto" w:line="240" w:before="0" w:after="24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Restrictive Covenants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Access to Secret and Confidential Information</w:t>
      </w:r>
      <w:r>
        <w:rPr>
          <w:rFonts w:ascii="Times New Roman;sans-serif" w:hAnsi="Times New Roman;sans-serif"/>
          <w:b w:val="false"/>
          <w:color w:val="000000"/>
          <w:sz w:val="24"/>
        </w:rPr>
        <w:t>. The Company has furnished and shall furnish to Executive secret and confidential information with respect to the Company and its affiliates (collectively “</w:t>
      </w:r>
      <w:r>
        <w:rPr>
          <w:rFonts w:ascii="Times New Roman;sans-serif" w:hAnsi="Times New Roman;sans-serif"/>
          <w:b/>
          <w:color w:val="000000"/>
          <w:sz w:val="24"/>
        </w:rPr>
        <w:t>Secret and Confidential Information</w:t>
      </w:r>
      <w:r>
        <w:rPr>
          <w:color w:val="000000"/>
        </w:rPr>
        <w:t>”</w:t>
      </w:r>
      <w:r>
        <w:rPr>
          <w:rFonts w:ascii="Times New Roman;sans-serif" w:hAnsi="Times New Roman;sans-serif"/>
          <w:b w:val="false"/>
          <w:color w:val="000000"/>
          <w:sz w:val="24"/>
        </w:rPr>
        <w:t>), to which Executive would not otherwise have access and of which Executive would not otherwise have knowledge. Secret and Confidential Information includes, without limitation, technical and business information, whether patentable or not, which is of a confidential, trade secret or proprietary character, and which is either developed by Executive alone, with other or by others; lists of customers; identity of customers; identity of prospective customers; contract terms; bidding information and strategies; pricing methods or information; computer software; computer software methods and documentation; hardware; methods of operation; the procedures, forms and techniques used in servicing accounts; and other information or documents that the Company or any of its affiliates requires to be maintained in confidence for its or their continued business success.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Non-Disclosure of Secret and Confidential Information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Executive shall not, during the period of his employment with the Company or at any time thereafter, disclose to anyone, including, without limitation, any person, firm, corporation, or other entity, or publish, or use for any purpose, any Secret and Confidential Information, except as properly required in the ordinary course of the Company’s business or as directed and authorized by the Company or as required by court order, law or subpoena, or other legal compulsion to disclose, it being understood that information that is known generally in the industry or is otherwise available to the public (other than as a result of a violation of Executive’s obligation under this </w:t>
      </w:r>
      <w:r>
        <w:rPr>
          <w:rFonts w:ascii="Times New Roman;sans-serif" w:hAnsi="Times New Roman;sans-serif"/>
          <w:b w:val="false"/>
          <w:color w:val="000000"/>
          <w:sz w:val="24"/>
          <w:u w:val="single"/>
        </w:rPr>
        <w:t>Section 15</w:t>
      </w:r>
      <w:r>
        <w:rPr>
          <w:rFonts w:ascii="Times New Roman;sans-serif" w:hAnsi="Times New Roman;sans-serif"/>
          <w:b w:val="false"/>
          <w:color w:val="000000"/>
          <w:sz w:val="24"/>
        </w:rPr>
        <w:t>) shall not be considered Secret and Confidential Information.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Notwithstanding the foregoing, pursuant to 18 U.S.C. Section 1833(b), Executive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Similarly, notwithstanding anything herein to the contrary, Executive understands that this Agreement will not (1) prohibit him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(2) require notification or prior approval by the Company of any such report; provided that, Executive is not authorized to disclose communications with counsel that were made for the purpose of receiving legal advice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7495"/>
                <wp:effectExtent l="0" t="0" r="0" b="0"/>
                <wp:wrapNone/>
                <wp:docPr id="99" name="Frame95"/>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that contain legal advice or that are protected by the attorney work product or similar privilege.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color w:val="000000"/>
          <w:sz w:val="24"/>
          <w:u w:val="single"/>
        </w:rPr>
        <w:t>Duty to Return Company Documents and Property</w:t>
      </w:r>
      <w:r>
        <w:rPr>
          <w:rFonts w:ascii="Times New Roman;sans-serif" w:hAnsi="Times New Roman;sans-serif"/>
          <w:b w:val="false"/>
          <w:color w:val="000000"/>
          <w:sz w:val="24"/>
        </w:rPr>
        <w:t>. Upon the termination of Executive’s employment with the Company for any reason, Executive shall immediately return and deliver to the Company any and all papers, books, records, documents, memoranda and manuals, e-mail, electronic or magnetic recordings or data, including all copies thereof, belonging to the Company or relating to its business, in Executive’s possession or control, whether prepared by Executive or others. If at any time after the termination of employment, Executive determines that he has any Secret and Confidential Information in his possession or control, Executive shall immediately return to the Company all such Secret and Confidential Information, including all copies and portions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color w:val="000000"/>
          <w:sz w:val="24"/>
          <w:u w:val="single"/>
        </w:rPr>
        <w:t>Inventions</w:t>
      </w:r>
      <w:r>
        <w:rPr>
          <w:rFonts w:ascii="Times New Roman;sans-serif" w:hAnsi="Times New Roman;sans-serif"/>
          <w:b w:val="false"/>
          <w:color w:val="000000"/>
          <w:sz w:val="24"/>
        </w:rPr>
        <w:t>. Any and all writings, computer software, inventions, improvements, processes, procedures and/or techniques which Executive may make, conceive, discover, or develop, either solely or jointly with any other person or persons, at any time during the term of his employment, whether at the request or upon the suggestion of the Company or otherwise, which relate to or are useful in connection with any business now or hereafter carried on or contemplated by the Company, including developments or expansions of its present fields of operations, shall be the sole and exclusive property of the Company. Executive shall take all actions necessary so that the Company can prepare and present applications for copyright or letters patent therefor, and can secure such copyright or letters patent wherever possible, as well as reissue renewals, and extensions thereof, and can obtain the record title to such copyright or patents. Executive shall not be entitled to any additional or special compensation or reimbursement regarding any such writings, computer software, inventions, improvements, processes, procedures and techniques. Executive acknowledges that the Company from time to time may have agreements with other persons or entities which impose obligations or restrictions on the Company regarding inventions made during the course of work thereunder or regarding the confidential nature of such work. Executive shall be bound by all such obligations and restrictions and take all action necessary to discharge the obligations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color w:val="000000"/>
          <w:sz w:val="24"/>
          <w:u w:val="single"/>
        </w:rPr>
        <w:t>Non-Solicitation and Non-Competition Restrictions</w:t>
      </w:r>
      <w:r>
        <w:rPr>
          <w:rFonts w:ascii="Times New Roman;sans-serif" w:hAnsi="Times New Roman;sans-serif"/>
          <w:b w:val="false"/>
          <w:color w:val="000000"/>
          <w:sz w:val="24"/>
        </w:rPr>
        <w:t>. To protect the Company’s Secret and Confidential Information, and in the event of Executive’s termination of employment for any reason whatsoever, whether by Executive or the Company, Executive will be subject to the following restrictive covenants during and for the stated period following the termination of his employment.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color w:val="000000"/>
          <w:sz w:val="24"/>
          <w:u w:val="single"/>
        </w:rPr>
        <w:t>Non-Competition</w:t>
      </w:r>
      <w:r>
        <w:rPr>
          <w:rFonts w:ascii="Times New Roman;sans-serif" w:hAnsi="Times New Roman;sans-serif"/>
          <w:b w:val="false"/>
          <w:color w:val="000000"/>
          <w:sz w:val="24"/>
        </w:rPr>
        <w:t xml:space="preserve">. For one (1) year following the cessation of Executive’s employment with the Company for any reason, Executive shall not, without the prior written consent of the Company, knowingly or intentionally (1) personally engage in Competitive Activities (as defined below) or (2) work for, own, manage, operate, control, or participate in the ownership, management, operation, or control of, or provide consulting or advisory services to, any person, partnership, firm, corporation, institution or other entity engaged in Competitive Activities, or any company or person affiliated with such person or entity engaged in Competitive Activities; provided that Executive’s purchase or holding, for investment purposes, of securities of a publicly traded company shall not constitute “ownership” or “participation in the ownership” for purposes of this paragraph so long as such equity interest in any such company is not more than 2% of the value of the outstanding stock or 2% of the outstanding voting securities of said publicly traded company. For the avoidance of doubt, this </w:t>
      </w:r>
      <w:r>
        <w:rPr>
          <w:rFonts w:ascii="Times New Roman;sans-serif" w:hAnsi="Times New Roman;sans-serif"/>
          <w:b w:val="false"/>
          <w:color w:val="000000"/>
          <w:sz w:val="24"/>
          <w:u w:val="single"/>
        </w:rPr>
        <w:t>Section 15(e)(i)</w:t>
      </w:r>
      <w:r>
        <w:rPr>
          <w:color w:val="000000"/>
        </w:rPr>
        <w:t xml:space="preserve"> </w:t>
      </w:r>
      <w:r>
        <w:rPr>
          <w:rFonts w:ascii="Times New Roman;sans-serif" w:hAnsi="Times New Roman;sans-serif"/>
          <w:b w:val="false"/>
          <w:color w:val="000000"/>
          <w:sz w:val="24"/>
        </w:rPr>
        <w:t xml:space="preserve">shall not prohibit Executive from being employed by, or providing services to, a consulting firm, provided that Executive does not personally engage in Competitive Activities or provide consulting or advisory services to any individual, partnership, firm, corporation, institution or other entity engaged in Competitive Activities, or any person entity affiliated with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7495"/>
                <wp:effectExtent l="0" t="0" r="0" b="0"/>
                <wp:wrapNone/>
                <wp:docPr id="100" name="Frame9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individual, partnership, firm, corporation, institution or other entity engaged in Competitive Activities.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color w:val="000000"/>
          <w:sz w:val="24"/>
          <w:u w:val="single"/>
        </w:rPr>
        <w:t>Competitive Activities</w:t>
      </w:r>
      <w:r>
        <w:rPr>
          <w:rFonts w:ascii="Times New Roman;sans-serif" w:hAnsi="Times New Roman;sans-serif"/>
          <w:b w:val="false"/>
          <w:color w:val="000000"/>
          <w:sz w:val="24"/>
        </w:rPr>
        <w:t>. For the purposes hereof, the term “</w:t>
      </w:r>
      <w:r>
        <w:rPr>
          <w:rFonts w:ascii="Times New Roman;sans-serif" w:hAnsi="Times New Roman;sans-serif"/>
          <w:b/>
          <w:color w:val="000000"/>
          <w:sz w:val="24"/>
        </w:rPr>
        <w:t>Competitive Activities</w:t>
      </w:r>
      <w:r>
        <w:rPr>
          <w:color w:val="000000"/>
        </w:rPr>
        <w:t xml:space="preserve">” </w:t>
      </w:r>
      <w:r>
        <w:rPr>
          <w:rFonts w:ascii="Times New Roman;sans-serif" w:hAnsi="Times New Roman;sans-serif"/>
          <w:b w:val="false"/>
          <w:color w:val="000000"/>
          <w:sz w:val="24"/>
        </w:rPr>
        <w:t>means activities relating to products or services of the same or similar type as the products or services which are sold (or, pursuant to an existing business plan, will be sold) to paying customers of the Company or any affiliate. Notwithstanding the previous sentence, an activity shall not be treated as a Competitive Activity if the geographic marketing area of the relevant products or services does not overlap with the geographic marketing area for the applicable products and services of the Company and its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w:t>
      </w:r>
      <w:r>
        <w:rPr>
          <w:rFonts w:ascii="Times New Roman;sans-serif" w:hAnsi="Times New Roman;sans-serif"/>
          <w:b/>
          <w:color w:val="000000"/>
          <w:sz w:val="24"/>
          <w:u w:val="single"/>
        </w:rPr>
        <w:t>Interference With Business Relations</w:t>
      </w:r>
      <w:r>
        <w:rPr>
          <w:rFonts w:ascii="Times New Roman;sans-serif" w:hAnsi="Times New Roman;sans-serif"/>
          <w:b w:val="false"/>
          <w:color w:val="000000"/>
          <w:sz w:val="24"/>
        </w:rPr>
        <w:t>. For two (2) years following the termination of Executive’s employment with the Company, Executive shall not, without the prior written consent of the Company, knowingly or intentionally, directly or indirectly: (1) recruit, induce or solicit any individual who is or who, within the preceding six (6) months, was a non-clerical employee of the Company (including any of its subsidiaries) for employment or for retention as a consultant or service provider, or hire any such individual; or (2) solicit or induce any client, customer, or prospect of the Company (including any subsidiary of the Company) (x) to cease being, or not to become, a customer of the Company (or any such subsidiary), or (y) to divert any business of such customer or prospect from the Company (or any such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color w:val="000000"/>
          <w:sz w:val="24"/>
          <w:u w:val="single"/>
        </w:rPr>
        <w:t>Reformation</w:t>
      </w:r>
      <w:r>
        <w:rPr>
          <w:rFonts w:ascii="Times New Roman;sans-serif" w:hAnsi="Times New Roman;sans-serif"/>
          <w:b w:val="false"/>
          <w:color w:val="000000"/>
          <w:sz w:val="24"/>
        </w:rPr>
        <w:t xml:space="preserve">. If a court concludes that any time period and/or the geographic area specified in </w:t>
      </w:r>
      <w:r>
        <w:rPr>
          <w:rFonts w:ascii="Times New Roman;sans-serif" w:hAnsi="Times New Roman;sans-serif"/>
          <w:b w:val="false"/>
          <w:color w:val="000000"/>
          <w:sz w:val="24"/>
          <w:u w:val="single"/>
        </w:rPr>
        <w:t>Section 15(e)</w:t>
      </w:r>
      <w:r>
        <w:rPr>
          <w:color w:val="000000"/>
        </w:rPr>
        <w:t xml:space="preserve"> </w:t>
      </w:r>
      <w:r>
        <w:rPr>
          <w:rFonts w:ascii="Times New Roman;sans-serif" w:hAnsi="Times New Roman;sans-serif"/>
          <w:b w:val="false"/>
          <w:color w:val="000000"/>
          <w:sz w:val="24"/>
        </w:rPr>
        <w:t>is unenforceable, then the time period will be reduced by the number of months, or the geographic area will be reduced by the elimination of the overbroad portion, or both, as the case may be, so that the restrictions may be enforced in the geographic area and for the time to the fullest extent permitted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color w:val="000000"/>
          <w:sz w:val="24"/>
          <w:u w:val="single"/>
        </w:rPr>
        <w:t>Remedies</w:t>
      </w:r>
      <w:r>
        <w:rPr>
          <w:rFonts w:ascii="Times New Roman;sans-serif" w:hAnsi="Times New Roman;sans-serif"/>
          <w:b w:val="false"/>
          <w:color w:val="000000"/>
          <w:sz w:val="24"/>
        </w:rPr>
        <w:t xml:space="preserve">. Executive acknowledges and agrees that, in view of the nature of the Company’s business, the restrictions contained in this </w:t>
      </w:r>
      <w:r>
        <w:rPr>
          <w:rFonts w:ascii="Times New Roman;sans-serif" w:hAnsi="Times New Roman;sans-serif"/>
          <w:b w:val="false"/>
          <w:color w:val="000000"/>
          <w:sz w:val="24"/>
          <w:u w:val="single"/>
        </w:rPr>
        <w:t>Section 15</w:t>
      </w:r>
      <w:r>
        <w:rPr>
          <w:color w:val="000000"/>
        </w:rPr>
        <w:t xml:space="preserve"> </w:t>
      </w:r>
      <w:r>
        <w:rPr>
          <w:rFonts w:ascii="Times New Roman;sans-serif" w:hAnsi="Times New Roman;sans-serif"/>
          <w:b w:val="false"/>
          <w:color w:val="000000"/>
          <w:sz w:val="24"/>
        </w:rPr>
        <w:t>of the Agreement are reasonable and necessary to protect the Company’s legitimate business interests and that any violation of these restrictions would result in irreparable injury to the Company. In the event of a breach or a threatened breach by Executive of any restrictive covenant contained herein, the Company shall be entitled to a temporary restraining order and injunctive relief restraining Executive from the commission of any breach, and to recover the Company’s attorneys’ fees, costs and expenses related to the breach or threatened breach. Nothing contained herein shall be construed as prohibiting the Company from pursuing any other remedies available to it for any breach or threatened breach, including, without limitation, the other remedies specified in this Agreement and/or the recovery of money damages, attorneys' fees, and costs. These covenants and restrictions shall each be construed as independent of any other provisions in the Agreement, and the existence of any claim or cause of action by Executive against the Company, whether predicated on this Agreement or otherwise, shall not constitute a defense to the enforcement by the Company of such covenants and restrictions.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xml:space="preserve">. Should a court determine that any paragraph or sentence, or any portion of a paragraph or sentence of this </w:t>
      </w:r>
      <w:r>
        <w:rPr>
          <w:rFonts w:ascii="Times New Roman;sans-serif" w:hAnsi="Times New Roman;sans-serif"/>
          <w:b w:val="false"/>
          <w:color w:val="000000"/>
          <w:sz w:val="24"/>
          <w:u w:val="single"/>
        </w:rPr>
        <w:t>Section 15</w:t>
      </w:r>
      <w:r>
        <w:rPr>
          <w:color w:val="000000"/>
        </w:rPr>
        <w:t xml:space="preserve"> </w:t>
      </w:r>
      <w:r>
        <w:rPr>
          <w:rFonts w:ascii="Times New Roman;sans-serif" w:hAnsi="Times New Roman;sans-serif"/>
          <w:b w:val="false"/>
          <w:color w:val="000000"/>
          <w:sz w:val="24"/>
        </w:rPr>
        <w:t xml:space="preserve">is invalid, unenforceable or void, this determination shall not have the effect of invalidating the remainder of the paragraph, sentence or any other provision of this </w:t>
      </w:r>
      <w:r>
        <w:rPr>
          <w:rFonts w:ascii="Times New Roman;sans-serif" w:hAnsi="Times New Roman;sans-serif"/>
          <w:b w:val="false"/>
          <w:color w:val="000000"/>
          <w:sz w:val="24"/>
          <w:u w:val="single"/>
        </w:rPr>
        <w:t>Section 15</w:t>
      </w:r>
      <w:r>
        <w:rPr>
          <w:rFonts w:ascii="Times New Roman;sans-serif" w:hAnsi="Times New Roman;sans-serif"/>
          <w:b w:val="false"/>
          <w:color w:val="000000"/>
          <w:sz w:val="24"/>
        </w:rPr>
        <w:t xml:space="preserve">. Further, it is intended that the court should construe this </w:t>
      </w:r>
      <w:r>
        <w:rPr>
          <w:rFonts w:ascii="Times New Roman;sans-serif" w:hAnsi="Times New Roman;sans-serif"/>
          <w:b w:val="false"/>
          <w:color w:val="000000"/>
          <w:sz w:val="24"/>
          <w:u w:val="single"/>
        </w:rPr>
        <w:t>Section 15</w:t>
      </w:r>
      <w:r>
        <w:rPr>
          <w:color w:val="000000"/>
        </w:rPr>
        <w:t xml:space="preserve"> </w:t>
      </w:r>
      <w:r>
        <w:rPr>
          <w:rFonts w:ascii="Times New Roman;sans-serif" w:hAnsi="Times New Roman;sans-serif"/>
          <w:b w:val="false"/>
          <w:color w:val="000000"/>
          <w:sz w:val="24"/>
        </w:rPr>
        <w:t>by limiting and reducing it only to the extent necessary to be enforceable under then applicable law, taking into account the intent of the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color w:val="000000"/>
          <w:sz w:val="24"/>
          <w:u w:val="single"/>
        </w:rPr>
        <w:t>Future Employment</w:t>
      </w:r>
      <w:r>
        <w:rPr>
          <w:rFonts w:ascii="Times New Roman;sans-serif" w:hAnsi="Times New Roman;sans-serif"/>
          <w:b w:val="false"/>
          <w:color w:val="000000"/>
          <w:sz w:val="24"/>
        </w:rPr>
        <w:t xml:space="preserve">. If, before the expiration of the period covered by </w:t>
      </w:r>
      <w:r>
        <w:rPr>
          <w:rFonts w:ascii="Times New Roman;sans-serif" w:hAnsi="Times New Roman;sans-serif"/>
          <w:b w:val="false"/>
          <w:color w:val="000000"/>
          <w:sz w:val="24"/>
          <w:u w:val="single"/>
        </w:rPr>
        <w:t>Section 15(e)(iii)</w:t>
      </w:r>
      <w:r>
        <w:rPr>
          <w:color w:val="000000"/>
        </w:rPr>
        <w:t xml:space="preserve"> </w:t>
      </w:r>
      <w:r>
        <w:rPr>
          <w:rFonts w:ascii="Times New Roman;sans-serif" w:hAnsi="Times New Roman;sans-serif"/>
          <w:b w:val="false"/>
          <w:color w:val="000000"/>
          <w:sz w:val="24"/>
        </w:rPr>
        <w:t xml:space="preserve">hereof, Executive seeks or is offered employment or engagement by any other company, firm, person or entity, Executive shall provide a copy of this </w:t>
      </w:r>
      <w:r>
        <w:rPr>
          <w:rFonts w:ascii="Times New Roman;sans-serif" w:hAnsi="Times New Roman;sans-serif"/>
          <w:b w:val="false"/>
          <w:color w:val="000000"/>
          <w:sz w:val="24"/>
          <w:u w:val="single"/>
        </w:rPr>
        <w:t>Section 15</w:t>
      </w:r>
      <w:r>
        <w:rPr>
          <w:color w:val="000000"/>
        </w:rPr>
        <w:t xml:space="preserve"> </w:t>
      </w:r>
      <w:r>
        <w:rPr>
          <w:rFonts w:ascii="Times New Roman;sans-serif" w:hAnsi="Times New Roman;sans-serif"/>
          <w:b w:val="false"/>
          <w:color w:val="000000"/>
          <w:sz w:val="24"/>
        </w:rPr>
        <w:t>to the prospective service recipient before accepting employment with that prospective employer.</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7495"/>
                <wp:effectExtent l="0" t="0" r="0" b="0"/>
                <wp:wrapNone/>
                <wp:docPr id="101" name="Frame9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No Duty to Mitigate</w:t>
      </w:r>
      <w:r>
        <w:rPr>
          <w:rFonts w:ascii="Times New Roman;sans-serif" w:hAnsi="Times New Roman;sans-serif"/>
          <w:b w:val="false"/>
          <w:color w:val="000000"/>
          <w:sz w:val="24"/>
        </w:rPr>
        <w:t>. Except as otherwise specifically provided herein, Executive’s entitlement to payments or benefits upon or following the termination of his employment will not be subject to mitigation or a duty to mitigate by Executive.</w:t>
      </w:r>
    </w:p>
    <w:p>
      <w:pPr>
        <w:pStyle w:val="TextBody"/>
        <w:bidi w:val="0"/>
        <w:spacing w:lineRule="auto" w:line="240" w:before="0" w:after="24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No Conflicting Agreements</w:t>
      </w:r>
      <w:r>
        <w:rPr>
          <w:rFonts w:ascii="Times New Roman;sans-serif" w:hAnsi="Times New Roman;sans-serif"/>
          <w:b w:val="false"/>
          <w:color w:val="000000"/>
          <w:sz w:val="24"/>
        </w:rPr>
        <w:t>. Executive represents and warrants that he is not a party to or otherwise bound by any agreement or restriction that could conflict with</w:t>
      </w:r>
      <w:r>
        <w:rPr>
          <w:rFonts w:ascii="Times New Roman;sans-serif" w:hAnsi="Times New Roman;sans-serif"/>
          <w:b w:val="false"/>
          <w:color w:val="494949"/>
          <w:sz w:val="24"/>
        </w:rPr>
        <w:t xml:space="preserve">, </w:t>
      </w:r>
      <w:r>
        <w:rPr>
          <w:rFonts w:ascii="Times New Roman;sans-serif" w:hAnsi="Times New Roman;sans-serif"/>
          <w:b w:val="false"/>
          <w:color w:val="000000"/>
          <w:sz w:val="24"/>
        </w:rPr>
        <w:t>or be violated by</w:t>
      </w:r>
      <w:r>
        <w:rPr>
          <w:rFonts w:ascii="Times New Roman;sans-serif" w:hAnsi="Times New Roman;sans-serif"/>
          <w:b w:val="false"/>
          <w:color w:val="494949"/>
          <w:sz w:val="24"/>
        </w:rPr>
        <w:t xml:space="preserve">, </w:t>
      </w:r>
      <w:r>
        <w:rPr>
          <w:rFonts w:ascii="Times New Roman;sans-serif" w:hAnsi="Times New Roman;sans-serif"/>
          <w:b w:val="false"/>
          <w:color w:val="000000"/>
          <w:sz w:val="24"/>
        </w:rPr>
        <w:t>the performance of his duties to the Company or his obligations under this Agreement. Executive will not use or misappropriate any intellectual property, trade secrets or confidential information belonging to any third party.</w:t>
      </w:r>
    </w:p>
    <w:p>
      <w:pPr>
        <w:pStyle w:val="TextBody"/>
        <w:bidi w:val="0"/>
        <w:spacing w:lineRule="auto" w:line="240" w:before="0" w:after="24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Taxes</w:t>
      </w:r>
      <w:r>
        <w:rPr>
          <w:rFonts w:ascii="Times New Roman;sans-serif" w:hAnsi="Times New Roman;sans-serif"/>
          <w:b w:val="false"/>
          <w:color w:val="000000"/>
          <w:sz w:val="24"/>
        </w:rPr>
        <w:t>. All compensation payable to Executive is subject to reduction to reflect applicable withholding and payroll taxes and other deductions required by law. Executive hereby acknowledges that the Company does not have a duty to design its compensation policies in a manner that minimizes Executive’s tax liabilities, and Executive not make any claim against the Company or its board of directors related to tax liabilities arising from his compensation.</w:t>
      </w:r>
    </w:p>
    <w:p>
      <w:pPr>
        <w:pStyle w:val="TextBody"/>
        <w:bidi w:val="0"/>
        <w:spacing w:lineRule="auto" w:line="240" w:before="0" w:after="240"/>
        <w:jc w:val="both"/>
        <w:rPr/>
      </w:pPr>
      <w:r>
        <w:rPr>
          <w:rFonts w:ascii="Times New Roman;sans-serif" w:hAnsi="Times New Roman;sans-serif"/>
          <w:b w:val="false"/>
          <w:color w:val="000000"/>
          <w:sz w:val="24"/>
        </w:rPr>
        <w:t>19.</w:t>
      </w:r>
      <w:r>
        <w:rPr>
          <w:rFonts w:ascii="Times New Roman;sans-serif" w:hAnsi="Times New Roman;sans-serif"/>
          <w:b/>
          <w:color w:val="000000"/>
          <w:sz w:val="24"/>
          <w:u w:val="single"/>
        </w:rPr>
        <w:t>Entire Agreement; Assignment; Amendment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This Agreement, including the exhibits, schedules and other documents referred to herein, constitutes the final and entire agreement of the parties with respect to the matters covered hereby and supersedes any prior and/or contemporaneous agreements, discussions, negotiations, representations or understandings (whether written, oral or implied) relating to the subject matter hereof, including, without limitation, the Prior Compensation Letter, which (except as and to the extent expressly set forth in </w:t>
      </w:r>
      <w:r>
        <w:rPr>
          <w:rFonts w:ascii="Times New Roman;sans-serif" w:hAnsi="Times New Roman;sans-serif"/>
          <w:b w:val="false"/>
          <w:color w:val="000000"/>
          <w:sz w:val="24"/>
          <w:u w:val="single"/>
        </w:rPr>
        <w:t>Section 7(b)(i)</w:t>
      </w:r>
      <w:r>
        <w:rPr>
          <w:rFonts w:ascii="Times New Roman;sans-serif" w:hAnsi="Times New Roman;sans-serif"/>
          <w:b w:val="false"/>
          <w:color w:val="000000"/>
          <w:sz w:val="24"/>
        </w:rPr>
        <w:t xml:space="preserve">, in </w:t>
      </w:r>
      <w:r>
        <w:rPr>
          <w:rFonts w:ascii="Times New Roman;sans-serif" w:hAnsi="Times New Roman;sans-serif"/>
          <w:b w:val="false"/>
          <w:color w:val="000000"/>
          <w:sz w:val="24"/>
          <w:u w:val="single"/>
        </w:rPr>
        <w:t>Section 8(b)(i)</w:t>
      </w:r>
      <w:r>
        <w:rPr>
          <w:color w:val="000000"/>
        </w:rPr>
        <w:t xml:space="preserve"> </w:t>
      </w:r>
      <w:r>
        <w:rPr>
          <w:rFonts w:ascii="Times New Roman;sans-serif" w:hAnsi="Times New Roman;sans-serif"/>
          <w:b w:val="false"/>
          <w:color w:val="000000"/>
          <w:sz w:val="24"/>
        </w:rPr>
        <w:t xml:space="preserve">and in </w:t>
      </w:r>
      <w:r>
        <w:rPr>
          <w:rFonts w:ascii="Times New Roman;sans-serif" w:hAnsi="Times New Roman;sans-serif"/>
          <w:b w:val="false"/>
          <w:color w:val="000000"/>
          <w:sz w:val="24"/>
          <w:u w:val="single"/>
        </w:rPr>
        <w:t>Section 8(e)</w:t>
      </w:r>
      <w:r>
        <w:rPr>
          <w:rFonts w:ascii="Times New Roman;sans-serif" w:hAnsi="Times New Roman;sans-serif"/>
          <w:b w:val="false"/>
          <w:color w:val="000000"/>
          <w:sz w:val="24"/>
        </w:rPr>
        <w:t>), shall terminate automatically immediately upon the execution and delivery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Times New Roman;sans-serif" w:hAnsi="Times New Roman;sans-serif"/>
          <w:b w:val="false"/>
          <w:color w:val="000000"/>
          <w:sz w:val="24"/>
          <w:u w:val="single"/>
        </w:rPr>
        <w:t>Section 11(a)</w:t>
      </w:r>
      <w:r>
        <w:rPr>
          <w:color w:val="000000"/>
        </w:rPr>
        <w:t xml:space="preserve"> </w:t>
      </w:r>
      <w:r>
        <w:rPr>
          <w:rFonts w:ascii="Times New Roman;sans-serif" w:hAnsi="Times New Roman;sans-serif"/>
          <w:b w:val="false"/>
          <w:color w:val="000000"/>
          <w:sz w:val="24"/>
        </w:rPr>
        <w:t>or otherwise, whether or not Executive accepts employment with the assignee.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This Agreement may be amended or modified only by a written instrument signed by a duly authorized officer of the Company and Executive.</w:t>
      </w:r>
    </w:p>
    <w:p>
      <w:pPr>
        <w:pStyle w:val="TextBody"/>
        <w:bidi w:val="0"/>
        <w:spacing w:lineRule="auto" w:line="240" w:before="0" w:after="240"/>
        <w:jc w:val="both"/>
        <w:rPr/>
      </w:pPr>
      <w:r>
        <w:rPr>
          <w:rFonts w:ascii="Times New Roman;sans-serif" w:hAnsi="Times New Roman;sans-serif"/>
          <w:b w:val="false"/>
          <w:color w:val="000000"/>
          <w:sz w:val="24"/>
        </w:rPr>
        <w:t>20.</w:t>
      </w:r>
      <w:r>
        <w:rPr>
          <w:rFonts w:ascii="Times New Roman;sans-serif" w:hAnsi="Times New Roman;sans-serif"/>
          <w:b/>
          <w:color w:val="000000"/>
          <w:sz w:val="24"/>
          <w:u w:val="single"/>
        </w:rPr>
        <w:t>Arbitration</w:t>
      </w:r>
      <w:r>
        <w:rPr>
          <w:rFonts w:ascii="Times New Roman;sans-serif" w:hAnsi="Times New Roman;sans-serif"/>
          <w:b w:val="false"/>
          <w:color w:val="000000"/>
          <w:sz w:val="24"/>
        </w:rPr>
        <w:t xml:space="preserve">. In the event of any dispute under the provisions of this Agreement or otherwise regarding Executive’s employment or compensation (other than a dispute in which the primary relief sought is an injunction or other equitable remedy, such as an action to enforce compliance with </w:t>
      </w:r>
      <w:r>
        <w:rPr>
          <w:rFonts w:ascii="Times New Roman;sans-serif" w:hAnsi="Times New Roman;sans-serif"/>
          <w:b w:val="false"/>
          <w:color w:val="000000"/>
          <w:sz w:val="24"/>
          <w:u w:val="single"/>
        </w:rPr>
        <w:t>Section 15</w:t>
      </w:r>
      <w:r>
        <w:rPr>
          <w:rFonts w:ascii="Times New Roman;sans-serif" w:hAnsi="Times New Roman;sans-serif"/>
          <w:b w:val="false"/>
          <w:color w:val="000000"/>
          <w:sz w:val="24"/>
        </w:rPr>
        <w:t>), the parties shall be required to have the dispute, controversy or claim settled by arbitration in Princeton Junction, New Jersey in accordance with the National Rules for the Resolution of Employment Disputes then in effect of the American Arbitration Association (“</w:t>
      </w:r>
      <w:r>
        <w:rPr>
          <w:rFonts w:ascii="Times New Roman;sans-serif" w:hAnsi="Times New Roman;sans-serif"/>
          <w:b/>
          <w:color w:val="000000"/>
          <w:sz w:val="24"/>
        </w:rPr>
        <w:t>AAA</w:t>
      </w:r>
      <w:r>
        <w:rPr>
          <w:color w:val="000000"/>
        </w:rPr>
        <w:t>”</w:t>
      </w:r>
      <w:r>
        <w:rPr>
          <w:rFonts w:ascii="Times New Roman;sans-serif" w:hAnsi="Times New Roman;sans-serif"/>
          <w:b w:val="false"/>
          <w:color w:val="000000"/>
          <w:sz w:val="24"/>
        </w:rPr>
        <w:t>), by one arbitrator mutually agreed upon by the parties (or, if no agreement can be reached within thirty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7495"/>
                <wp:effectExtent l="0" t="0" r="0" b="0"/>
                <wp:wrapNone/>
                <wp:docPr id="102" name="Frame9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21.</w:t>
      </w:r>
      <w:r>
        <w:rPr>
          <w:rFonts w:ascii="Times New Roman;sans-serif" w:hAnsi="Times New Roman;sans-serif"/>
          <w:b/>
          <w:color w:val="000000"/>
          <w:sz w:val="24"/>
          <w:u w:val="single"/>
        </w:rPr>
        <w:t>Notices</w:t>
      </w:r>
      <w:r>
        <w:rPr>
          <w:rFonts w:ascii="Times New Roman;sans-serif" w:hAnsi="Times New Roman;sans-serif"/>
          <w:b w:val="false"/>
          <w:color w:val="000000"/>
          <w:sz w:val="24"/>
        </w:rPr>
        <w:t>. All notices, demands or other communications hereunder shall be in writing and shall be deemed to have been duly given if delivered in person, by e-mail or fax, by United States 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pStyle w:val="TextBody"/>
        <w:bidi w:val="0"/>
        <w:spacing w:lineRule="auto" w:line="240" w:before="0" w:after="240"/>
        <w:jc w:val="both"/>
        <w:rPr/>
      </w:pPr>
      <w:r>
        <w:rPr>
          <w:rFonts w:ascii="Times New Roman;sans-serif" w:hAnsi="Times New Roman;sans-serif"/>
          <w:b w:val="false"/>
          <w:color w:val="000000"/>
          <w:sz w:val="24"/>
        </w:rPr>
        <w:t>22.</w:t>
      </w:r>
      <w:r>
        <w:rPr>
          <w:rFonts w:ascii="Times New Roman;sans-serif" w:hAnsi="Times New Roman;sans-serif"/>
          <w:b/>
          <w:color w:val="000000"/>
          <w:sz w:val="24"/>
          <w:u w:val="single"/>
        </w:rPr>
        <w:t>Headings</w:t>
      </w:r>
      <w:r>
        <w:rPr>
          <w:rFonts w:ascii="Times New Roman;sans-serif" w:hAnsi="Times New Roman;sans-serif"/>
          <w:b w:val="false"/>
          <w:color w:val="000000"/>
          <w:sz w:val="24"/>
        </w:rPr>
        <w:t>. The headings of the sections of this Agreement are inserted for convenience only and shall not affect the meaning of this Agreement.</w:t>
      </w:r>
    </w:p>
    <w:p>
      <w:pPr>
        <w:pStyle w:val="TextBody"/>
        <w:bidi w:val="0"/>
        <w:spacing w:lineRule="auto" w:line="240" w:before="0" w:after="240"/>
        <w:jc w:val="both"/>
        <w:rPr/>
      </w:pPr>
      <w:r>
        <w:rPr>
          <w:rFonts w:ascii="Times New Roman;sans-serif" w:hAnsi="Times New Roman;sans-serif"/>
          <w:b w:val="false"/>
          <w:color w:val="000000"/>
          <w:sz w:val="24"/>
        </w:rPr>
        <w:t>23.</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Agreement shall be governed by and construed in accordance with the internal laws of the State of New Jersey</w:t>
      </w:r>
      <w:r>
        <w:rPr>
          <w:rFonts w:ascii="Times New Roman;sans-serif" w:hAnsi="Times New Roman;sans-serif"/>
          <w:b w:val="false"/>
          <w:color w:val="494949"/>
          <w:sz w:val="24"/>
        </w:rPr>
        <w:t xml:space="preserve">, </w:t>
      </w:r>
      <w:r>
        <w:rPr>
          <w:rFonts w:ascii="Times New Roman;sans-serif" w:hAnsi="Times New Roman;sans-serif"/>
          <w:b w:val="false"/>
          <w:color w:val="000000"/>
          <w:sz w:val="24"/>
        </w:rPr>
        <w:t>without regard to its choice of law provisions.</w:t>
      </w:r>
    </w:p>
    <w:p>
      <w:pPr>
        <w:pStyle w:val="TextBody"/>
        <w:bidi w:val="0"/>
        <w:spacing w:lineRule="auto" w:line="240" w:before="0" w:after="240"/>
        <w:jc w:val="both"/>
        <w:rPr/>
      </w:pPr>
      <w:r>
        <w:rPr>
          <w:rFonts w:ascii="Times New Roman;sans-serif" w:hAnsi="Times New Roman;sans-serif"/>
          <w:b w:val="false"/>
          <w:color w:val="000000"/>
          <w:sz w:val="24"/>
        </w:rPr>
        <w:t>24.</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Agreement may be executed in separate counterparts, any one of which need not contain signatures of more than one party, but all of which taken together will constitute one and the same Agreement.</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4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7495"/>
                <wp:effectExtent l="0" t="0" r="0" b="0"/>
                <wp:wrapNone/>
                <wp:docPr id="103" name="Frame99"/>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has been executed and delivered on the date first above written.</w: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MISTRAS GROUP,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Michael C. Keefe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Title: Executive Vice President, </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General Counsel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color w:val="000000"/>
          <w:u w:val="single"/>
        </w:rPr>
      </w:pPr>
      <w:r>
        <w:rPr>
          <w:color w:val="000000"/>
          <w:u w:val="single"/>
        </w:rPr>
        <w:t>                    </w: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John A. Smith</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EXECUTION VERSION</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77495"/>
                <wp:effectExtent l="0" t="0" r="0" b="0"/>
                <wp:wrapNone/>
                <wp:docPr id="104" name="Frame10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368.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162019016v6</w:t>
                      </w:r>
                    </w:p>
                  </w:txbxContent>
                </v:textbox>
                <w10:wrap type="none"/>
              </v:rect>
            </w:pict>
          </mc:Fallback>
        </mc:AlternateContent>
      </w:r>
    </w:p>
    <w:p>
      <w:pPr>
        <w:pStyle w:val="TextBody"/>
        <w:bidi w:val="0"/>
        <w:spacing w:lineRule="auto" w:line="247" w:before="0" w:after="40"/>
        <w:jc w:val="center"/>
        <w:rPr>
          <w:rFonts w:ascii="Times New Roman;sans-serif" w:hAnsi="Times New Roman;sans-serif"/>
          <w:b/>
          <w:color w:val="000000"/>
          <w:sz w:val="24"/>
        </w:rPr>
      </w:pPr>
      <w:r>
        <w:rPr>
          <w:rFonts w:ascii="Times New Roman;sans-serif" w:hAnsi="Times New Roman;sans-serif"/>
          <w:b/>
          <w:color w:val="000000"/>
          <w:sz w:val="24"/>
        </w:rPr>
        <w:t>MISTRAS GROUP, INC.</w:t>
      </w:r>
    </w:p>
    <w:p>
      <w:pPr>
        <w:pStyle w:val="TextBody"/>
        <w:bidi w:val="0"/>
        <w:spacing w:lineRule="auto" w:line="247" w:before="0" w:after="40"/>
        <w:jc w:val="center"/>
        <w:rPr>
          <w:rFonts w:ascii="Times New Roman;sans-serif" w:hAnsi="Times New Roman;sans-serif"/>
          <w:b/>
          <w:color w:val="000000"/>
          <w:sz w:val="24"/>
        </w:rPr>
      </w:pPr>
      <w:r>
        <w:rPr>
          <w:rFonts w:ascii="Times New Roman;sans-serif" w:hAnsi="Times New Roman;sans-serif"/>
          <w:b/>
          <w:color w:val="000000"/>
          <w:sz w:val="24"/>
        </w:rPr>
        <w:t>INDUCEMENT AWARD AGREEMENT</w:t>
      </w:r>
    </w:p>
    <w:p>
      <w:pPr>
        <w:pStyle w:val="TextBody"/>
        <w:bidi w:val="0"/>
        <w:spacing w:before="0" w:after="40"/>
        <w:jc w:val="center"/>
        <w:rPr/>
      </w:pPr>
      <w:r>
        <w:rPr/>
      </w:r>
    </w:p>
    <w:p>
      <w:pPr>
        <w:pStyle w:val="TextBody"/>
        <w:bidi w:val="0"/>
        <w:spacing w:lineRule="auto" w:line="254" w:before="0" w:after="40"/>
        <w:ind w:left="0" w:right="0" w:firstLine="720"/>
        <w:jc w:val="both"/>
        <w:rPr/>
      </w:pPr>
      <w:r>
        <w:rPr>
          <w:rFonts w:ascii="Times New Roman;sans-serif" w:hAnsi="Times New Roman;sans-serif"/>
          <w:b w:val="false"/>
          <w:color w:val="000000"/>
          <w:sz w:val="24"/>
        </w:rPr>
        <w:t>This Inducement Award Agreement (this “</w:t>
      </w:r>
      <w:r>
        <w:rPr>
          <w:rFonts w:ascii="Times New Roman;sans-serif" w:hAnsi="Times New Roman;sans-serif"/>
          <w:b w:val="false"/>
          <w:color w:val="000000"/>
          <w:sz w:val="24"/>
          <w:u w:val="single"/>
        </w:rPr>
        <w:t>Award Agreement</w:t>
      </w:r>
      <w:r>
        <w:rPr>
          <w:color w:val="000000"/>
        </w:rPr>
        <w:t>”</w:t>
      </w:r>
      <w:r>
        <w:rPr>
          <w:rFonts w:ascii="Times New Roman;sans-serif" w:hAnsi="Times New Roman;sans-serif"/>
          <w:b w:val="false"/>
          <w:color w:val="000000"/>
          <w:sz w:val="24"/>
        </w:rPr>
        <w:t>), effective as of the Date of Grant set forth below, represents the grant of an option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to purchase shares of common stock, par value $.01 per share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of Mistras Group,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to Manuel N. Stamatakis (the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subject to the terms and conditions set forth below. The grant of the Option has been made by the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of the Company and the Compensation Committee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of the Board. The number of shares of Common Stock that may be purchased pursuant to the Option, and the per share exercise price (the “</w:t>
      </w:r>
      <w:r>
        <w:rPr>
          <w:rFonts w:ascii="Times New Roman;sans-serif" w:hAnsi="Times New Roman;sans-serif"/>
          <w:b w:val="false"/>
          <w:color w:val="000000"/>
          <w:sz w:val="24"/>
          <w:u w:val="single"/>
        </w:rPr>
        <w:t>Exercise Price</w:t>
      </w:r>
      <w:r>
        <w:rPr>
          <w:color w:val="000000"/>
        </w:rPr>
        <w:t>”</w:t>
      </w:r>
      <w:r>
        <w:rPr>
          <w:rFonts w:ascii="Times New Roman;sans-serif" w:hAnsi="Times New Roman;sans-serif"/>
          <w:b w:val="false"/>
          <w:color w:val="000000"/>
          <w:sz w:val="24"/>
        </w:rPr>
        <w:t>) payable for shares of Common Stock upon exercise of the Option, are set forth in Article I of this Award Agreement.</w:t>
      </w:r>
    </w:p>
    <w:p>
      <w:pPr>
        <w:pStyle w:val="TextBody"/>
        <w:bidi w:val="0"/>
        <w:spacing w:before="0" w:after="40"/>
        <w:ind w:left="0" w:right="0" w:firstLine="720"/>
        <w:jc w:val="both"/>
        <w:rPr/>
      </w:pPr>
      <w:r>
        <w:rPr/>
      </w:r>
    </w:p>
    <w:p>
      <w:pPr>
        <w:pStyle w:val="TextBody"/>
        <w:bidi w:val="0"/>
        <w:spacing w:lineRule="auto" w:line="254" w:before="0" w:after="40"/>
        <w:ind w:left="0" w:right="0" w:firstLine="720"/>
        <w:jc w:val="both"/>
        <w:rPr/>
      </w:pPr>
      <w:r>
        <w:rPr>
          <w:rFonts w:ascii="Times New Roman;sans-serif" w:hAnsi="Times New Roman;sans-serif"/>
          <w:b w:val="false"/>
          <w:color w:val="000000"/>
          <w:sz w:val="24"/>
        </w:rPr>
        <w:t>The grant of the Option pursuant to this Award Agreement constitutes a non-plan “inducement award,” as contemplated by New York Stock Exchange Rule 303A.08, and is therefore not made pursuant to the Mistras Group, Inc. 2016 Long-Term Incentive Plan, as amended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Nevertheless, the terms and provisions of the Plan relating to Options (as the term “Options” is defined in the Plan) are hereby incorporated into this Award Agreement by this reference, as though fully set forth herein, as if the Option granted pursuant to this Award Agreement were granted pursuant to the Plan, except as and to the extent expressly provided to the contrary in this Award Agreement. Unless the context herein otherwise requires, the terms defined in the Plan shall have the same meanings herein. A copy of the Plan has been provided to the Participant along with this Award Agreement.</w:t>
      </w:r>
    </w:p>
    <w:p>
      <w:pPr>
        <w:pStyle w:val="TextBody"/>
        <w:bidi w:val="0"/>
        <w:spacing w:before="0" w:after="0"/>
        <w:jc w:val="both"/>
        <w:rPr/>
      </w:pPr>
      <w:r>
        <w:rPr/>
      </w:r>
    </w:p>
    <w:p>
      <w:pPr>
        <w:pStyle w:val="TextBody"/>
        <w:bidi w:val="0"/>
        <w:spacing w:lineRule="auto" w:line="492" w:before="40" w:after="40"/>
        <w:ind w:left="0" w:right="0" w:hanging="720"/>
        <w:jc w:val="left"/>
        <w:rPr/>
      </w:pPr>
      <w:r>
        <w:rPr>
          <w:rFonts w:ascii="Times New Roman;sans-serif" w:hAnsi="Times New Roman;sans-serif"/>
          <w:b/>
          <w:color w:val="000000"/>
          <w:sz w:val="24"/>
        </w:rPr>
        <w:t>I.    </w:t>
      </w:r>
      <w:r>
        <w:rPr>
          <w:rFonts w:ascii="Times New Roman;sans-serif" w:hAnsi="Times New Roman;sans-serif"/>
          <w:b/>
          <w:color w:val="000000"/>
          <w:sz w:val="24"/>
          <w:u w:val="single"/>
        </w:rPr>
        <w:t xml:space="preserve">STOCK OPTION GRANT AWARD TERMS </w:t>
      </w:r>
    </w:p>
    <w:tbl>
      <w:tblPr>
        <w:tblW w:w="10205" w:type="dxa"/>
        <w:jc w:val="left"/>
        <w:tblInd w:w="0" w:type="dxa"/>
        <w:tblLayout w:type="fixed"/>
        <w:tblCellMar>
          <w:top w:w="28" w:type="dxa"/>
          <w:left w:w="28" w:type="dxa"/>
          <w:bottom w:w="28" w:type="dxa"/>
          <w:right w:w="28" w:type="dxa"/>
        </w:tblCellMar>
      </w:tblPr>
      <w:tblGrid>
        <w:gridCol w:w="1798"/>
        <w:gridCol w:w="1488"/>
        <w:gridCol w:w="1488"/>
        <w:gridCol w:w="1813"/>
        <w:gridCol w:w="1488"/>
        <w:gridCol w:w="2130"/>
      </w:tblGrid>
      <w:tr>
        <w:trPr/>
        <w:tc>
          <w:tcPr>
            <w:tcW w:w="179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9" w:before="0" w:after="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has been granted, for service as interim President and Chief Executive Officer of the Company, the Option to purchase shares of Common Stock, subject to the terms and conditions of this Award Agreement, as set forth above and as follows:</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5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October 11, 2023</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Date:</w:t>
            </w:r>
          </w:p>
        </w:tc>
        <w:tc>
          <w:tcPr>
            <w:tcW w:w="54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October 12, 2023</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Exercise Price per Share:</w:t>
            </w:r>
          </w:p>
        </w:tc>
        <w:tc>
          <w:tcPr>
            <w:tcW w:w="54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$5.36</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 Number of Shares Granted:</w:t>
            </w:r>
          </w:p>
        </w:tc>
        <w:tc>
          <w:tcPr>
            <w:tcW w:w="54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35" w:before="40" w:after="40"/>
              <w:jc w:val="left"/>
              <w:rPr/>
            </w:pPr>
            <w:r>
              <w:rPr>
                <w:rFonts w:ascii="Times New Roman;sans-serif" w:hAnsi="Times New Roman;sans-serif"/>
                <w:b w:val="false"/>
                <w:color w:val="000000"/>
                <w:sz w:val="24"/>
              </w:rPr>
              <w:t>250,000 shares of Common Stock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 Exercise Price:</w:t>
            </w:r>
          </w:p>
        </w:tc>
        <w:tc>
          <w:tcPr>
            <w:tcW w:w="54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$1,340,000.00</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Type of Option:</w:t>
            </w:r>
          </w:p>
        </w:tc>
        <w:tc>
          <w:tcPr>
            <w:tcW w:w="54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35" w:before="40" w:after="40"/>
              <w:jc w:val="left"/>
              <w:rPr/>
            </w:pPr>
            <w:r>
              <w:rPr>
                <w:rFonts w:ascii="Times New Roman;sans-serif" w:hAnsi="Times New Roman;sans-serif"/>
                <w:b w:val="false"/>
                <w:color w:val="000000"/>
                <w:sz w:val="24"/>
              </w:rPr>
              <w:t>Non-Qualified Stock Option (“</w:t>
            </w:r>
            <w:r>
              <w:rPr>
                <w:rFonts w:ascii="Times New Roman;sans-serif" w:hAnsi="Times New Roman;sans-serif"/>
                <w:b w:val="false"/>
                <w:color w:val="000000"/>
                <w:sz w:val="24"/>
                <w:u w:val="single"/>
              </w:rPr>
              <w:t>NSO</w:t>
            </w:r>
            <w:r>
              <w:rPr>
                <w:color w:val="000000"/>
              </w:rPr>
              <w:t>”</w:t>
            </w:r>
            <w:r>
              <w:rPr>
                <w:rFonts w:ascii="Times New Roman;sans-serif" w:hAnsi="Times New Roman;sans-serif"/>
                <w:b w:val="false"/>
                <w:color w:val="000000"/>
                <w:sz w:val="24"/>
              </w:rPr>
              <w:t>)</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Expiration Date:</w:t>
            </w:r>
          </w:p>
        </w:tc>
        <w:tc>
          <w:tcPr>
            <w:tcW w:w="543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Ten (10) years from Date of Grant</w:t>
            </w:r>
          </w:p>
        </w:tc>
      </w:tr>
    </w:tbl>
    <w:p>
      <w:pPr>
        <w:pStyle w:val="TextBody"/>
        <w:bidi w:val="0"/>
        <w:spacing w:before="40" w:after="40"/>
        <w:jc w:val="left"/>
        <w:rPr/>
      </w:pPr>
      <w:r>
        <w:rPr/>
      </w:r>
    </w:p>
    <w:p>
      <w:pPr>
        <w:pStyle w:val="TextBody"/>
        <w:bidi w:val="0"/>
        <w:spacing w:before="0" w:after="40"/>
        <w:jc w:val="both"/>
        <w:rPr/>
      </w:pPr>
      <w:r>
        <w:rPr/>
      </w:r>
    </w:p>
    <w:p>
      <w:pPr>
        <w:pStyle w:val="TextBody"/>
        <w:bidi w:val="0"/>
        <w:spacing w:lineRule="auto" w:line="252" w:before="0" w:after="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Shares subject to the Option shall be fully vested as of the Vesting Date set forth above, and, for the avoidance of doubt, the minimum vesting condition in Section 3.4 of the Plan shall be inapplicable to the Option and the Shares subject to the Option. The Corporate Governance Committee of the Board has determined, in its discretion under the Company’s Stock Ownership Guidelines, that any Shares received by Participant pursuant to the exercise of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5"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52" w:before="0" w:after="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Options under this Award Agreement shall not be subject to enforcement under the Stock Ownership Guidelines. </w:t>
      </w:r>
    </w:p>
    <w:p>
      <w:pPr>
        <w:pStyle w:val="TextBody"/>
        <w:bidi w:val="0"/>
        <w:spacing w:before="0" w:after="40"/>
        <w:ind w:left="0" w:right="0" w:firstLine="720"/>
        <w:jc w:val="both"/>
        <w:rPr/>
      </w:pPr>
      <w:r>
        <w:rPr/>
      </w:r>
    </w:p>
    <w:p>
      <w:pPr>
        <w:pStyle w:val="TextBody"/>
        <w:bidi w:val="0"/>
        <w:spacing w:lineRule="auto" w:line="252" w:before="0" w:after="40"/>
        <w:ind w:left="0" w:right="0" w:firstLine="720"/>
        <w:jc w:val="both"/>
        <w:rPr/>
      </w:pPr>
      <w:r>
        <w:rPr>
          <w:rFonts w:ascii="Times New Roman;sans-serif" w:hAnsi="Times New Roman;sans-serif"/>
          <w:b w:val="false"/>
          <w:color w:val="000000"/>
          <w:sz w:val="24"/>
          <w:u w:val="single"/>
        </w:rPr>
        <w:t>Exercise Period</w:t>
      </w:r>
      <w:r>
        <w:rPr>
          <w:rFonts w:ascii="Times New Roman;sans-serif" w:hAnsi="Times New Roman;sans-serif"/>
          <w:b w:val="false"/>
          <w:color w:val="000000"/>
          <w:sz w:val="24"/>
        </w:rPr>
        <w:t>:</w:t>
      </w:r>
    </w:p>
    <w:p>
      <w:pPr>
        <w:pStyle w:val="TextBody"/>
        <w:bidi w:val="0"/>
        <w:spacing w:lineRule="auto" w:line="254" w:before="0" w:after="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has determined that on the Date of Grant set forth above the Option shall be exercisable by the Participant (or the Participant’s estate or legal representative upon the Participant’s death) at any time from and after the Date of Grant and up to and including the earliest of (i) the Expiration Date set forth above, (ii) the close of business on the first anniversary of the date that the Participant’s service to the Company ceases for any reason other than for Cause (notwithstanding anything to the contrary in Section 5.8(a) or (b) of the Plan), and (iii) the date the Participant’s service is terminated by the Company for Cause (or the date the Participant’s service ceases at a time when grounds for a termination for Cause exist); provided that, notwithstanding the foregoing, all of the provisions of Article 9 of the Plan (Change in Control) shall be applicable to the Option as if the Option had been granted under the Plan. For the avoidance of doubt, for so long as the Participant is an employee and/or a director of the Company, the Participant’s service to the Company shall not be deemed to have ceased. For purposes of this Award Agreement, Cause shall mean the Participant:</w:t>
      </w:r>
    </w:p>
    <w:p>
      <w:pPr>
        <w:pStyle w:val="TextBody"/>
        <w:bidi w:val="0"/>
        <w:spacing w:before="5"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(i)is convicted of or pleads nolo contendre to a felony or is indicted for the commission of a felony against the Company that has a materially adverse effect on the Company's business;</w:t>
      </w:r>
    </w:p>
    <w:p>
      <w:pPr>
        <w:pStyle w:val="TextBody"/>
        <w:bidi w:val="0"/>
        <w:spacing w:before="10" w:after="283"/>
        <w:jc w:val="left"/>
        <w:rPr/>
      </w:pPr>
      <w:r>
        <w:rPr/>
      </w:r>
    </w:p>
    <w:p>
      <w:pPr>
        <w:pStyle w:val="TextBody"/>
        <w:bidi w:val="0"/>
        <w:spacing w:lineRule="auto" w:line="240" w:before="0" w:after="0"/>
        <w:ind w:left="0" w:right="0" w:firstLine="1444"/>
        <w:jc w:val="both"/>
        <w:rPr>
          <w:rFonts w:ascii="Times New Roman;sans-serif" w:hAnsi="Times New Roman;sans-serif"/>
          <w:b w:val="false"/>
          <w:color w:val="000000"/>
          <w:sz w:val="22"/>
        </w:rPr>
      </w:pPr>
      <w:r>
        <w:rPr>
          <w:rFonts w:ascii="Times New Roman;sans-serif" w:hAnsi="Times New Roman;sans-serif"/>
          <w:b w:val="false"/>
          <w:color w:val="000000"/>
          <w:sz w:val="22"/>
        </w:rPr>
        <w:t>(ii)commits fraud or a material act or omission involving dishonesty with respect to the Company, as reasonably determined by the Company;</w:t>
      </w:r>
    </w:p>
    <w:p>
      <w:pPr>
        <w:pStyle w:val="TextBody"/>
        <w:bidi w:val="0"/>
        <w:spacing w:before="5" w:after="283"/>
        <w:jc w:val="left"/>
        <w:rPr/>
      </w:pPr>
      <w:r>
        <w:rPr/>
      </w:r>
    </w:p>
    <w:p>
      <w:pPr>
        <w:pStyle w:val="TextBody"/>
        <w:bidi w:val="0"/>
        <w:spacing w:lineRule="auto" w:line="240" w:before="0" w:after="0"/>
        <w:ind w:left="0" w:right="0" w:firstLine="1438"/>
        <w:jc w:val="both"/>
        <w:rPr>
          <w:rFonts w:ascii="Times New Roman;sans-serif" w:hAnsi="Times New Roman;sans-serif"/>
          <w:b w:val="false"/>
          <w:color w:val="000000"/>
          <w:sz w:val="22"/>
        </w:rPr>
      </w:pPr>
      <w:r>
        <w:rPr>
          <w:rFonts w:ascii="Times New Roman;sans-serif" w:hAnsi="Times New Roman;sans-serif"/>
          <w:b w:val="false"/>
          <w:color w:val="000000"/>
          <w:sz w:val="22"/>
        </w:rPr>
        <w:t>(iii)willfully fails or refuses to carry out the material responsibilities of his employment, as reasonably determined by the Company; or</w:t>
      </w:r>
    </w:p>
    <w:p>
      <w:pPr>
        <w:pStyle w:val="TextBody"/>
        <w:bidi w:val="0"/>
        <w:spacing w:before="0" w:after="0"/>
        <w:jc w:val="left"/>
        <w:rPr/>
      </w:pPr>
      <w:r>
        <w:rPr/>
      </w:r>
    </w:p>
    <w:p>
      <w:pPr>
        <w:pStyle w:val="TextBody"/>
        <w:bidi w:val="0"/>
        <w:spacing w:lineRule="auto" w:line="295"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(iv)willfully engages in any act or omission that is in violation of a material policy of the Company, including, without limitation, policies on business ethics and conduct, and policies on the use of inside information and insider trading.</w:t>
      </w:r>
    </w:p>
    <w:p>
      <w:pPr>
        <w:pStyle w:val="TextBody"/>
        <w:bidi w:val="0"/>
        <w:spacing w:before="0" w:after="40"/>
        <w:ind w:left="0" w:right="0" w:firstLine="720"/>
        <w:jc w:val="both"/>
        <w:rPr/>
      </w:pPr>
      <w:r>
        <w:rPr/>
      </w:r>
    </w:p>
    <w:p>
      <w:pPr>
        <w:pStyle w:val="TextBody"/>
        <w:bidi w:val="0"/>
        <w:spacing w:lineRule="auto" w:line="249" w:before="0" w:after="40"/>
        <w:jc w:val="left"/>
        <w:rPr/>
      </w:pPr>
      <w:r>
        <w:rPr>
          <w:rFonts w:ascii="Times New Roman;sans-serif" w:hAnsi="Times New Roman;sans-serif"/>
          <w:b/>
          <w:color w:val="000000"/>
          <w:sz w:val="24"/>
        </w:rPr>
        <w:t>II.    </w:t>
      </w:r>
      <w:r>
        <w:rPr>
          <w:rFonts w:ascii="Times New Roman;sans-serif" w:hAnsi="Times New Roman;sans-serif"/>
          <w:b/>
          <w:color w:val="000000"/>
          <w:sz w:val="24"/>
          <w:u w:val="single"/>
        </w:rPr>
        <w:t>ADDITIONAL TERMS</w:t>
      </w:r>
    </w:p>
    <w:p>
      <w:pPr>
        <w:pStyle w:val="TextBody"/>
        <w:bidi w:val="0"/>
        <w:spacing w:before="0" w:after="40"/>
        <w:jc w:val="both"/>
        <w:rPr/>
      </w:pPr>
      <w:r>
        <w:rPr/>
      </w:r>
    </w:p>
    <w:p>
      <w:pPr>
        <w:pStyle w:val="TextBody"/>
        <w:bidi w:val="0"/>
        <w:spacing w:lineRule="auto" w:line="252" w:before="0" w:after="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Exercise of Option</w:t>
      </w:r>
      <w:r>
        <w:rPr>
          <w:rFonts w:ascii="Times New Roman;sans-serif" w:hAnsi="Times New Roman;sans-serif"/>
          <w:b w:val="false"/>
          <w:color w:val="000000"/>
          <w:sz w:val="24"/>
        </w:rPr>
        <w:t>.</w:t>
      </w:r>
      <w:r>
        <w:rPr>
          <w:color w:val="000000"/>
          <w:u w:val="single"/>
        </w:rPr>
        <w:t xml:space="preserve"> </w:t>
      </w:r>
    </w:p>
    <w:p>
      <w:pPr>
        <w:pStyle w:val="TextBody"/>
        <w:bidi w:val="0"/>
        <w:spacing w:before="0" w:after="40"/>
        <w:jc w:val="both"/>
        <w:rPr/>
      </w:pPr>
      <w:r>
        <w:rPr/>
      </w:r>
    </w:p>
    <w:p>
      <w:pPr>
        <w:pStyle w:val="TextBody"/>
        <w:bidi w:val="0"/>
        <w:spacing w:lineRule="auto" w:line="254" w:before="0" w:after="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The Option shall be exercisable by delivery of an exercise notice or in a manner and pursuant to such procedures as the Committee may determine (the “</w:t>
      </w:r>
      <w:r>
        <w:rPr>
          <w:rFonts w:ascii="Times New Roman;sans-serif" w:hAnsi="Times New Roman;sans-serif"/>
          <w:b w:val="false"/>
          <w:color w:val="000000"/>
          <w:sz w:val="24"/>
          <w:u w:val="single"/>
        </w:rPr>
        <w:t>Exercise Notice</w:t>
      </w:r>
      <w:r>
        <w:rPr>
          <w:color w:val="000000"/>
        </w:rPr>
        <w:t>”</w:t>
      </w:r>
      <w:r>
        <w:rPr>
          <w:rFonts w:ascii="Times New Roman;sans-serif" w:hAnsi="Times New Roman;sans-serif"/>
          <w:b w:val="false"/>
          <w:color w:val="000000"/>
          <w:sz w:val="24"/>
        </w:rPr>
        <w:t>), which shall state the election to exercise the Option, the number of Shares with respect to which the Option is being exercised (the “</w:t>
      </w:r>
      <w:r>
        <w:rPr>
          <w:rFonts w:ascii="Times New Roman;sans-serif" w:hAnsi="Times New Roman;sans-serif"/>
          <w:b w:val="false"/>
          <w:color w:val="000000"/>
          <w:sz w:val="24"/>
          <w:u w:val="single"/>
        </w:rPr>
        <w:t>Exercised Shares</w:t>
      </w:r>
      <w:r>
        <w:rPr>
          <w:color w:val="000000"/>
        </w:rPr>
        <w:t>”</w:t>
      </w:r>
      <w:r>
        <w:rPr>
          <w:rFonts w:ascii="Times New Roman;sans-serif" w:hAnsi="Times New Roman;sans-serif"/>
          <w:b w:val="false"/>
          <w:color w:val="000000"/>
          <w:sz w:val="24"/>
        </w:rPr>
        <w:t>), and such other representations as may be required by the Company. The Exercise Notice shall be accompanied by payment of the aggregate Exercise Price as to all Exercised Shares, together with any applicable tax withholding. The Option shall be deemed to be exercised upon receipt by the Company of the Exercise Notice accompanied by the aggregate Exercise Price, together with any applicable tax withholding.</w:t>
      </w:r>
    </w:p>
    <w:p>
      <w:pPr>
        <w:pStyle w:val="TextBody"/>
        <w:bidi w:val="0"/>
        <w:spacing w:before="0" w:after="0"/>
        <w:jc w:val="left"/>
        <w:rPr/>
      </w:pPr>
      <w:r>
        <w:rPr/>
      </w:r>
    </w:p>
    <w:p>
      <w:pPr>
        <w:pStyle w:val="TextBody"/>
        <w:bidi w:val="0"/>
        <w:spacing w:lineRule="auto" w:line="254" w:before="0" w:after="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u w:val="single"/>
        </w:rPr>
        <w:t>Compliance with Law</w:t>
      </w:r>
      <w:r>
        <w:rPr>
          <w:rFonts w:ascii="Times New Roman;sans-serif" w:hAnsi="Times New Roman;sans-serif"/>
          <w:b w:val="false"/>
          <w:color w:val="000000"/>
          <w:sz w:val="24"/>
        </w:rPr>
        <w:t xml:space="preserve">. No Shares shall be issued pursuant to the exercise of the Option unless such issuance and such exercise comply with applicable laws. </w:t>
      </w:r>
    </w:p>
    <w:p>
      <w:pPr>
        <w:pStyle w:val="TextBody"/>
        <w:bidi w:val="0"/>
        <w:spacing w:before="0" w:after="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6715"/>
                <wp:effectExtent l="0" t="0" r="0" b="0"/>
                <wp:wrapNone/>
                <wp:docPr id="106" name="Frame102"/>
                <a:graphic xmlns:a="http://schemas.openxmlformats.org/drawingml/2006/main">
                  <a:graphicData uri="http://schemas.microsoft.com/office/word/2010/wordprocessingShape">
                    <wps:wsp>
                      <wps:cNvSpPr txBox="1"/>
                      <wps:spPr>
                        <a:xfrm>
                          <a:off x="0" y="0"/>
                          <a:ext cx="6480175" cy="386715"/>
                        </a:xfrm>
                        <a:prstGeom prst="rect"/>
                        <a:solidFill>
                          <a:srgbClr val="FFFFFF"/>
                        </a:solidFill>
                      </wps:spPr>
                      <wps:txbx>
                        <w:txbxContent>
                          <w:p>
                            <w:pPr>
                              <w:pStyle w:val="TextBody"/>
                              <w:bidi w:val="0"/>
                              <w:spacing w:before="40" w:after="40"/>
                              <w:jc w:val="left"/>
                              <w:rPr/>
                            </w:pPr>
                            <w:r>
                              <w:rPr/>
                            </w:r>
                            <w:r>
                              <w:br w:type="page"/>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4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9" w:before="0" w:after="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Method of Payment</w:t>
      </w:r>
      <w:r>
        <w:rPr>
          <w:rFonts w:ascii="Times New Roman;sans-serif" w:hAnsi="Times New Roman;sans-serif"/>
          <w:b w:val="false"/>
          <w:color w:val="000000"/>
          <w:sz w:val="24"/>
        </w:rPr>
        <w:t xml:space="preserve">. Payment of the aggregate Exercise Price shall be by any of the following, or a combination thereof, at the election of the Participant: </w:t>
      </w:r>
    </w:p>
    <w:p>
      <w:pPr>
        <w:pStyle w:val="TextBody"/>
        <w:bidi w:val="0"/>
        <w:spacing w:before="0" w:after="0"/>
        <w:jc w:val="both"/>
        <w:rPr/>
      </w:pPr>
      <w:r>
        <w:rPr/>
      </w:r>
    </w:p>
    <w:p>
      <w:pPr>
        <w:pStyle w:val="TextBody"/>
        <w:bidi w:val="0"/>
        <w:spacing w:lineRule="auto" w:line="259" w:before="0" w:after="0"/>
        <w:ind w:left="0" w:right="0" w:hanging="720"/>
        <w:jc w:val="both"/>
        <w:rPr/>
      </w:pPr>
      <w:r>
        <w:rPr>
          <w:rFonts w:ascii="Times New Roman;sans-serif" w:hAnsi="Times New Roman;sans-serif"/>
          <w:b w:val="false"/>
          <w:color w:val="000000"/>
          <w:sz w:val="24"/>
        </w:rPr>
        <w:t>(i)cash, check</w:t>
      </w:r>
      <w:r>
        <w:rPr>
          <w:rFonts w:ascii="Times New Roman;sans-serif" w:hAnsi="Times New Roman;sans-serif"/>
          <w:b w:val="false"/>
          <w:color w:val="000000"/>
          <w:sz w:val="22"/>
        </w:rPr>
        <w:t xml:space="preserve">, </w:t>
      </w:r>
      <w:r>
        <w:rPr>
          <w:rFonts w:ascii="Times New Roman;sans-serif" w:hAnsi="Times New Roman;sans-serif"/>
          <w:b w:val="false"/>
          <w:color w:val="000000"/>
          <w:sz w:val="24"/>
        </w:rPr>
        <w:t>bank draft, electronic funds transfer or money order payable to the Company;</w:t>
      </w:r>
    </w:p>
    <w:p>
      <w:pPr>
        <w:pStyle w:val="TextBody"/>
        <w:bidi w:val="0"/>
        <w:spacing w:before="0" w:after="0"/>
        <w:jc w:val="both"/>
        <w:rPr/>
      </w:pPr>
      <w:r>
        <w:rPr/>
      </w:r>
    </w:p>
    <w:p>
      <w:pPr>
        <w:pStyle w:val="TextBody"/>
        <w:bidi w:val="0"/>
        <w:spacing w:lineRule="auto" w:line="249"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(ii)by delivery to the Company (either by actual delivery or attestation) of already-owned shares of Common Stock provided that such shares (x) shall be valued at Fair Market Value on the date of exercise, and (y) must be owned free and clear of any liens, claims, encumbrances or security interests; or</w:t>
      </w:r>
    </w:p>
    <w:p>
      <w:pPr>
        <w:pStyle w:val="TextBody"/>
        <w:bidi w:val="0"/>
        <w:spacing w:before="0" w:after="0"/>
        <w:jc w:val="both"/>
        <w:rPr/>
      </w:pPr>
      <w:r>
        <w:rPr/>
      </w:r>
    </w:p>
    <w:p>
      <w:pPr>
        <w:pStyle w:val="TextBody"/>
        <w:bidi w:val="0"/>
        <w:spacing w:lineRule="auto" w:line="249"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(iii)by a “net exercise” pursuant to which the Company will reduce the number of shares of Common Stock issued upon exercise of the Option by the largest whole number of shares necessary to satisfy the Exercise Price, with such shares of Common Stock being valued at Fair Market Value as of the date of exercise, provided, that the Participant must pay any remaining balance of the aggregate Exercise Price not satisfied by the “net exercise” in another form of payment set forth herein.  </w:t>
      </w:r>
    </w:p>
    <w:p>
      <w:pPr>
        <w:pStyle w:val="TextBody"/>
        <w:bidi w:val="0"/>
        <w:spacing w:before="0" w:after="0"/>
        <w:jc w:val="both"/>
        <w:rPr/>
      </w:pPr>
      <w:r>
        <w:rPr/>
      </w:r>
    </w:p>
    <w:p>
      <w:pPr>
        <w:pStyle w:val="TextBody"/>
        <w:bidi w:val="0"/>
        <w:spacing w:lineRule="auto" w:line="271" w:before="0" w:after="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Transferability of Option</w:t>
      </w:r>
      <w:r>
        <w:rPr>
          <w:rFonts w:ascii="Times New Roman;sans-serif" w:hAnsi="Times New Roman;sans-serif"/>
          <w:b w:val="false"/>
          <w:color w:val="000000"/>
          <w:sz w:val="24"/>
        </w:rPr>
        <w:t>. Section 12.1 of the Plan shall be applicable to the Options as if the Options had been granted under the Plan; and, consistent with Section 12.1 of the Plan, the Committee has determined that the Option may be transferred inter vivos by the Participant to any “family member” (within the meaning of Item A(1)(a)(5) of the General Instructions to SEC Form S-8 or a successor), including, without limitation, to one or more trusts, partnerships, limited liability companies or other entities which qualify as family members, provided that (i) such transfer is not a transfer for value; or (ii) such transfer is a transfer for value that the Committee determines is for estate planning purposes.</w:t>
      </w:r>
      <w:r>
        <w:rPr>
          <w:color w:val="000000"/>
        </w:rPr>
        <w:t xml:space="preserve"> </w:t>
      </w:r>
      <w:r>
        <w:rPr>
          <w:rFonts w:ascii="Times New Roman;sans-serif" w:hAnsi="Times New Roman;sans-serif"/>
          <w:b w:val="false"/>
          <w:color w:val="000000"/>
          <w:sz w:val="24"/>
        </w:rPr>
        <w:t>Upon the Participant’s death, the Option will pass to the “beneficiary” designated by the Participant in accordance with Section 12.1 of the Plan (or, in the absence of such a designation, or if no designated beneficiary survives the Participant, to the Participant’s estate). Subject to the foregoing, the terms of this Award Agreement shall be binding upon the executors, administrators, heirs, successors and permitted assigns of the Participant.</w:t>
      </w:r>
    </w:p>
    <w:p>
      <w:pPr>
        <w:pStyle w:val="TextBody"/>
        <w:bidi w:val="0"/>
        <w:spacing w:before="0" w:after="40"/>
        <w:jc w:val="both"/>
        <w:rPr/>
      </w:pPr>
      <w:r>
        <w:rPr/>
      </w:r>
    </w:p>
    <w:p>
      <w:pPr>
        <w:pStyle w:val="TextBody"/>
        <w:bidi w:val="0"/>
        <w:spacing w:lineRule="auto" w:line="254" w:before="0" w:after="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Tax Obligations</w:t>
      </w:r>
      <w:r>
        <w:rPr>
          <w:rFonts w:ascii="Times New Roman;sans-serif" w:hAnsi="Times New Roman;sans-serif"/>
          <w:b w:val="false"/>
          <w:color w:val="000000"/>
          <w:sz w:val="24"/>
        </w:rPr>
        <w:t>.</w:t>
      </w:r>
      <w:r>
        <w:rPr>
          <w:color w:val="000000"/>
          <w:u w:val="single"/>
        </w:rPr>
        <w:t xml:space="preserve"> </w:t>
      </w:r>
    </w:p>
    <w:p>
      <w:pPr>
        <w:pStyle w:val="TextBody"/>
        <w:bidi w:val="0"/>
        <w:spacing w:before="0" w:after="0"/>
        <w:jc w:val="both"/>
        <w:rPr/>
      </w:pPr>
      <w:r>
        <w:rPr/>
      </w:r>
    </w:p>
    <w:p>
      <w:pPr>
        <w:pStyle w:val="TextBody"/>
        <w:bidi w:val="0"/>
        <w:spacing w:lineRule="auto" w:line="254" w:before="0" w:after="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The Company reserves the right to withhold, in accordance with applicable laws, from any consideration payable or property transferable to the Participant, any taxes required to be withheld by federal, state or local law as a result of the grant or exercise of the Option or the sale or other disposition of the Shares. If the amount of any consideration payable to the Participant is insufficient to pay such taxes or if no consideration is payable to the Participant, upon the request of the Company, the Participant will pay to the Company an amount sufficient for the Company to satisfy any federal, state or local tax withholding requirements applicable to and as a condition to the exercise of the Option or the sale or other disposition of the Shares issued upon the exercise of the Option. The minimum required withholding obligations may be settled with the Shares.</w:t>
      </w:r>
    </w:p>
    <w:p>
      <w:pPr>
        <w:pStyle w:val="TextBody"/>
        <w:bidi w:val="0"/>
        <w:spacing w:before="0" w:after="40"/>
        <w:jc w:val="both"/>
        <w:rPr/>
      </w:pPr>
      <w:r>
        <w:rPr/>
      </w:r>
    </w:p>
    <w:p>
      <w:pPr>
        <w:pStyle w:val="TextBody"/>
        <w:bidi w:val="0"/>
        <w:spacing w:lineRule="auto" w:line="252" w:before="0" w:after="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u w:val="single"/>
        </w:rPr>
        <w:t>Code Section 409A</w:t>
      </w:r>
      <w:r>
        <w:rPr>
          <w:rFonts w:ascii="Times New Roman;sans-serif" w:hAnsi="Times New Roman;sans-serif"/>
          <w:b w:val="false"/>
          <w:color w:val="000000"/>
          <w:sz w:val="24"/>
        </w:rPr>
        <w:t>. Under Code Section 409A, an option that was granted with a per share exercise price that is determined by the Internal Revenue Service (the “</w:t>
      </w:r>
      <w:r>
        <w:rPr>
          <w:rFonts w:ascii="Times New Roman;sans-serif" w:hAnsi="Times New Roman;sans-serif"/>
          <w:b w:val="false"/>
          <w:color w:val="000000"/>
          <w:sz w:val="24"/>
          <w:u w:val="single"/>
        </w:rPr>
        <w:t>IRS</w:t>
      </w:r>
      <w:r>
        <w:rPr>
          <w:color w:val="000000"/>
        </w:rPr>
        <w:t>”</w:t>
      </w:r>
      <w:r>
        <w:rPr>
          <w:rFonts w:ascii="Times New Roman;sans-serif" w:hAnsi="Times New Roman;sans-serif"/>
          <w:b w:val="false"/>
          <w:color w:val="000000"/>
          <w:sz w:val="24"/>
        </w:rPr>
        <w:t xml:space="preserve">) to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6715"/>
                <wp:effectExtent l="0" t="0" r="0" b="0"/>
                <wp:wrapNone/>
                <wp:docPr id="107" name="Frame103"/>
                <a:graphic xmlns:a="http://schemas.openxmlformats.org/drawingml/2006/main">
                  <a:graphicData uri="http://schemas.microsoft.com/office/word/2010/wordprocessingShape">
                    <wps:wsp>
                      <wps:cNvSpPr txBox="1"/>
                      <wps:spPr>
                        <a:xfrm>
                          <a:off x="0" y="0"/>
                          <a:ext cx="6480175" cy="386715"/>
                        </a:xfrm>
                        <a:prstGeom prst="rect"/>
                        <a:solidFill>
                          <a:srgbClr val="FFFFFF"/>
                        </a:solidFill>
                      </wps:spPr>
                      <wps:txbx>
                        <w:txbxContent>
                          <w:p>
                            <w:pPr>
                              <w:pStyle w:val="TextBody"/>
                              <w:bidi w:val="0"/>
                              <w:spacing w:before="40" w:after="40"/>
                              <w:jc w:val="left"/>
                              <w:rPr/>
                            </w:pPr>
                            <w:r>
                              <w:rPr/>
                            </w:r>
                            <w:r>
                              <w:br w:type="page"/>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4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52" w:before="0" w:after="40"/>
        <w:jc w:val="both"/>
        <w:rPr/>
      </w:pPr>
      <w:r>
        <w:rPr>
          <w:rFonts w:ascii="Times New Roman;sans-serif" w:hAnsi="Times New Roman;sans-serif"/>
          <w:b w:val="false"/>
          <w:color w:val="000000"/>
          <w:sz w:val="24"/>
        </w:rPr>
        <w:t>be less than the Fair Market Value of a share on the date of grant (a “</w:t>
      </w:r>
      <w:r>
        <w:rPr>
          <w:rFonts w:ascii="Times New Roman;sans-serif" w:hAnsi="Times New Roman;sans-serif"/>
          <w:b w:val="false"/>
          <w:color w:val="000000"/>
          <w:sz w:val="24"/>
          <w:u w:val="single"/>
        </w:rPr>
        <w:t>discount option</w:t>
      </w:r>
      <w:r>
        <w:rPr>
          <w:color w:val="000000"/>
        </w:rPr>
        <w:t>”</w:t>
      </w:r>
      <w:r>
        <w:rPr>
          <w:rFonts w:ascii="Times New Roman;sans-serif" w:hAnsi="Times New Roman;sans-serif"/>
          <w:b w:val="false"/>
          <w:color w:val="000000"/>
          <w:sz w:val="24"/>
        </w:rPr>
        <w:t>) may be considered “deferred compensation.” An option that is a “discount option” may result in: (i) income recognition by the grantee prior to the exercise of the option; (ii) an additional twenty percent (20%) federal income tax; and (iii) potential penalty and interest charges. The “discount option” may also result in additional state income, penalty and interest tax to the grantee. The Participant acknowledges that the Company cannot and has not guaranteed that the IRS will agree that the per Share exercise price of the Option equals or exceeds the Fair Market Value of a Share on the date of grant in a later examination. The Participant agrees that if the IRS determines that the Option was granted with a per Share exercise price that was less than the Fair Market Value of a Share on the date of grant, the Participant shall be solely responsible for the Participant’s costs related to such a determination.</w:t>
      </w:r>
    </w:p>
    <w:p>
      <w:pPr>
        <w:pStyle w:val="TextBody"/>
        <w:bidi w:val="0"/>
        <w:spacing w:before="0" w:after="40"/>
        <w:jc w:val="both"/>
        <w:rPr/>
      </w:pPr>
      <w:r>
        <w:rPr/>
      </w:r>
    </w:p>
    <w:p>
      <w:pPr>
        <w:pStyle w:val="TextBody"/>
        <w:bidi w:val="0"/>
        <w:spacing w:lineRule="auto" w:line="254" w:before="0" w:after="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Entire Agreement; Governing Law</w:t>
      </w:r>
      <w:r>
        <w:rPr>
          <w:rFonts w:ascii="Times New Roman;sans-serif" w:hAnsi="Times New Roman;sans-serif"/>
          <w:b w:val="false"/>
          <w:color w:val="000000"/>
          <w:sz w:val="24"/>
        </w:rPr>
        <w:t>. This Award Agreement constitutes the entire agreement of the parties with respect to the subject matter hereof and supersedes any and all prior undertakings and agreements of the Company and the Participant with respect to the subject matter hereof. This Award Agreement may not be amended except by means of a writing signed by the Company and the Participant, and, for the avoidance of doubt, if any provision of the Plan that is incorporated by reference herein and applicable to the Option is amended, and such amendment would adversely affect the Participant’s interest, then such amended provision shall not be given effect hereunder unless reflected in a writing signed by the Company and the Participant. This Award Agreement is governed by the internal substantive laws but not the choice of law rules of the State of Delaware.</w:t>
      </w:r>
    </w:p>
    <w:p>
      <w:pPr>
        <w:pStyle w:val="TextBody"/>
        <w:bidi w:val="0"/>
        <w:spacing w:before="0" w:after="0"/>
        <w:jc w:val="both"/>
        <w:rPr/>
      </w:pPr>
      <w:r>
        <w:rPr/>
      </w:r>
    </w:p>
    <w:p>
      <w:pPr>
        <w:pStyle w:val="TextBody"/>
        <w:bidi w:val="0"/>
        <w:spacing w:lineRule="auto" w:line="254" w:before="0" w:after="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 Guarantee of Continued Service</w:t>
      </w:r>
      <w:r>
        <w:rPr>
          <w:rFonts w:ascii="Times New Roman;sans-serif" w:hAnsi="Times New Roman;sans-serif"/>
          <w:b w:val="false"/>
          <w:color w:val="000000"/>
          <w:sz w:val="24"/>
        </w:rPr>
        <w:t>. THE PARTICIPANT ACKNOWLEDGES AND AGREES THAT THIS AWARD AGREEMENT AND THE TRANSACTIONS CONTEMPLATED HEREUNDER DO NOT CONSTITUTE AN EXPRESS OR IMPLIED PROMISE OF CONTINUED ENGAGEMENT FOR ANY PERIOD, OR AT ALL, AND SHALL NOT INTERFERE IN ANY WAY WITH THE PARTICIPANT’S RIGHT OR THE RIGHT OF THE COMPANY TO TERMINATE THE PARTICIPANT’S RELATIONSHIP WITH THE COMPANY AT ANY TIME, WITH OR WITHOUT CAUSE.</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Administration</w:t>
      </w:r>
      <w:r>
        <w:rPr>
          <w:rFonts w:ascii="Times New Roman;sans-serif" w:hAnsi="Times New Roman;sans-serif"/>
          <w:b w:val="false"/>
          <w:color w:val="000000"/>
          <w:sz w:val="22"/>
        </w:rPr>
        <w:t>. The Option, this Award Agreement and the rights of the Participant hereunder are subject to such rules and regulations as the Committee may adopt for administration of the Plan. Consistent with Section 3 of the Plan, it is expressly understood that the Committee is authorized to administer, construe, and make all determinations necessary or appropriate to the administration of the Option and this Award Agreement, all of which shall be binding upon the Participant and his successors.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Electronic Delivery of Documents</w:t>
      </w:r>
      <w:r>
        <w:rPr>
          <w:rFonts w:ascii="Times New Roman;sans-serif" w:hAnsi="Times New Roman;sans-serif"/>
          <w:b w:val="false"/>
          <w:color w:val="000000"/>
          <w:sz w:val="22"/>
        </w:rPr>
        <w:t>. The Participant authorizes the Company and its affiliates to deliver electronically any prospectuses or other documentation related to the Option and any other compensation or benefit plan or arrangement in effect from time to time (including, without limitation, periodic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or the website of a third-party administrator designated by the Company.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pStyle w:val="TextBody"/>
        <w:bidi w:val="0"/>
        <w:spacing w:before="0" w:after="40"/>
        <w:jc w:val="both"/>
        <w:rPr/>
      </w:pPr>
      <w:r>
        <w:rPr/>
      </w:r>
    </w:p>
    <w:p>
      <w:pPr>
        <w:pStyle w:val="TextBody"/>
        <w:bidi w:val="0"/>
        <w:spacing w:before="0" w:after="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6715"/>
                <wp:effectExtent l="0" t="0" r="0" b="0"/>
                <wp:wrapNone/>
                <wp:docPr id="108" name="Frame104"/>
                <a:graphic xmlns:a="http://schemas.openxmlformats.org/drawingml/2006/main">
                  <a:graphicData uri="http://schemas.microsoft.com/office/word/2010/wordprocessingShape">
                    <wps:wsp>
                      <wps:cNvSpPr txBox="1"/>
                      <wps:spPr>
                        <a:xfrm>
                          <a:off x="0" y="0"/>
                          <a:ext cx="6480175" cy="386715"/>
                        </a:xfrm>
                        <a:prstGeom prst="rect"/>
                        <a:solidFill>
                          <a:srgbClr val="FFFFFF"/>
                        </a:solidFill>
                      </wps:spPr>
                      <wps:txbx>
                        <w:txbxContent>
                          <w:p>
                            <w:pPr>
                              <w:pStyle w:val="TextBody"/>
                              <w:bidi w:val="0"/>
                              <w:spacing w:before="40" w:after="40"/>
                              <w:jc w:val="left"/>
                              <w:rPr/>
                            </w:pPr>
                            <w:r>
                              <w:rPr/>
                            </w:r>
                            <w:r>
                              <w:br w:type="page"/>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4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76" w:before="40" w:after="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Participant hereby accepts the Option subject to all of the terms and provisions of this Award Agreement.</w:t>
      </w:r>
    </w:p>
    <w:p>
      <w:pPr>
        <w:pStyle w:val="TextBody"/>
        <w:bidi w:val="0"/>
        <w:spacing w:before="40" w:after="40"/>
        <w:ind w:left="0" w:right="0" w:firstLine="720"/>
        <w:jc w:val="both"/>
        <w:rPr/>
      </w:pPr>
      <w:r>
        <w:rPr/>
      </w:r>
    </w:p>
    <w:p>
      <w:pPr>
        <w:pStyle w:val="TextBody"/>
        <w:bidi w:val="0"/>
        <w:spacing w:lineRule="auto" w:line="276"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                        MISTRAS GROUP, INC.</w:t>
      </w:r>
    </w:p>
    <w:p>
      <w:pPr>
        <w:pStyle w:val="TextBody"/>
        <w:bidi w:val="0"/>
        <w:spacing w:before="40" w:after="40"/>
        <w:jc w:val="both"/>
        <w:rPr/>
      </w:pPr>
      <w:r>
        <w:rPr/>
      </w:r>
    </w:p>
    <w:p>
      <w:pPr>
        <w:pStyle w:val="TextBody"/>
        <w:bidi w:val="0"/>
        <w:spacing w:before="40" w:after="40"/>
        <w:jc w:val="both"/>
        <w:rPr/>
      </w:pPr>
      <w:r>
        <w:rPr/>
      </w:r>
    </w:p>
    <w:p>
      <w:pPr>
        <w:pStyle w:val="TextBody"/>
        <w:bidi w:val="0"/>
        <w:spacing w:lineRule="auto" w:line="276"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                __________________________    </w:t>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Manuel N. Stamatakis                    By: </w:t>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1" w:before="40" w:after="40"/>
        <w:jc w:val="center"/>
        <w:rPr>
          <w:rFonts w:ascii="Times New Roman;sans-serif" w:hAnsi="Times New Roman;sans-serif"/>
          <w:b/>
          <w:i/>
          <w:color w:val="000000"/>
          <w:sz w:val="20"/>
        </w:rPr>
      </w:pPr>
      <w:r>
        <w:rPr>
          <w:rFonts w:ascii="Times New Roman;sans-serif" w:hAnsi="Times New Roman;sans-serif"/>
          <w:b/>
          <w:i/>
          <w:color w:val="000000"/>
          <w:sz w:val="20"/>
        </w:rPr>
        <w:t>Signature Page to Inducement Award Agreement – Manuel H. Stamatakis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6715"/>
                <wp:effectExtent l="0" t="0" r="0" b="0"/>
                <wp:wrapNone/>
                <wp:docPr id="109" name="Frame105"/>
                <a:graphic xmlns:a="http://schemas.openxmlformats.org/drawingml/2006/main">
                  <a:graphicData uri="http://schemas.microsoft.com/office/word/2010/wordprocessingShape">
                    <wps:wsp>
                      <wps:cNvSpPr txBox="1"/>
                      <wps:spPr>
                        <a:xfrm>
                          <a:off x="0" y="0"/>
                          <a:ext cx="6480175" cy="386715"/>
                        </a:xfrm>
                        <a:prstGeom prst="rect"/>
                        <a:solidFill>
                          <a:srgbClr val="FFFFFF"/>
                        </a:solidFill>
                      </wps:spPr>
                      <wps:txbx>
                        <w:txbxContent>
                          <w:p>
                            <w:pPr>
                              <w:pStyle w:val="TextBody"/>
                              <w:bidi w:val="0"/>
                              <w:spacing w:before="40" w:after="4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4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MISTRAS GROUP, INC.</w:t>
        <w:br/>
        <w:t>INSIDER TRADING COMPLIANCE POLICY</w:t>
      </w:r>
    </w:p>
    <w:p>
      <w:pPr>
        <w:pStyle w:val="TextBody"/>
        <w:bidi w:val="0"/>
        <w:spacing w:lineRule="auto" w:line="240" w:before="0" w:after="240"/>
        <w:jc w:val="both"/>
        <w:rPr/>
      </w:pPr>
      <w:r>
        <w:rPr>
          <w:rFonts w:ascii="Times New Roman;sans-serif" w:hAnsi="Times New Roman;sans-serif"/>
          <w:b w:val="false"/>
          <w:color w:val="000000"/>
          <w:sz w:val="24"/>
        </w:rPr>
        <w:t>All directors, officers and employees (“</w:t>
      </w:r>
      <w:r>
        <w:rPr>
          <w:rFonts w:ascii="Times New Roman;sans-serif" w:hAnsi="Times New Roman;sans-serif"/>
          <w:b/>
          <w:color w:val="000000"/>
          <w:sz w:val="24"/>
          <w:u w:val="single"/>
        </w:rPr>
        <w:t>Insiders</w:t>
      </w:r>
      <w:r>
        <w:rPr>
          <w:color w:val="000000"/>
        </w:rPr>
        <w:t>”</w:t>
      </w:r>
      <w:r>
        <w:rPr>
          <w:rFonts w:ascii="Times New Roman;sans-serif" w:hAnsi="Times New Roman;sans-serif"/>
          <w:b w:val="false"/>
          <w:color w:val="000000"/>
          <w:sz w:val="24"/>
        </w:rPr>
        <w:t>) of Mistras Group, Inc. and its subsidiaries (collectively, the “</w:t>
      </w:r>
      <w:r>
        <w:rPr>
          <w:rFonts w:ascii="Times New Roman;sans-serif" w:hAnsi="Times New Roman;sans-serif"/>
          <w:b/>
          <w:color w:val="000000"/>
          <w:sz w:val="24"/>
          <w:u w:val="single"/>
        </w:rPr>
        <w:t>Company</w:t>
      </w:r>
      <w:r>
        <w:rPr>
          <w:color w:val="000000"/>
        </w:rPr>
        <w:t>”</w:t>
      </w:r>
      <w:r>
        <w:rPr>
          <w:rFonts w:ascii="Times New Roman;sans-serif" w:hAnsi="Times New Roman;sans-serif"/>
          <w:b w:val="false"/>
          <w:color w:val="000000"/>
          <w:sz w:val="24"/>
        </w:rPr>
        <w:t>) are subject to the provisions of this Insider Trading Compliance Policy (the “</w:t>
      </w:r>
      <w:r>
        <w:rPr>
          <w:rFonts w:ascii="Times New Roman;sans-serif" w:hAnsi="Times New Roman;sans-serif"/>
          <w:b/>
          <w:color w:val="000000"/>
          <w:sz w:val="24"/>
          <w:u w:val="single"/>
        </w:rPr>
        <w:t>Policy</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questions regarding this Policy and related procedures should be directed to Michael Keefe, Executive Vice President, General Counsel and Secretary of the Company (609-716-4128; michael.keefe@mistrasgroup.com).</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Trading on Inside Information Prohibited</w:t>
      </w:r>
    </w:p>
    <w:p>
      <w:pPr>
        <w:pStyle w:val="TextBody"/>
        <w:bidi w:val="0"/>
        <w:spacing w:lineRule="auto" w:line="240" w:before="0" w:after="240"/>
        <w:jc w:val="both"/>
        <w:rPr/>
      </w:pPr>
      <w:r>
        <w:rPr>
          <w:rFonts w:ascii="Times New Roman;sans-serif" w:hAnsi="Times New Roman;sans-serif"/>
          <w:b w:val="false"/>
          <w:color w:val="000000"/>
          <w:sz w:val="24"/>
        </w:rPr>
        <w:t>The Company’s common stock is traded on the New York Stock Exchange under the symbol “MG”. It is a serious violation of federal and state securities laws, for any person to buy or sell common shares and other equity securities of the Company (collectively, “</w:t>
      </w:r>
      <w:r>
        <w:rPr>
          <w:rFonts w:ascii="Times New Roman;sans-serif" w:hAnsi="Times New Roman;sans-serif"/>
          <w:b/>
          <w:color w:val="000000"/>
          <w:sz w:val="24"/>
          <w:u w:val="single"/>
        </w:rPr>
        <w:t>Equity Securities</w:t>
      </w:r>
      <w:r>
        <w:rPr>
          <w:color w:val="000000"/>
        </w:rPr>
        <w:t>”</w:t>
      </w:r>
      <w:r>
        <w:rPr>
          <w:rFonts w:ascii="Times New Roman;sans-serif" w:hAnsi="Times New Roman;sans-serif"/>
          <w:b w:val="false"/>
          <w:color w:val="000000"/>
          <w:sz w:val="24"/>
        </w:rPr>
        <w:t>) or any other securities of the Company (together with the Equity Securities, the “</w:t>
      </w:r>
      <w:r>
        <w:rPr>
          <w:rFonts w:ascii="Times New Roman;sans-serif" w:hAnsi="Times New Roman;sans-serif"/>
          <w:b/>
          <w:color w:val="000000"/>
          <w:sz w:val="24"/>
          <w:u w:val="single"/>
        </w:rPr>
        <w:t>Company Securities</w:t>
      </w:r>
      <w:r>
        <w:rPr>
          <w:color w:val="000000"/>
        </w:rPr>
        <w:t>”</w:t>
      </w:r>
      <w:r>
        <w:rPr>
          <w:rFonts w:ascii="Times New Roman;sans-serif" w:hAnsi="Times New Roman;sans-serif"/>
          <w:b w:val="false"/>
          <w:color w:val="000000"/>
          <w:sz w:val="24"/>
        </w:rPr>
        <w:t>) while in possession of material non-public information relating to the Company or to engage in any other action to take advantage of such information or to pass it on to others. This prohibition also applies to information relating to any other company, including customers, vendors, managers, partners or investments obtained in the course of employment with the Company.</w:t>
      </w:r>
    </w:p>
    <w:p>
      <w:pPr>
        <w:pStyle w:val="TextBody"/>
        <w:bidi w:val="0"/>
        <w:spacing w:lineRule="auto" w:line="240" w:before="0" w:after="240"/>
        <w:jc w:val="both"/>
        <w:rPr/>
      </w:pPr>
      <w:r>
        <w:rPr>
          <w:rFonts w:ascii="Times New Roman;sans-serif" w:hAnsi="Times New Roman;sans-serif"/>
          <w:b w:val="false"/>
          <w:color w:val="000000"/>
          <w:sz w:val="24"/>
        </w:rPr>
        <w:t xml:space="preserve">Transactions that may be necessary or justifiable for independent reasons (such as the need to raise money for a personal emergency) are </w:t>
      </w:r>
      <w:r>
        <w:rPr>
          <w:rFonts w:ascii="Times New Roman;sans-serif" w:hAnsi="Times New Roman;sans-serif"/>
          <w:b/>
          <w:color w:val="000000"/>
          <w:sz w:val="24"/>
          <w:u w:val="single"/>
        </w:rPr>
        <w:t>no exception</w:t>
      </w:r>
      <w:r>
        <w:rPr>
          <w:color w:val="000000"/>
        </w:rPr>
        <w:t xml:space="preserve"> </w:t>
      </w:r>
      <w:r>
        <w:rPr>
          <w:rFonts w:ascii="Times New Roman;sans-serif" w:hAnsi="Times New Roman;sans-serif"/>
          <w:b w:val="false"/>
          <w:color w:val="000000"/>
          <w:sz w:val="24"/>
        </w:rPr>
        <w:t>to this Policy. In addition, the federal and state securities laws and this Policy apply regardless of the number of shares or the dollar amount of the transaction. The appearance of any improper transactions should also be avoided to preserve the Company’s reputation for adhering to the highest standards of ethical conduct.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Insiders are prohibited from purchasing or selling, or offering to purchase or sell, Company securities while in possession of non-public material information, or from engaging in any of the other activities addressed in this Policy.</w:t>
      </w:r>
    </w:p>
    <w:p>
      <w:pPr>
        <w:pStyle w:val="TextBody"/>
        <w:bidi w:val="0"/>
        <w:spacing w:lineRule="auto" w:line="240" w:before="0" w:after="240"/>
        <w:jc w:val="both"/>
        <w:rPr/>
      </w:pPr>
      <w:r>
        <w:rPr>
          <w:rFonts w:ascii="Times New Roman;sans-serif" w:hAnsi="Times New Roman;sans-serif"/>
          <w:b/>
          <w:color w:val="000000"/>
          <w:sz w:val="24"/>
        </w:rPr>
        <w:t xml:space="preserve">Result of Violation of Policy. </w:t>
      </w:r>
      <w:r>
        <w:rPr>
          <w:rFonts w:ascii="Times New Roman;sans-serif" w:hAnsi="Times New Roman;sans-serif"/>
          <w:b w:val="false"/>
          <w:color w:val="000000"/>
          <w:sz w:val="24"/>
        </w:rPr>
        <w:t>Employees who violate this Policy may be subject to disciplinary action by the Company, up to and including dismissal for cause. Any exceptions to the Policy, if permitted, may only be granted by the Clearance Officer and must be provided before any activity contrary to the above requirements takes place, or if inadvertent, immediately upon the employee learning of such violation.</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Material Information</w:t>
      </w:r>
      <w:r>
        <w:rPr>
          <w:rFonts w:ascii="Times New Roman;sans-serif" w:hAnsi="Times New Roman;sans-serif"/>
          <w:b w:val="false"/>
          <w:color w:val="000000"/>
          <w:sz w:val="24"/>
        </w:rPr>
        <w:t xml:space="preserve">. Material information is any information that a reasonable investor would likely consider important in a decision to buy, hold or sell Company Securities — in short, </w:t>
      </w:r>
      <w:r>
        <w:rPr>
          <w:rFonts w:ascii="Times New Roman;sans-serif" w:hAnsi="Times New Roman;sans-serif"/>
          <w:b/>
          <w:color w:val="000000"/>
          <w:sz w:val="24"/>
        </w:rPr>
        <w:t>any information which could reasonably affect the price, either favorably or unfavorably, of Company Securities</w:t>
      </w:r>
      <w:r>
        <w:rPr>
          <w:rFonts w:ascii="Times New Roman;sans-serif" w:hAnsi="Times New Roman;sans-serif"/>
          <w:b w:val="false"/>
          <w:color w:val="000000"/>
          <w:sz w:val="24"/>
        </w:rPr>
        <w:t>.</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While it is not possible to provide an exhaustive list, the following are some of the types of information that would ordinarily be considered material: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news of a pending or proposed corporate acquisition, disposition or other significant business combination, or a takeover bid,</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financial results, especially quarterly and year-end earnings, and significant changes in financial results,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significant changes in corporate strategy or objectives,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[Revised December 2021]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[Revised December 2021]</w:t>
                      </w:r>
                    </w:p>
                  </w:txbxContent>
                </v:textbox>
                <w10:wrap type="none"/>
              </v:rect>
            </w:pict>
          </mc:Fallback>
        </mc:AlternateConten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plans to buy back common stock of the Company,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changes in ownership that may affect control of the Company,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 significant changes in management,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 significant changes in reserve levels or practices such as investment or asset impairments,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(viii) public or private issues of equity or debt securities,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(ix) significant changes in capital structure,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 events of default under financings or other agreements,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(xi) actual or threatened major litigation, or the resolution of such litigation,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(xii) significant changes in operating or financial circumstances, such as significant changes in material contracts, cash-flow or liquidity,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(xiii) the declaration of dividends other than in the ordinary course or a change in dividend policy,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(xiv) financial forecasts or guidance or changes in forecasts or guidance,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(xv) entering into new material customer contracts,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(xvi) the gain or loss of a significant customer, or</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(xvii) significant regulatory developments or changes materially impacting the Company’s business.</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Non-public Information</w:t>
      </w:r>
      <w:r>
        <w:rPr>
          <w:rFonts w:ascii="Times New Roman;sans-serif" w:hAnsi="Times New Roman;sans-serif"/>
          <w:b w:val="false"/>
          <w:color w:val="000000"/>
          <w:sz w:val="24"/>
        </w:rPr>
        <w:t>. Non-public information, also known as “insider” information, is any information that has not already been disclosed generally to the public. Information about the Company that is not yet been publicly disseminated should be considered nonpublic. All information that an Insider learns about the Company or its business plans in connection with his or her employment is potentially insider information until publicly disclosed.</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Transactions by Related Parties</w:t>
      </w:r>
      <w:r>
        <w:rPr>
          <w:rFonts w:ascii="Times New Roman;sans-serif" w:hAnsi="Times New Roman;sans-serif"/>
          <w:b w:val="false"/>
          <w:color w:val="000000"/>
          <w:sz w:val="24"/>
        </w:rPr>
        <w:t>. The restrictions set forth in this Policy apply equally to family members of Insiders and to any entity over which the Insider or such other family members exercise or share investment control, such as a partnership or family trust. Such parties are herein collectively referred to as “</w:t>
      </w:r>
      <w:r>
        <w:rPr>
          <w:rFonts w:ascii="Times New Roman;sans-serif" w:hAnsi="Times New Roman;sans-serif"/>
          <w:b/>
          <w:color w:val="000000"/>
          <w:sz w:val="24"/>
          <w:u w:val="single"/>
        </w:rPr>
        <w:t>Related Parties</w:t>
      </w:r>
      <w:r>
        <w:rPr>
          <w:rFonts w:ascii="Times New Roman;sans-serif" w:hAnsi="Times New Roman;sans-serif"/>
          <w:b w:val="false"/>
          <w:color w:val="000000"/>
          <w:sz w:val="24"/>
        </w:rPr>
        <w:t>.” For purposes of this Policy, family members include, if such person shares your household, a person’s (including through adoptive relationship) spouse, domestic partner, parents, grandparents, children, siblings, mother and father-in-law, sons and daughters-in-law, brothers and sisters-in-law and anyone, whether or not related, who shares such person’s home (other than domestic employees). Insiders are responsible for the compliance of Related Parties.</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Tipping Information to Other Prohibited</w:t>
      </w:r>
      <w:r>
        <w:rPr>
          <w:rFonts w:ascii="Times New Roman;sans-serif" w:hAnsi="Times New Roman;sans-serif"/>
          <w:b w:val="false"/>
          <w:color w:val="000000"/>
          <w:sz w:val="24"/>
        </w:rPr>
        <w:t>. Insiders must not pass material non-public information (also known as tipping) about the Company on to others (either explicitly or by way of generally advising others to buy or sell Company Securities). The Company’s Code of Conduct also prohibits tipping material non-public information relating to any other company, including customers, vendors, managers, partners or investments obtained in the course of employment with the Company.</w:t>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Remember, if an Insider’s securities transactions become the subject of scrutiny, the transactions will be viewed after-the-fact with the benefit of hindsight. As a result, before engaging in any transaction, Insiders should carefully consider how regulators and others might view such transactions in hindsight.</w:t>
      </w:r>
    </w:p>
    <w:p>
      <w:pPr>
        <w:pStyle w:val="TextBody"/>
        <w:bidi w:val="0"/>
        <w:spacing w:lineRule="auto" w:line="240" w:before="240" w:after="240"/>
        <w:jc w:val="left"/>
        <w:rPr>
          <w:rFonts w:ascii="Times New Roman;sans-serif" w:hAnsi="Times New Roman;sans-serif"/>
          <w:b/>
          <w:color w:val="000000"/>
          <w:sz w:val="24"/>
        </w:rPr>
      </w:pPr>
      <w:r>
        <w:rPr>
          <w:rFonts w:ascii="Times New Roman;sans-serif" w:hAnsi="Times New Roman;sans-serif"/>
          <w:b/>
          <w:color w:val="000000"/>
          <w:sz w:val="24"/>
        </w:rPr>
        <w:t>Blackout Periods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It is also a violation of Company policy to purchase or sell Company Securities in the following circumstances:</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1.    </w:t>
      </w:r>
      <w:r>
        <w:rPr>
          <w:rFonts w:ascii="Times New Roman;sans-serif" w:hAnsi="Times New Roman;sans-serif"/>
          <w:b/>
          <w:color w:val="000000"/>
          <w:sz w:val="24"/>
        </w:rPr>
        <w:t>Quarterly and Annual Results</w:t>
      </w:r>
      <w:r>
        <w:rPr>
          <w:rFonts w:ascii="Times New Roman;sans-serif" w:hAnsi="Times New Roman;sans-serif"/>
          <w:b w:val="false"/>
          <w:color w:val="000000"/>
          <w:sz w:val="24"/>
        </w:rPr>
        <w:t>. “Restricted Insiders” are not permitted to trade in Company Securities during the period beginning the 21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day of the last month of the Company’s fiscal quarter (such as December 21 for the Company’s 4</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fiscal quarter) and ending at the beginning of the third business day after the release of the Company’s quarterly or annual results to the public. Thus, if the Company’s results are released on a Monday after the close of the market, Thursday would generally be the first day on which Restricted Insiders could trade. If the Company’s results are released on a Friday before the opening of the market, Tuesday would generally be the first day on which Restricted Insiders could trade. For purposes of this Paragraph, “</w:t>
      </w:r>
      <w:r>
        <w:rPr>
          <w:rFonts w:ascii="Times New Roman;sans-serif" w:hAnsi="Times New Roman;sans-serif"/>
          <w:b/>
          <w:color w:val="000000"/>
          <w:sz w:val="24"/>
          <w:u w:val="single"/>
        </w:rPr>
        <w:t>Restricted Insiders</w:t>
      </w:r>
      <w:r>
        <w:rPr>
          <w:color w:val="000000"/>
        </w:rPr>
        <w:t xml:space="preserve">” </w:t>
      </w:r>
      <w:r>
        <w:rPr>
          <w:rFonts w:ascii="Times New Roman;sans-serif" w:hAnsi="Times New Roman;sans-serif"/>
          <w:b w:val="false"/>
          <w:color w:val="000000"/>
          <w:sz w:val="24"/>
        </w:rPr>
        <w:t>means (a) members of the Board of Directors of the Company, (b) all officers, divisional vice presidents, regional or general managers, and directors (c) all employees in finance, communications or other areas involved in the preparation of the Company’s (i) results for the fiscal period, (ii) the earnings release the Company issues to the public, or (iii) reports filed with the Securities and Exchange Commission reporting such results, and (d) Related Parties of any of the foregoing.</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Public Announcements of Material Information</w:t>
      </w:r>
      <w:r>
        <w:rPr>
          <w:rFonts w:ascii="Times New Roman;sans-serif" w:hAnsi="Times New Roman;sans-serif"/>
          <w:b w:val="false"/>
          <w:color w:val="000000"/>
          <w:sz w:val="24"/>
        </w:rPr>
        <w:t>. The Company’s shareholders and the investing public should be afforded the time to receive material information and act upon it. As a general rule, Insiders and Related Parties may not engage in any transactions until the passage of two business days after material information has been released to the public.</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Anticipated Material Events</w:t>
      </w:r>
      <w:r>
        <w:rPr>
          <w:rFonts w:ascii="Times New Roman;sans-serif" w:hAnsi="Times New Roman;sans-serif"/>
          <w:b w:val="false"/>
          <w:color w:val="000000"/>
          <w:sz w:val="24"/>
        </w:rPr>
        <w:t>. The Company may issue a suspension of trading because a material event is anticipated (e.g., financial development, a merger, acquisition or any other significant corporate action). Insiders who are informed or aware of such event shall not trade in Company securities. In any such case, adequate notice shall be provided to Insiders to whom such suspension applies.</w:t>
      </w:r>
    </w:p>
    <w:p>
      <w:pPr>
        <w:pStyle w:val="TextBody"/>
        <w:bidi w:val="0"/>
        <w:spacing w:lineRule="auto" w:line="240" w:before="240" w:after="240"/>
        <w:jc w:val="left"/>
        <w:rPr>
          <w:rFonts w:ascii="Times New Roman;sans-serif" w:hAnsi="Times New Roman;sans-serif"/>
          <w:b/>
          <w:color w:val="000000"/>
          <w:sz w:val="24"/>
        </w:rPr>
      </w:pPr>
      <w:r>
        <w:rPr>
          <w:rFonts w:ascii="Times New Roman;sans-serif" w:hAnsi="Times New Roman;sans-serif"/>
          <w:b/>
          <w:color w:val="000000"/>
          <w:sz w:val="24"/>
        </w:rPr>
        <w:t>Additional Prohibited Transactions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believes it is improper and inappropriate for Insiders to engage in short-term or speculative transactions involving Company Securities. Accordingly, Insiders should not engage in any of the following activities with respect to Company Securities, whether or not in possession of material non-public information: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color w:val="000000"/>
        </w:rPr>
        <w:t>    </w:t>
      </w:r>
      <w:r>
        <w:rPr>
          <w:rFonts w:ascii="Times New Roman;sans-serif" w:hAnsi="Times New Roman;sans-serif"/>
          <w:b/>
          <w:color w:val="000000"/>
          <w:sz w:val="24"/>
        </w:rPr>
        <w:t>Trading in Equity Securities on a Short-Term Basis</w:t>
      </w:r>
      <w:r>
        <w:rPr>
          <w:rFonts w:ascii="Times New Roman;sans-serif" w:hAnsi="Times New Roman;sans-serif"/>
          <w:b w:val="false"/>
          <w:color w:val="000000"/>
          <w:sz w:val="24"/>
        </w:rPr>
        <w:t>. Any Equity Securities purchased in the open market should be held for a minimum of six months and ideally longer. This rule may not apply to certain types of transactions involving awards under the Company’s equity compensation plans, such as stock option exercises, the receipt of performance shares and the vesting of restricted shares, in each case followed by a sale of share. However, any such transactions should be discussed with the Company if you have any questions.</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Short Sales</w:t>
      </w:r>
      <w:r>
        <w:rPr>
          <w:rFonts w:ascii="Times New Roman;sans-serif" w:hAnsi="Times New Roman;sans-serif"/>
          <w:b w:val="false"/>
          <w:color w:val="000000"/>
          <w:sz w:val="24"/>
        </w:rPr>
        <w:t>. Selling Company Securities “short” is prohibited. Selling short is the practice of selling more securities than one owns, a technique used to speculate on a decline in the price.</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Buying or Selling Puts, Calls or Derivatives</w:t>
      </w:r>
      <w:r>
        <w:rPr>
          <w:rFonts w:ascii="Times New Roman;sans-serif" w:hAnsi="Times New Roman;sans-serif"/>
          <w:b w:val="false"/>
          <w:color w:val="000000"/>
          <w:sz w:val="24"/>
        </w:rPr>
        <w:t>. The purchase or sale of options of any kind, whether puts, calls or other derivative securities, related to Company Securities is prohibited. The speculative nature of the market for these financial instruments imposes timing considerations that are inconsistent with careful avoidance, or even the appearance, of trading on insider information. A put is a right to sell at a specified price a specific number of shares by a certain date and is utilized in anticipation of a decline in the share price. A call is a right to buy at a specified price a specified number of shares by a certain date and is utilized in anticipation of a rise in the share price. A derivative is an option, warrant, convertible security, stock appreciation right, or similar right with an exercise or conversion privilege at a price related to an equity security, or similar securities with a value derived from the value of an equity security.</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Purchases of Company Securities on Margin</w:t>
      </w:r>
      <w:r>
        <w:rPr>
          <w:rFonts w:ascii="Times New Roman;sans-serif" w:hAnsi="Times New Roman;sans-serif"/>
          <w:b w:val="false"/>
          <w:color w:val="000000"/>
          <w:sz w:val="24"/>
        </w:rPr>
        <w:t>. Any Company Securities purchased in the open market shall be paid for fully at the time of purchase. Purchasing Company Securities on margin (borrowing money from a stockbroker to fund the stock purchase) or holding these securities in a margin account is prohibited. This prohibition does not apply to “cashless exercises” of employee stock options, in which the Insider sells shares being acquired to pay the taxes required to be withheld and/or the exercise price of the stock option.</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Hedging Transactions</w:t>
      </w:r>
      <w:r>
        <w:rPr>
          <w:rFonts w:ascii="Times New Roman;sans-serif" w:hAnsi="Times New Roman;sans-serif"/>
          <w:b w:val="false"/>
          <w:color w:val="000000"/>
          <w:sz w:val="24"/>
        </w:rPr>
        <w:t>. Insiders are prohibiting, directly or indirectly, from purchasing financial instrument (such as swaps, collars, prepaid forward contracts and exchange funds) or otherwise engaging in any transaction that hedges or offsets, or is designed to hedge or offset, any decrease in the market value of Equity Securities granted to the Insider as part of his or her compensation or held directly or indirectly by the Insider.</w:t>
      </w:r>
    </w:p>
    <w:p>
      <w:pPr>
        <w:pStyle w:val="TextBody"/>
        <w:bidi w:val="0"/>
        <w:spacing w:lineRule="auto" w:line="240" w:before="240" w:after="240"/>
        <w:jc w:val="left"/>
        <w:rPr>
          <w:rFonts w:ascii="Times New Roman;sans-serif" w:hAnsi="Times New Roman;sans-serif"/>
          <w:b/>
          <w:color w:val="000000"/>
          <w:sz w:val="24"/>
        </w:rPr>
      </w:pPr>
      <w:r>
        <w:rPr>
          <w:rFonts w:ascii="Times New Roman;sans-serif" w:hAnsi="Times New Roman;sans-serif"/>
          <w:b/>
          <w:color w:val="000000"/>
          <w:sz w:val="24"/>
        </w:rPr>
        <w:t>Certain Exceptions</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1.    </w:t>
      </w:r>
      <w:r>
        <w:rPr>
          <w:rFonts w:ascii="Times New Roman;sans-serif" w:hAnsi="Times New Roman;sans-serif"/>
          <w:b/>
          <w:color w:val="000000"/>
          <w:sz w:val="24"/>
        </w:rPr>
        <w:t>Rule 10b5-1 Plans</w:t>
      </w:r>
      <w:r>
        <w:rPr>
          <w:rFonts w:ascii="Times New Roman;sans-serif" w:hAnsi="Times New Roman;sans-serif"/>
          <w:b w:val="false"/>
          <w:color w:val="000000"/>
          <w:sz w:val="24"/>
        </w:rPr>
        <w:t>. A purchase or sale of Company Securities in accordance with a trading plan adopted in accordance with Rule 10b5-1(c) (“Rule 10b5-1”) under the Securities Exchange Act of 1934 (“</w:t>
      </w:r>
      <w:r>
        <w:rPr>
          <w:rFonts w:ascii="Times New Roman;sans-serif" w:hAnsi="Times New Roman;sans-serif"/>
          <w:b w:val="false"/>
          <w:color w:val="000000"/>
          <w:sz w:val="24"/>
          <w:u w:val="single"/>
        </w:rPr>
        <w:t>1934 Act</w:t>
      </w:r>
      <w:r>
        <w:rPr>
          <w:color w:val="000000"/>
        </w:rPr>
        <w:t>”</w:t>
      </w:r>
      <w:r>
        <w:rPr>
          <w:rFonts w:ascii="Times New Roman;sans-serif" w:hAnsi="Times New Roman;sans-serif"/>
          <w:b w:val="false"/>
          <w:color w:val="000000"/>
          <w:sz w:val="24"/>
        </w:rPr>
        <w:t>) and this Policy shall not be deemed to be a violation of this Policy even though such trade takes place during a blackout period or while the Insider was aware of material, non-public information. However, the trading plan must be adopted outside of a blackout period, in the case of a Restricted Insider, and at a time when such Insider is not aware of material, non-public information about the Company. A trading plan is a contract, instruction or a written plan regarding the purchase or sale of securities, as more fully described in Rule 10b5-1. Each trading plan must be approved by the Company prior to establishment to confirm compliance with this Policy and applicable securities laws. Approval of a trading plan shall not be deemed a representation by the Company or any of its officers or agents that such plan complies with Rule 10b5-1, nor an assumption by the Company or any of its officers or agents of any liability or responsibility to the individual or any other party if the plan does not comply with Rule 10b5-1.</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Stock Option Exercise</w:t>
      </w:r>
      <w:r>
        <w:rPr>
          <w:rFonts w:ascii="Times New Roman;sans-serif" w:hAnsi="Times New Roman;sans-serif"/>
          <w:b w:val="false"/>
          <w:color w:val="000000"/>
          <w:sz w:val="24"/>
        </w:rPr>
        <w:t>. The exercise of stock options issued by the Company (but not the sale of any shares issued upon such exercise) is exempt from this Policy. However, this exception does not apply to the “cashless” exercise of a stock option, and any sales of Company Securities sold upon a “cashless” exercise (the simultaneous sale of some or all of the shares received upon the exercise of a stock option) must comply with this Policy.</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Gifts</w:t>
      </w:r>
      <w:r>
        <w:rPr>
          <w:rFonts w:ascii="Times New Roman;sans-serif" w:hAnsi="Times New Roman;sans-serif"/>
          <w:b w:val="false"/>
          <w:color w:val="000000"/>
          <w:sz w:val="24"/>
        </w:rPr>
        <w:t>. Bona fide gifts of Company Securities are exempt from this Policy. However, if the gift is to a Related Party, the Insider must ensure that the Related Party does not trade in those securities in violation of the Policy.</w:t>
      </w:r>
    </w:p>
    <w:p>
      <w:pPr>
        <w:pStyle w:val="TextBody"/>
        <w:bidi w:val="0"/>
        <w:spacing w:lineRule="auto" w:line="240" w:before="240" w:after="240"/>
        <w:jc w:val="left"/>
        <w:rPr>
          <w:rFonts w:ascii="Times New Roman;sans-serif" w:hAnsi="Times New Roman;sans-serif"/>
          <w:b/>
          <w:color w:val="000000"/>
          <w:sz w:val="24"/>
        </w:rPr>
      </w:pPr>
      <w:r>
        <w:rPr>
          <w:rFonts w:ascii="Times New Roman;sans-serif" w:hAnsi="Times New Roman;sans-serif"/>
          <w:b/>
          <w:color w:val="000000"/>
          <w:sz w:val="24"/>
        </w:rPr>
        <w:t>Communications with the Market and Others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Inquiries about the Company may be made by the financial press, investment analysts, Mistras shareholders or others in the financial community. Only certain designated officers may communicate on behalf of the Company with the investment community. Unless an employee is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expressly authorized to do so, any inquiries of this nature should be referred to the Company’s chief financial officer or general counsel.</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 times, Insiders do need to share information about the Company with third parties, such as customers or vendors. Care should be taken to disclose only such material non-public information as is necessary or appropriate for the Company’s commercial relationship with third parties.</w:t>
      </w:r>
    </w:p>
    <w:p>
      <w:pPr>
        <w:pStyle w:val="TextBody"/>
        <w:bidi w:val="0"/>
        <w:spacing w:lineRule="auto" w:line="240" w:before="0" w:after="240"/>
        <w:jc w:val="both"/>
        <w:rPr/>
      </w:pPr>
      <w:r>
        <w:rPr>
          <w:rFonts w:ascii="Times New Roman;sans-serif" w:hAnsi="Times New Roman;sans-serif"/>
          <w:b w:val="false"/>
          <w:color w:val="000000"/>
          <w:sz w:val="24"/>
        </w:rPr>
        <w:t xml:space="preserve">Attached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is the Company’s Regulation FD Compliance Guidelines, which provides for the manner in which representatives of the Company, including Insiders, may communicate with the investing public and financial market professionals.</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Section 16 Compliance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Section 16 of the 1934 Act contains reporting requirements for members of the Company’s Board of Directors and executive officers, as well as prohibitions and certain “short swing” trading in Company Securities. Attached as Exhibit B are Additional Procedures for Directors and Executive Officers to help these individuals meet their obligations under Section 16 of the 1934 Act.</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Assistance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ultimate responsibility for adhering to this Policy and avoiding improper transactions rests with the Insider. It is imperative that Insiders use their best judgment. Any person who has any questions about specific transactions may obtain additional guidance from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Regulation FD Compliance Guidelines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Company discloses any material non-public information regarding the Company or its securities to certain “Covered Persons,” the Company must make broad public disclosure of that information (1) simultaneously in the case of an intentional disclosure, or (2) “promptly” in the case of an unintentional disclosure.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Regulation FD only applies to communications between</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following Company representatives (“Company Representatives”):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a.executive officers and members of the Board of Directors;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b.investor relations and public relations representatives; and</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c.other personnel who regularly communicate on behalf of the Company with market professionals and holders of the Company’s Securities;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2.The following recipients (“Covered Persons”)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a.market professionals (including broker-dealers, investment advisors, analysts, portfolio managers, and investment companies); and</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b.holders of the Company’s Securities who are likely to trade on the basis of the material non-public information.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Only the following Company Representatives are authorized to communicate with Covered Persons on matters involving the Company:</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Chief Executive Officer;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Chief Financial Officer;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Chief Operating Officer; and</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Executive Chairman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other Company Representative should communicate with any Covered Person on any matter involving the Company without prior consent of the Chief Executive Officer or Chief Financial Officer.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is considered “material” if there is a substantial likelihood that a reasonable investor would consider the information important in making an investment decision, or if the information would significantly alter the total mix of information then available. Information is considered “non-public” if it has not been disseminated in a manner making it available to investors generally.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SEC has listed the following as examples of material information. This should not be considered an exhaustive list.</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Earnings information;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Mergers, acquisitions, tender offers, joint ventures, or changes in assets;</w:t>
      </w:r>
    </w:p>
    <w:p>
      <w:pPr>
        <w:pStyle w:val="TextBody"/>
        <w:bidi w:val="0"/>
        <w:spacing w:lineRule="auto" w:line="240"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New products or discoveries, developments regarding customers or suppliers (e.g. the acquisition or the loss of a material or important contract);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Changes in control or in management;</w:t>
      </w:r>
    </w:p>
    <w:p>
      <w:pPr>
        <w:pStyle w:val="TextBody"/>
        <w:bidi w:val="0"/>
        <w:spacing w:lineRule="auto" w:line="240"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Change in auditors or auditor notification that the Company may no longer rely on an auditor’s report; and</w:t>
      </w:r>
    </w:p>
    <w:p>
      <w:pPr>
        <w:pStyle w:val="TextBody"/>
        <w:bidi w:val="0"/>
        <w:spacing w:lineRule="auto" w:line="240"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Events regarding the Company’s securities (e.g. defaults on senior securities, calls of securities for redemption, repurchase plans, stock splits or changes in dividends, changes to the rights of security holders, public or private sales of additional securities).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material, non-public information is disclosed accidentally by a Company Representative to a Covered Person, the Company has an obligation to make a public disclosure containing the same information promptly (not to exceed 24 hours) after the Company becomes aware if the disclosure.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unintended disclosure occurs on a weekend or holiday, and the New York Stock Exchange is not open the next day, the Company must make the general disclosure by the time the Exchange opens on the next trading day.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violation of these guidelines by a Company Representative shall be brought to the attention of the General Counsel and may constitute grounds disciplinary action, up to and including for termination for cause.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you believe that you have improperly disclosed material, non-public information to a Covered Person, you should immediately contact Michael Keefe, Executive Vice President, General Counsel (609-716-4128; michael.keefe@mistrasgroup.com).</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ADDITIONAL PROCEDURES FOR DIRECTORS AND EXECUTIVE OFFICERS</w:t>
      </w:r>
    </w:p>
    <w:p>
      <w:pPr>
        <w:pStyle w:val="TextBody"/>
        <w:bidi w:val="0"/>
        <w:spacing w:lineRule="auto" w:line="240" w:before="0" w:after="240"/>
        <w:jc w:val="both"/>
        <w:rPr/>
      </w:pPr>
      <w:r>
        <w:rPr>
          <w:rFonts w:ascii="Times New Roman;sans-serif" w:hAnsi="Times New Roman;sans-serif"/>
          <w:b w:val="false"/>
          <w:color w:val="000000"/>
          <w:sz w:val="24"/>
        </w:rPr>
        <w:t>The additional procedures below only apply to members of the Board of Directors and Executive, or “Section 16”, Officers of the Company and certain other persons as the Company may determine from time to time (collectively, the “</w:t>
      </w:r>
      <w:r>
        <w:rPr>
          <w:rFonts w:ascii="Times New Roman;sans-serif" w:hAnsi="Times New Roman;sans-serif"/>
          <w:b w:val="false"/>
          <w:color w:val="000000"/>
          <w:sz w:val="24"/>
          <w:u w:val="single"/>
        </w:rPr>
        <w:t>Specified Persons</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Specified Persons must strictly comply with these procedures.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Questions regarding these procedures and trade clearance should be directed to one of the following Clearance Officers: Michael Keefe, Executive Vice President, General Counsel (609-716-4128; michael.keefe@mistrasgroup.com), or Ed Prajzner, Senior Vice President, Chief Financial Officer (609-716-4102; (Edward.prajzner@mistrasgroup.com).</w:t>
      </w:r>
    </w:p>
    <w:p>
      <w:pPr>
        <w:pStyle w:val="TextBody"/>
        <w:bidi w:val="0"/>
        <w:spacing w:lineRule="auto" w:line="240" w:before="0" w:after="0"/>
        <w:jc w:val="both"/>
        <w:rPr/>
      </w:pPr>
      <w:r>
        <w:rPr>
          <w:rFonts w:ascii="Times New Roman;sans-serif" w:hAnsi="Times New Roman;sans-serif"/>
          <w:b/>
          <w:color w:val="000000"/>
          <w:sz w:val="24"/>
        </w:rPr>
        <w:t>Pre-Clearance Requirement for Specified Persons</w:t>
      </w:r>
      <w:r>
        <w:rPr>
          <w:rFonts w:ascii="Times New Roman;sans-serif" w:hAnsi="Times New Roman;sans-serif"/>
          <w:b w:val="false"/>
          <w:color w:val="000000"/>
          <w:sz w:val="24"/>
        </w:rPr>
        <w:t>. Before any Specified Person engages in any transaction involving Company Securities, the Specified Person must pre-clear the proposed transaction with the Clearance Officer. Until the Clearance Officer provides pre-clearance for the proposed transaction, the Specified Person shall not execute any transaction. If the Specified Person receives pre-clearance, he or she will have until the end of two trading days following the day pre-clearance is received (or such other period as may be specified by the Clearance Officer based upon the circumstances) to execute the transaction. For example, if a Specified Person receives pre-clearance from the Clearance Officer on a Tuesday, that Specified Person generally will have until the end of trading on Thursday of the same week to execute the transaction. If for any reason the transaction is not completed within this period of time, pre-clearance must be obtained again from the Clearance Officer before any Company Securities can be traded.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pre-clearance requirement applies to all proposed purchases and sales of Company Securities. Specified Persons must also pre-clear all potential changes in their beneficial ownership of Company Securities, including changes resulting from a gift to a charitable organization or a transfer to a family trust.</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Remember, even if a proposed trade is pre-cleared, you are prohibited from trading any Company Securities while in possession of material non-public information relating to the Company.</w:t>
      </w:r>
    </w:p>
    <w:p>
      <w:pPr>
        <w:pStyle w:val="TextBody"/>
        <w:bidi w:val="0"/>
        <w:spacing w:lineRule="auto" w:line="240" w:before="0" w:after="0"/>
        <w:jc w:val="both"/>
        <w:rPr/>
      </w:pPr>
      <w:r>
        <w:rPr>
          <w:rFonts w:ascii="Times New Roman;sans-serif" w:hAnsi="Times New Roman;sans-serif"/>
          <w:b/>
          <w:color w:val="000000"/>
          <w:sz w:val="24"/>
        </w:rPr>
        <w:t>Pre-Clearance for Transactions by Family Members</w:t>
      </w:r>
      <w:r>
        <w:rPr>
          <w:rFonts w:ascii="Times New Roman;sans-serif" w:hAnsi="Times New Roman;sans-serif"/>
          <w:b w:val="false"/>
          <w:color w:val="000000"/>
          <w:sz w:val="24"/>
        </w:rPr>
        <w:t>. Under the securities laws, the Company Securities held in the name of the spouse or minor children of a Specified Person will generally be regarded as beneficially owned by the Specified Person. In addition, in many circumstances, Company Securities held in the name of other persons who are members of the Specified Person’s household or financially supported by the Specified Person (regardless of whether these other persons are related or unrelated to the Specified Person), will generally be regarded as beneficially owned by the Specified Person.</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Therefore, you must pre-clear with the Clearance Officer any potential transactions in Company Securities held by you, your spouse, minor children and any other persons who are members of your household or financially supported by you (regardless of whether these other persons are related or unrelated to you).</w:t>
      </w:r>
    </w:p>
    <w:p>
      <w:pPr>
        <w:pStyle w:val="TextBody"/>
        <w:bidi w:val="0"/>
        <w:spacing w:lineRule="auto" w:line="240" w:before="240" w:after="240"/>
        <w:jc w:val="both"/>
        <w:rPr/>
      </w:pPr>
      <w:r>
        <w:rPr>
          <w:rFonts w:ascii="Times New Roman;sans-serif" w:hAnsi="Times New Roman;sans-serif"/>
          <w:b/>
          <w:color w:val="000000"/>
          <w:sz w:val="24"/>
        </w:rPr>
        <w:t xml:space="preserve">Pre-Clearance for Former Specified Persons. </w:t>
      </w:r>
      <w:r>
        <w:rPr>
          <w:rFonts w:ascii="Times New Roman;sans-serif" w:hAnsi="Times New Roman;sans-serif"/>
          <w:b w:val="false"/>
          <w:color w:val="000000"/>
          <w:sz w:val="24"/>
        </w:rPr>
        <w:t xml:space="preserve">If a Specified Person retires, resigns, is terminated or undergoes any other change in his or her relationship with the Company such that the person is no longer a Specified Person, that person must continue to pre-clear any proposed transaction in Company Securities with the Clearance Officer for six months from the day he or she ceases being a Specified Person if the Specified Person had any transactions in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p>
                  </w:txbxContent>
                </v:textbox>
                <w10:wrap type="none"/>
              </v:rect>
            </w:pict>
          </mc:Fallback>
        </mc:AlternateContent>
      </w:r>
    </w:p>
    <w:p>
      <w:pPr>
        <w:pStyle w:val="TextBody"/>
        <w:bidi w:val="0"/>
        <w:spacing w:lineRule="auto" w:line="240" w:before="240" w:after="240"/>
        <w:jc w:val="both"/>
        <w:rPr/>
      </w:pPr>
      <w:r>
        <w:rPr>
          <w:rFonts w:ascii="Times New Roman;sans-serif" w:hAnsi="Times New Roman;sans-serif"/>
          <w:b w:val="false"/>
          <w:color w:val="000000"/>
          <w:sz w:val="24"/>
        </w:rPr>
        <w:t>Securities during the six month period immediately preceding that date. Certain Securities and Exchange Commission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reporting requirements may continue to apply during this period.</w:t>
      </w:r>
    </w:p>
    <w:p>
      <w:pPr>
        <w:pStyle w:val="TextBody"/>
        <w:bidi w:val="0"/>
        <w:spacing w:lineRule="auto" w:line="240" w:before="0" w:after="240"/>
        <w:jc w:val="both"/>
        <w:rPr/>
      </w:pPr>
      <w:r>
        <w:rPr>
          <w:rFonts w:ascii="Times New Roman;sans-serif" w:hAnsi="Times New Roman;sans-serif"/>
          <w:b/>
          <w:color w:val="000000"/>
          <w:sz w:val="24"/>
        </w:rPr>
        <w:t>Section 16 Reporting Requirements</w:t>
      </w:r>
      <w:r>
        <w:rPr>
          <w:rFonts w:ascii="Times New Roman;sans-serif" w:hAnsi="Times New Roman;sans-serif"/>
          <w:b w:val="false"/>
          <w:color w:val="000000"/>
          <w:sz w:val="24"/>
        </w:rPr>
        <w:t>. One purpose of the pre-clearance requirement is to help you comply with your SEC reporting obligations under Section 16 of the 1934 Act (“</w:t>
      </w:r>
      <w:r>
        <w:rPr>
          <w:rFonts w:ascii="Times New Roman;sans-serif" w:hAnsi="Times New Roman;sans-serif"/>
          <w:b w:val="false"/>
          <w:color w:val="000000"/>
          <w:sz w:val="24"/>
          <w:u w:val="single"/>
        </w:rPr>
        <w:t>Section 16</w:t>
      </w:r>
      <w:r>
        <w:rPr>
          <w:color w:val="000000"/>
        </w:rPr>
        <w:t>”</w:t>
      </w:r>
      <w:r>
        <w:rPr>
          <w:rFonts w:ascii="Times New Roman;sans-serif" w:hAnsi="Times New Roman;sans-serif"/>
          <w:b w:val="false"/>
          <w:color w:val="000000"/>
          <w:sz w:val="24"/>
        </w:rPr>
        <w:t>). The Clearance Officer will assist in preparing and filing most forms. You or your broker should not file Forms 3, 4 or 5 described below without consulting with the Clearance Officer. However, you should be generally familiar with the following reporting requirements.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Directors and Section 16 Officers of the Company are required under Section 16 to report their initial beneficial ownership, and most changes to their beneficial ownership, of the Equity Securities to the SEC. Reporting may be required with respect to Equity Securities held in the name of the spouse or minor children of a Director or Section 16 Officer. Reporting may also be required with respect to Equity Securities held in the name of other persons who are members of the Director’s or Section 16 Officer’s household or financially supported by the Director or Section 16 Officer (regardless of whether these other persons are related or unrelated to the Director or Section 16 Officer). Reporting may be required for Equity Securities held by a trust for which a Director or Section 16 Officer is a trustee or beneficiary, or Equity Securities held by a corporation in which such person has a controlling interest or a partnership in which such person has an interest. Reportable transactions include acquisitions and dispositions of Equity Securities through gifts, inheritances, stock option grants and exercises, and stock awards under incentive or bonus plans. Furthermore, changes in the nature of such ownership (e.g., from direct to indirect) of Equity Securities, including through the transfer of shares to or from a family member, are likewise reportable.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SEC requires three forms to be used by Directors and Section 16 Officers to satisfy these reporting requirements: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i.Form 3 (Initial Report): Directors and Section 16 Officers must file a Form 3 with the SEC, even if they hold no Equity Securities, within 10 calendar days of becoming a Director or Section 16 Officer.</w:t>
      </w:r>
    </w:p>
    <w:p>
      <w:pPr>
        <w:pStyle w:val="TextBody"/>
        <w:bidi w:val="0"/>
        <w:spacing w:before="0" w:after="0"/>
        <w:jc w:val="both"/>
        <w:rPr/>
      </w:pPr>
      <w:r>
        <w:rPr/>
      </w:r>
    </w:p>
    <w:p>
      <w:pPr>
        <w:pStyle w:val="TextBody"/>
        <w:bidi w:val="0"/>
        <w:spacing w:lineRule="auto" w:line="240" w:before="0" w:after="0"/>
        <w:ind w:left="0" w:right="0" w:hanging="270"/>
        <w:jc w:val="both"/>
        <w:rPr>
          <w:rFonts w:ascii="Times New Roman;sans-serif" w:hAnsi="Times New Roman;sans-serif"/>
          <w:b w:val="false"/>
          <w:color w:val="000000"/>
          <w:sz w:val="24"/>
        </w:rPr>
      </w:pPr>
      <w:r>
        <w:rPr>
          <w:rFonts w:ascii="Times New Roman;sans-serif" w:hAnsi="Times New Roman;sans-serif"/>
          <w:b w:val="false"/>
          <w:color w:val="000000"/>
          <w:sz w:val="24"/>
        </w:rPr>
        <w:t>ii.Form 4: Directors and Section 16 Officers must file a Form 4 with the SEC within two business days of most changes in their beneficial ownership of Equity Securities, or any changes in the beneficial ownership of others whose holdings may be attributed to them.</w:t>
      </w:r>
    </w:p>
    <w:p>
      <w:pPr>
        <w:pStyle w:val="TextBody"/>
        <w:bidi w:val="0"/>
        <w:spacing w:before="0" w:after="0"/>
        <w:jc w:val="both"/>
        <w:rPr/>
      </w:pPr>
      <w:r>
        <w:rPr/>
      </w:r>
    </w:p>
    <w:p>
      <w:pPr>
        <w:pStyle w:val="TextBody"/>
        <w:bidi w:val="0"/>
        <w:spacing w:lineRule="auto" w:line="240" w:before="0" w:after="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iii.Form 5: Directors and Section 16 Officers may have to file a Form 5 with the SEC within 45 calendar days following the end of each fiscal year of the Company. Like all of the SEC’s reporting requirements, the requirements for filing a Form 5 are technical and you should consult with the Clearance Officer to discuss these requirements as the end of the fiscal year approaches. You should be aware that a Form 5 is generally filed for holdings and transactions in Equity Securities that did not have to be previously reported, and/or those holdings and transactions that should have been previously reported but were not.</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Director and Section 16 Officer may execute a power of attorney giving a Clearance Officer or his or her designee the authority to sign Forms 3, 4 and 5 on his or her behalf to facilitate timely filings.</w:t>
      </w:r>
    </w:p>
    <w:p>
      <w:pPr>
        <w:pStyle w:val="TextBody"/>
        <w:bidi w:val="0"/>
        <w:spacing w:lineRule="auto" w:line="240"/>
        <w:jc w:val="both"/>
        <w:rPr/>
      </w:pPr>
      <w:r>
        <w:rPr>
          <w:rFonts w:ascii="Times New Roman;sans-serif" w:hAnsi="Times New Roman;sans-serif"/>
          <w:b/>
          <w:color w:val="000000"/>
          <w:sz w:val="24"/>
        </w:rPr>
        <w:t>Rule 144 Compliance</w:t>
      </w:r>
      <w:r>
        <w:rPr>
          <w:rFonts w:ascii="Times New Roman;sans-serif" w:hAnsi="Times New Roman;sans-serif"/>
          <w:b w:val="false"/>
          <w:color w:val="000000"/>
          <w:sz w:val="24"/>
        </w:rPr>
        <w:t>. Sales of Company Securities, regardless of how acquired (i.e., purchases in the open market), by an “affiliate” of the Company must be made in compliance with the provisions of Rule 144 under the Securities Act of 1933 (“</w:t>
      </w:r>
      <w:r>
        <w:rPr>
          <w:rFonts w:ascii="Times New Roman;sans-serif" w:hAnsi="Times New Roman;sans-serif"/>
          <w:b w:val="false"/>
          <w:color w:val="000000"/>
          <w:sz w:val="24"/>
          <w:u w:val="single"/>
        </w:rPr>
        <w:t>Rule 144</w:t>
      </w:r>
      <w:r>
        <w:rPr>
          <w:color w:val="000000"/>
        </w:rPr>
        <w:t>”</w:t>
      </w:r>
      <w:r>
        <w:rPr>
          <w:rFonts w:ascii="Times New Roman;sans-serif" w:hAnsi="Times New Roman;sans-serif"/>
          <w:b w:val="false"/>
          <w:color w:val="000000"/>
          <w:sz w:val="24"/>
        </w:rPr>
        <w:t xml:space="preserve">) if the Company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are “restricted securities” under Rule 144. An “affiliate” of the Company for purposes of Rule 144 is a person that directly or indirectly controls or is controlled by the Company. “Control” is defined as the power to direct or cause the direction of management and policies of the Company, whether through ownership of shares, by contract or otherwise. Each Director and Section 16 Officer should consider himself or herself potentially to be an “affiliate” of the Company under Rule 144. In addition, the family members of such Directors and Section 16 Officers might also be deemed to be “affiliates” of the Company if they, too, are controlled by such director or officer. You should discuss with your broker and the Clearance Officer whether Rule 144 is applicable. Equity Securities received pursuant to the Company’s equity plans are not “restricted securities.” </w:t>
      </w:r>
    </w:p>
    <w:p>
      <w:pPr>
        <w:pStyle w:val="TextBody"/>
        <w:bidi w:val="0"/>
        <w:spacing w:before="0" w:after="240"/>
        <w:jc w:val="both"/>
        <w:rPr/>
      </w:pPr>
      <w:r>
        <w:rPr/>
      </w:r>
    </w:p>
    <w:p>
      <w:pPr>
        <w:pStyle w:val="TextBody"/>
        <w:bidi w:val="0"/>
        <w:spacing w:lineRule="auto" w:line="240" w:before="0" w:after="0"/>
        <w:jc w:val="both"/>
        <w:rPr/>
      </w:pPr>
      <w:r>
        <w:rPr>
          <w:rFonts w:ascii="Times New Roman;sans-serif" w:hAnsi="Times New Roman;sans-serif"/>
          <w:b/>
          <w:color w:val="000000"/>
          <w:sz w:val="24"/>
        </w:rPr>
        <w:t>Short-Swing Profits</w:t>
      </w:r>
      <w:r>
        <w:rPr>
          <w:rFonts w:ascii="Times New Roman;sans-serif" w:hAnsi="Times New Roman;sans-serif"/>
          <w:b w:val="false"/>
          <w:color w:val="000000"/>
          <w:sz w:val="24"/>
        </w:rPr>
        <w:t>. Section 16 provides that if a Director or Section 16 Officer realizes a profit, known as a “short-swing” profit, from the purchase and sale, or sale and purchase, of Equity Securities within six months of each transaction, the Director or Section 16 Officer is required to disgorge any such short-swing profit to the Company. These purchases and sales within six months of each other may be matched in any manner to maximize the short-swing profits, and are not reduced or offset by losses. Accordingly, all Directors and Section 16 Officers must be mindful of these short-swing trading rules and plan accordingly so that they will not violate Section 16. Generally, grants of equity awards under the Company’s equity plans, and the vesting of awards, withholding of shares upon vesting to pay withholding taxes of these awards, or the exercise or conversion of any such award into Equity Securities, are not deemed purchases or sales under Section 16.</w:t>
      </w:r>
    </w:p>
    <w:p>
      <w:pPr>
        <w:pStyle w:val="TextBody"/>
        <w:bidi w:val="0"/>
        <w:spacing w:before="0" w:after="240"/>
        <w:jc w:val="both"/>
        <w:rPr/>
      </w:pPr>
      <w:r>
        <w:rPr/>
      </w:r>
    </w:p>
    <w:p>
      <w:pPr>
        <w:pStyle w:val="TextBody"/>
        <w:bidi w:val="0"/>
        <w:spacing w:lineRule="auto" w:line="240" w:before="0" w:after="0"/>
        <w:jc w:val="both"/>
        <w:rPr/>
      </w:pPr>
      <w:r>
        <w:rPr>
          <w:rFonts w:ascii="Times New Roman;sans-serif" w:hAnsi="Times New Roman;sans-serif"/>
          <w:b/>
          <w:color w:val="000000"/>
          <w:sz w:val="24"/>
        </w:rPr>
        <w:t>Filing Responsibilities: The Ultimate Responsibility Rests with You</w:t>
      </w:r>
      <w:r>
        <w:rPr>
          <w:rFonts w:ascii="Times New Roman;sans-serif" w:hAnsi="Times New Roman;sans-serif"/>
          <w:b w:val="false"/>
          <w:color w:val="000000"/>
          <w:sz w:val="24"/>
        </w:rPr>
        <w:t>. While these procedures are intended to help Directors and Section 16 Officers comply with the requirements of the federal securities laws, Directors and Section 16 Officers are legally obligated to ensure that their filings are made correctly and on time, and that they do not engage in unlawful short-swing or insider trading transactions.</w:t>
      </w:r>
    </w:p>
    <w:p>
      <w:pPr>
        <w:pStyle w:val="TextBody"/>
        <w:bidi w:val="0"/>
        <w:spacing w:before="0" w:after="240"/>
        <w:jc w:val="both"/>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B-3</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righ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subsidiaries of the registrant. The list omits some subsidiaries which, in the aggregate, would not constitute a significant subsidiary.</w:t>
      </w:r>
    </w:p>
    <w:p>
      <w:pPr>
        <w:pStyle w:val="TextBody"/>
        <w:bidi w:val="0"/>
        <w:spacing w:before="0" w:after="0"/>
        <w:jc w:val="left"/>
        <w:rPr/>
      </w:pPr>
      <w:r>
        <w:rPr/>
      </w:r>
    </w:p>
    <w:tbl>
      <w:tblPr>
        <w:tblW w:w="6116" w:type="dxa"/>
        <w:jc w:val="left"/>
        <w:tblInd w:w="0" w:type="dxa"/>
        <w:tblLayout w:type="fixed"/>
        <w:tblCellMar>
          <w:top w:w="28" w:type="dxa"/>
          <w:left w:w="28" w:type="dxa"/>
          <w:bottom w:w="28" w:type="dxa"/>
          <w:right w:w="28" w:type="dxa"/>
        </w:tblCellMar>
      </w:tblPr>
      <w:tblGrid>
        <w:gridCol w:w="1291"/>
        <w:gridCol w:w="1133"/>
        <w:gridCol w:w="1146"/>
        <w:gridCol w:w="109"/>
        <w:gridCol w:w="109"/>
        <w:gridCol w:w="109"/>
        <w:gridCol w:w="648"/>
        <w:gridCol w:w="648"/>
        <w:gridCol w:w="923"/>
      </w:tblGrid>
      <w:tr>
        <w:trPr/>
        <w:tc>
          <w:tcPr>
            <w:tcW w:w="12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Jurisdiction of Organization</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Assistances Controles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Controles Industriels de L'entang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GMA Aeronautica S.L.U.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GMA Holding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GMA Werkstoffprufung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Arizona Inspection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Group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Group BVBA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Group Holding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Group Hellas A.B.E.E.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Greece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Group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Group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International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KAA Partners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Mexico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Onstream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Quebec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Ropeworks Training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South America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Mistras Western Canada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MWC Management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NDT do Brasil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Onstream Pipeline Inspection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Physical Acoustics India Private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Quality Services Laboratories, Inc.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QSL NDT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QSL Quebec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Rope Access Calgary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bl>
    <w:p>
      <w:pPr>
        <w:pStyle w:val="TextBody"/>
        <w:bidi w:val="0"/>
        <w:spacing w:before="120" w:after="283"/>
        <w:jc w:val="left"/>
        <w:rPr/>
      </w:pPr>
      <w:r>
        <w:rPr/>
      </w:r>
    </w:p>
    <w:p>
      <w:pPr>
        <w:pStyle w:val="TextBody"/>
        <w:bidi w:val="0"/>
        <w:spacing w:lineRule="auto" w:line="333"/>
        <w:jc w:val="left"/>
        <w:rPr>
          <w:rFonts w:ascii="Times New Roman;sans-serif" w:hAnsi="Times New Roman;sans-serif"/>
          <w:b w:val="false"/>
          <w:color w:val="000000"/>
          <w:sz w:val="20"/>
        </w:rPr>
      </w:pPr>
      <w:r>
        <w:rPr>
          <w:rFonts w:ascii="Times New Roman;sans-serif" w:hAnsi="Times New Roman;sans-serif"/>
          <w:b w:val="false"/>
          <w:color w:val="000000"/>
          <w:sz w:val="20"/>
        </w:rPr>
        <w:t>(1) Also does business under the names QSL and QSL Plus.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60" w:after="283"/>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0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68" w:before="0" w:after="0"/>
        <w:jc w:val="left"/>
        <w:rPr/>
      </w:pPr>
      <w:r>
        <w:rPr>
          <w:rFonts w:ascii="Times New Roman;sans-serif" w:hAnsi="Times New Roman;sans-serif"/>
          <w:b w:val="false"/>
          <w:color w:val="000000"/>
          <w:sz w:val="20"/>
        </w:rPr>
        <w:t>We hereby consent to the incorporation by reference in the Registration Statements on Form S-8 (Nos. 333-217047, 333-254369 and 333-266573) of Mistras Group, Inc. of our report dated March 11, 2024 relating to the financial statements</w:t>
      </w:r>
      <w:r>
        <w:rPr>
          <w:color w:val="FF0000"/>
        </w:rPr>
        <w:t xml:space="preserve"> </w:t>
      </w:r>
      <w:r>
        <w:rPr>
          <w:rFonts w:ascii="Times New Roman;sans-serif" w:hAnsi="Times New Roman;sans-serif"/>
          <w:b w:val="false"/>
          <w:color w:val="000000"/>
          <w:sz w:val="20"/>
        </w:rPr>
        <w:t>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PricewaterhouseCoopers LLP </w:t>
      </w:r>
    </w:p>
    <w:p>
      <w:pPr>
        <w:pStyle w:val="TextBody"/>
        <w:bidi w:val="0"/>
        <w:spacing w:lineRule="auto" w:line="268" w:before="0" w:after="0"/>
        <w:jc w:val="left"/>
        <w:rPr/>
      </w:pPr>
      <w:r>
        <w:rPr>
          <w:rFonts w:ascii="Times New Roman;sans-serif" w:hAnsi="Times New Roman;sans-serif"/>
          <w:b w:val="false"/>
          <w:color w:val="000000"/>
          <w:sz w:val="20"/>
        </w:rPr>
        <w:t>Philadelphia, Pennsylvania</w:t>
      </w:r>
      <w:r>
        <w:rPr>
          <w:color w:val="FF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11,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333" w:before="0" w:after="20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(Nos. 333-217047, 333-254369 and 333-266573) on Form S-8 of our report dated March 15, 2023, with respect to the consolidated financial statements of Mistras Group, Inc.</w:t>
      </w:r>
    </w:p>
    <w:tbl>
      <w:tblPr>
        <w:tblW w:w="2583" w:type="dxa"/>
        <w:jc w:val="left"/>
        <w:tblInd w:w="0" w:type="dxa"/>
        <w:tblLayout w:type="fixed"/>
        <w:tblCellMar>
          <w:top w:w="28" w:type="dxa"/>
          <w:left w:w="28" w:type="dxa"/>
          <w:bottom w:w="28" w:type="dxa"/>
          <w:right w:w="28" w:type="dxa"/>
        </w:tblCellMar>
      </w:tblPr>
      <w:tblGrid>
        <w:gridCol w:w="446"/>
        <w:gridCol w:w="389"/>
        <w:gridCol w:w="395"/>
        <w:gridCol w:w="109"/>
        <w:gridCol w:w="109"/>
        <w:gridCol w:w="109"/>
        <w:gridCol w:w="109"/>
        <w:gridCol w:w="109"/>
        <w:gridCol w:w="109"/>
        <w:gridCol w:w="109"/>
        <w:gridCol w:w="109"/>
        <w:gridCol w:w="109"/>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KPMG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Short Hills, New Jersey</w:t>
        <w:br/>
        <w:t>March 11, 2024</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OF 1934, AS ADOPTED 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 Manuel N. Stamatakis, certify that: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of Mistras Group,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11, 2024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tbl>
      <w:tblPr>
        <w:tblW w:w="6097"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658"/>
        <w:gridCol w:w="1658"/>
        <w:gridCol w:w="166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Manuel N. Stamatakis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Manuel N. Stamatakis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Interim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OF 1934, AS ADOPTED 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 Edward J. Prajzner, certify that: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of Mistras Group,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11, 2024 </w:t>
      </w:r>
    </w:p>
    <w:p>
      <w:pPr>
        <w:pStyle w:val="TextBody"/>
        <w:bidi w:val="0"/>
        <w:spacing w:lineRule="auto" w:line="288" w:before="0" w:after="0"/>
        <w:jc w:val="left"/>
        <w:rPr>
          <w:color w:val="000000"/>
        </w:rPr>
      </w:pPr>
      <w:r>
        <w:rPr>
          <w:color w:val="000000"/>
        </w:rPr>
        <w:t> </w:t>
      </w:r>
    </w:p>
    <w:tbl>
      <w:tblPr>
        <w:tblW w:w="91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2455"/>
        <w:gridCol w:w="2455"/>
        <w:gridCol w:w="34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J. Prajzner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J. Prajzner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 Executive Vice President, and Chief Financial Officer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Mistras Group, Inc. (the Company) for the year ended December 31, 2023, I, Manuel N. Stamatakis, Chairman and Interim President and Chief Executive Officer, hereby certify pursuant to 18 U.S.C. Section 1350, as adopted pursuant to Section 906 of the Sarbanes-Oxley Act of 2002, to the best of my knowledge and belief,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such Annual Report on Form 10-K for the year ended December 31, 2023, fully complies with the requirements of Section 13(a) or 15(d) of the Securities Exchange Act of 1934, as amended; and</w:t>
      </w:r>
    </w:p>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such Annual Report on Form 10-K for the year ended December 31, 2023, fairly presents, in all material respects, the financial condition and results of operations of the Company.</w:t>
      </w:r>
    </w:p>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to accompany such Annual Report on Form 10-K for the year ended December 31, 2023,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lineRule="auto" w:line="288" w:before="0" w:after="0"/>
        <w:jc w:val="center"/>
        <w:rPr>
          <w:color w:val="000000"/>
        </w:rPr>
      </w:pPr>
      <w:r>
        <w:rPr>
          <w:color w:val="000000"/>
        </w:rPr>
        <w:t> </w:t>
      </w:r>
    </w:p>
    <w:tbl>
      <w:tblPr>
        <w:tblW w:w="6973" w:type="dxa"/>
        <w:jc w:val="center"/>
        <w:tblInd w:w="0" w:type="dxa"/>
        <w:tblLayout w:type="fixed"/>
        <w:tblCellMar>
          <w:top w:w="28" w:type="dxa"/>
          <w:left w:w="28" w:type="dxa"/>
          <w:bottom w:w="28" w:type="dxa"/>
          <w:right w:w="28" w:type="dxa"/>
        </w:tblCellMar>
      </w:tblPr>
      <w:tblGrid>
        <w:gridCol w:w="200"/>
        <w:gridCol w:w="177"/>
        <w:gridCol w:w="178"/>
        <w:gridCol w:w="464"/>
        <w:gridCol w:w="464"/>
        <w:gridCol w:w="466"/>
        <w:gridCol w:w="1469"/>
        <w:gridCol w:w="1469"/>
        <w:gridCol w:w="208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Manuel N. Stamatakis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Manuel N. Stamatakis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Interim 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on Form 10-K of Mistras Group, Inc. (the Company) for the year ended December 31, 2023, I, Edward J. Prajzner, Principal Financial and Accounting Officer, hereby certify pursuant to 18 U.S.C. Section 1350, as adopted pursuant to Section 906 of the Sarbanes-Oxley Act of 2002, to the best of my knowledge and belief,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such Annual Report on Form 10-K for the year ended December 31, 2023, fully complies with the requirements of Section 13(a) or 15(d) of the Securities Exchange Act of 1934, as amended; and</w:t>
      </w:r>
    </w:p>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such Annual Report on Form 10-K for the year ended December 31, 2023, fairly presents, in all material respects, the financial condition and results of operations of the Company.</w:t>
      </w:r>
    </w:p>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to accompany such Annual Report on Form 10-K for the year ended December 31, 2023,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7093" w:type="dxa"/>
        <w:jc w:val="center"/>
        <w:tblInd w:w="0" w:type="dxa"/>
        <w:tblLayout w:type="fixed"/>
        <w:tblCellMar>
          <w:top w:w="28" w:type="dxa"/>
          <w:left w:w="28" w:type="dxa"/>
          <w:bottom w:w="28" w:type="dxa"/>
          <w:right w:w="28" w:type="dxa"/>
        </w:tblCellMar>
      </w:tblPr>
      <w:tblGrid>
        <w:gridCol w:w="200"/>
        <w:gridCol w:w="177"/>
        <w:gridCol w:w="178"/>
        <w:gridCol w:w="464"/>
        <w:gridCol w:w="464"/>
        <w:gridCol w:w="466"/>
        <w:gridCol w:w="1503"/>
        <w:gridCol w:w="1503"/>
        <w:gridCol w:w="21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J. Prajzner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J. Prajzner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Sr. Executive Vice President, and Chief Financial Officer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MISTRAS GROUP,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INCENTIVE COMPENSATION RECOUPMENT POLICY </w:t>
      </w:r>
    </w:p>
    <w:p>
      <w:pPr>
        <w:pStyle w:val="TextBody"/>
        <w:bidi w:val="0"/>
        <w:spacing w:lineRule="auto" w:line="240" w:before="0" w:after="240"/>
        <w:jc w:val="both"/>
        <w:rPr/>
      </w:pPr>
      <w:r>
        <w:rPr>
          <w:rFonts w:ascii="Times New Roman;sans-serif" w:hAnsi="Times New Roman;sans-serif"/>
          <w:b w:val="false"/>
          <w:color w:val="000000"/>
          <w:sz w:val="24"/>
        </w:rPr>
        <w:t>Incentive Compensation Recoupment Policy (this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adopted by the Compensation Committee (the “</w:t>
      </w:r>
      <w:r>
        <w:rPr>
          <w:rFonts w:ascii="Times New Roman;sans-serif" w:hAnsi="Times New Roman;sans-serif"/>
          <w:b/>
          <w:i/>
          <w:color w:val="000000"/>
          <w:sz w:val="24"/>
        </w:rPr>
        <w:t>Compensation Committee</w:t>
      </w:r>
      <w:r>
        <w:rPr>
          <w:color w:val="000000"/>
        </w:rPr>
        <w:t>”</w:t>
      </w:r>
      <w:r>
        <w:rPr>
          <w:rFonts w:ascii="Times New Roman;sans-serif" w:hAnsi="Times New Roman;sans-serif"/>
          <w:b w:val="false"/>
          <w:color w:val="000000"/>
          <w:sz w:val="24"/>
        </w:rPr>
        <w:t>)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Mistras Group,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on October 24,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color w:val="000000"/>
          <w:sz w:val="24"/>
        </w:rPr>
        <w:t>1.</w:t>
      </w:r>
      <w:r>
        <w:rPr>
          <w:rFonts w:ascii="Times New Roman;sans-serif" w:hAnsi="Times New Roman;sans-serif"/>
          <w:b/>
          <w:color w:val="000000"/>
          <w:sz w:val="24"/>
        </w:rPr>
        <w:t>Purpose</w:t>
      </w:r>
      <w:r>
        <w:rPr>
          <w:rFonts w:ascii="Times New Roman;sans-serif" w:hAnsi="Times New Roman;sans-serif"/>
          <w:b w:val="false"/>
          <w:color w:val="000000"/>
          <w:sz w:val="24"/>
        </w:rPr>
        <w:t>. The purpose of this Policy is to provide for the recoupment of certain incentive compensation pursuant to Section 954 of the Dodd-Frank Wall Street Reform and Consumer Protection Act of 2010, in the manner required by Section 10D of the Securities Exchange Act of 1934, as amended (the “</w:t>
      </w:r>
      <w:r>
        <w:rPr>
          <w:rFonts w:ascii="Times New Roman;sans-serif" w:hAnsi="Times New Roman;sans-serif"/>
          <w:b/>
          <w:i/>
          <w:color w:val="000000"/>
          <w:sz w:val="24"/>
        </w:rPr>
        <w:t>Exchange Ac</w:t>
      </w:r>
      <w:r>
        <w:rPr>
          <w:rFonts w:ascii="Times New Roman;sans-serif" w:hAnsi="Times New Roman;sans-serif"/>
          <w:b w:val="false"/>
          <w:color w:val="000000"/>
          <w:sz w:val="24"/>
        </w:rPr>
        <w:t>t”), Rule 10D-1 promulgated thereunder, and the Listing Standards (as defined below) (collectively, the “</w:t>
      </w:r>
      <w:r>
        <w:rPr>
          <w:rFonts w:ascii="Times New Roman;sans-serif" w:hAnsi="Times New Roman;sans-serif"/>
          <w:b/>
          <w:i/>
          <w:color w:val="000000"/>
          <w:sz w:val="24"/>
        </w:rPr>
        <w:t>Dodd-Frank Rules</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color w:val="000000"/>
          <w:sz w:val="24"/>
        </w:rPr>
        <w:t>2.</w:t>
      </w:r>
      <w:r>
        <w:rPr>
          <w:rFonts w:ascii="Times New Roman;sans-serif" w:hAnsi="Times New Roman;sans-serif"/>
          <w:b/>
          <w:color w:val="000000"/>
          <w:sz w:val="24"/>
        </w:rPr>
        <w:t>Administration</w:t>
      </w:r>
      <w:r>
        <w:rPr>
          <w:rFonts w:ascii="Times New Roman;sans-serif" w:hAnsi="Times New Roman;sans-serif"/>
          <w:b w:val="false"/>
          <w:color w:val="000000"/>
          <w:sz w:val="24"/>
        </w:rPr>
        <w:t>. This Policy shall be administered by the Compensation Committee. Any determinations made by the Compensation Committee shall be final and binding on all affected individuals.</w:t>
      </w:r>
    </w:p>
    <w:p>
      <w:pPr>
        <w:pStyle w:val="TextBody"/>
        <w:bidi w:val="0"/>
        <w:spacing w:lineRule="auto" w:line="240" w:before="0" w:after="240"/>
        <w:jc w:val="both"/>
        <w:rPr/>
      </w:pPr>
      <w:r>
        <w:rPr>
          <w:rFonts w:ascii="Times New Roman;sans-serif" w:hAnsi="Times New Roman;sans-serif"/>
          <w:b/>
          <w:color w:val="000000"/>
          <w:sz w:val="24"/>
        </w:rPr>
        <w:t>3.</w:t>
      </w:r>
      <w:r>
        <w:rPr>
          <w:rFonts w:ascii="Times New Roman;sans-serif" w:hAnsi="Times New Roman;sans-serif"/>
          <w:b/>
          <w:color w:val="000000"/>
          <w:sz w:val="24"/>
        </w:rPr>
        <w:t>Definitions</w:t>
      </w:r>
      <w:r>
        <w:rPr>
          <w:rFonts w:ascii="Times New Roman;sans-serif" w:hAnsi="Times New Roman;sans-serif"/>
          <w:b w:val="false"/>
          <w:color w:val="000000"/>
          <w:sz w:val="24"/>
        </w:rPr>
        <w:t>. For purposes of this Policy, the following capitalized terms shall have the meanings set forth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i/>
          <w:color w:val="000000"/>
          <w:sz w:val="24"/>
        </w:rPr>
        <w:t>Accounting Restatement</w:t>
      </w:r>
      <w:r>
        <w:rPr>
          <w:color w:val="000000"/>
        </w:rPr>
        <w:t xml:space="preserve">” </w:t>
      </w:r>
      <w:r>
        <w:rPr>
          <w:rFonts w:ascii="Times New Roman;sans-serif" w:hAnsi="Times New Roman;sans-serif"/>
          <w:b w:val="false"/>
          <w:color w:val="000000"/>
          <w:sz w:val="24"/>
        </w:rPr>
        <w:t>shall mean an accounting restatement of the Company’s financial statements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w:t>
      </w:r>
      <w:r>
        <w:rPr>
          <w:rFonts w:ascii="Times New Roman;sans-serif" w:hAnsi="Times New Roman;sans-serif"/>
          <w:b w:val="false"/>
          <w:i/>
          <w:color w:val="000000"/>
          <w:sz w:val="24"/>
        </w:rPr>
        <w:t xml:space="preserve">i.e., </w:t>
      </w:r>
      <w:r>
        <w:rPr>
          <w:rFonts w:ascii="Times New Roman;sans-serif" w:hAnsi="Times New Roman;sans-serif"/>
          <w:b w:val="false"/>
          <w:color w:val="000000"/>
          <w:sz w:val="24"/>
        </w:rPr>
        <w:t>a “</w:t>
      </w:r>
      <w:r>
        <w:rPr>
          <w:rFonts w:ascii="Times New Roman;sans-serif" w:hAnsi="Times New Roman;sans-serif"/>
          <w:b/>
          <w:i/>
          <w:color w:val="000000"/>
          <w:sz w:val="24"/>
        </w:rPr>
        <w:t>Big R</w:t>
      </w:r>
      <w:r>
        <w:rPr>
          <w:color w:val="000000"/>
        </w:rPr>
        <w:t xml:space="preserve">” </w:t>
      </w:r>
      <w:r>
        <w:rPr>
          <w:rFonts w:ascii="Times New Roman;sans-serif" w:hAnsi="Times New Roman;sans-serif"/>
          <w:b w:val="false"/>
          <w:color w:val="000000"/>
          <w:sz w:val="24"/>
        </w:rPr>
        <w:t>restatement), or (ii) that would result in a material misstatement if the error were corrected in the current period or left uncorrected in the current period (</w:t>
      </w:r>
      <w:r>
        <w:rPr>
          <w:rFonts w:ascii="Times New Roman;sans-serif" w:hAnsi="Times New Roman;sans-serif"/>
          <w:b w:val="false"/>
          <w:i/>
          <w:color w:val="000000"/>
          <w:sz w:val="24"/>
        </w:rPr>
        <w:t xml:space="preserve">i.e., </w:t>
      </w:r>
      <w:r>
        <w:rPr>
          <w:rFonts w:ascii="Times New Roman;sans-serif" w:hAnsi="Times New Roman;sans-serif"/>
          <w:b w:val="false"/>
          <w:color w:val="000000"/>
          <w:sz w:val="24"/>
        </w:rPr>
        <w:t>a “</w:t>
      </w:r>
      <w:r>
        <w:rPr>
          <w:rFonts w:ascii="Times New Roman;sans-serif" w:hAnsi="Times New Roman;sans-serif"/>
          <w:b/>
          <w:i/>
          <w:color w:val="000000"/>
          <w:sz w:val="24"/>
        </w:rPr>
        <w:t>little r</w:t>
      </w:r>
      <w:r>
        <w:rPr>
          <w:color w:val="000000"/>
        </w:rPr>
        <w:t xml:space="preserve">” </w:t>
      </w:r>
      <w:r>
        <w:rPr>
          <w:rFonts w:ascii="Times New Roman;sans-serif" w:hAnsi="Times New Roman;sans-serif"/>
          <w:b w:val="false"/>
          <w:color w:val="000000"/>
          <w:sz w:val="24"/>
        </w:rPr>
        <w:t>restatement).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i/>
          <w:color w:val="000000"/>
          <w:sz w:val="24"/>
        </w:rPr>
        <w:t>Affiliate</w:t>
      </w:r>
      <w:r>
        <w:rPr>
          <w:color w:val="000000"/>
        </w:rPr>
        <w:t xml:space="preserve">” </w:t>
      </w:r>
      <w:r>
        <w:rPr>
          <w:rFonts w:ascii="Times New Roman;sans-serif" w:hAnsi="Times New Roman;sans-serif"/>
          <w:b w:val="false"/>
          <w:color w:val="000000"/>
          <w:sz w:val="24"/>
        </w:rPr>
        <w:t xml:space="preserve">shall mean each entity that directly or indirectly controls, is controlled by, or is under common control with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i/>
          <w:color w:val="000000"/>
          <w:sz w:val="24"/>
        </w:rPr>
        <w:t>Clawback Eligible Incentive Compensation</w:t>
      </w:r>
      <w:r>
        <w:rPr>
          <w:color w:val="000000"/>
        </w:rPr>
        <w:t xml:space="preserve">” </w:t>
      </w:r>
      <w:r>
        <w:rPr>
          <w:rFonts w:ascii="Times New Roman;sans-serif" w:hAnsi="Times New Roman;sans-serif"/>
          <w:b w:val="false"/>
          <w:color w:val="000000"/>
          <w:sz w:val="24"/>
        </w:rPr>
        <w:t>shall mean Incentive-Based Compensation Received by a Covered Executive (i) on or after the Effective Date, (ii) after beginning service as a Covered Executive, (iii) if such individual served as a Covered Executive at any time during the performance period for such Incentive-Based Compensation (irrespective of whether such individual continued to serve as a Covered Executive upon or following the Restatement Trigger Date), (iv) while the Company has a class of securities listed on a national securities exchange or a national securities association, and (v) during the applicable Clawback Period. For the avoidance of doubt, Incentive-Based Compensation Received by a Covered Executive on or after the Effective Date could, by the terms of this Policy, include amounts approved, awarded, or granted prior to such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i/>
          <w:color w:val="000000"/>
          <w:sz w:val="24"/>
        </w:rPr>
        <w:t>Clawback Period</w:t>
      </w:r>
      <w:r>
        <w:rPr>
          <w:color w:val="000000"/>
        </w:rPr>
        <w:t xml:space="preserve">” </w:t>
      </w:r>
      <w:r>
        <w:rPr>
          <w:rFonts w:ascii="Times New Roman;sans-serif" w:hAnsi="Times New Roman;sans-serif"/>
          <w:b w:val="false"/>
          <w:color w:val="000000"/>
          <w:sz w:val="24"/>
        </w:rPr>
        <w:t>shall mean, with respect to any Accounting Restatement, the three completed fiscal years of the Company immediately preceding the Restatement Trigger Date and any transition period (that results from a change in the Company’s fiscal year) within or immediately following those three completed fiscal years (except that a transition period between the last day of the Company’s previous fiscal year end and the first day of its new fiscal year that comprises a period of at least nine months shall count as a completed fiscal year).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i/>
          <w:color w:val="000000"/>
          <w:sz w:val="24"/>
        </w:rPr>
        <w:t>Company Group</w:t>
      </w:r>
      <w:r>
        <w:rPr>
          <w:color w:val="000000"/>
        </w:rPr>
        <w:t xml:space="preserve">” </w:t>
      </w:r>
      <w:r>
        <w:rPr>
          <w:rFonts w:ascii="Times New Roman;sans-serif" w:hAnsi="Times New Roman;sans-serif"/>
          <w:b w:val="false"/>
          <w:color w:val="000000"/>
          <w:sz w:val="24"/>
        </w:rPr>
        <w:t>shall mean the Company and its Affiliates.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i/>
          <w:color w:val="000000"/>
          <w:sz w:val="24"/>
        </w:rPr>
        <w:t>Covered Executive</w:t>
      </w:r>
      <w:r>
        <w:rPr>
          <w:color w:val="000000"/>
        </w:rPr>
        <w:t xml:space="preserve">” </w:t>
      </w:r>
      <w:r>
        <w:rPr>
          <w:rFonts w:ascii="Times New Roman;sans-serif" w:hAnsi="Times New Roman;sans-serif"/>
          <w:b w:val="false"/>
          <w:color w:val="000000"/>
          <w:sz w:val="24"/>
        </w:rPr>
        <w:t xml:space="preserve">shall mean any “executive officer” of the Company as defined under the Dodd-Frank Rules, and, for the avoidance of doubt, includes each individual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[Adopted October 24, 2023]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[Adopted October 24, 2023]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identified as an executive officer of the Company in accordance with Item 401(b) of Regulation S-K under the Exchange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shall mean the amount of Clawback Eligible Incentive Compensation that exceeds the amount of Incentive-Based Compensation that otherwise would have been Received had it been determined based on the restated amounts, computed without regard to any taxes paid. With respect to any compensation plan or program that takes into account Incentive-Based Compensation, the amount contributed to a notional account that exceeds the amount that otherwise would have been contributed had it been determined based on the restated amount, computed without regard to any taxes paid, shall be considered Erroneously Awarded Compensation, along with earnings accrued on that notional amount.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i/>
          <w:color w:val="000000"/>
          <w:sz w:val="24"/>
        </w:rPr>
        <w:t>Exchange</w:t>
      </w:r>
      <w:r>
        <w:rPr>
          <w:color w:val="000000"/>
        </w:rPr>
        <w:t xml:space="preserve">” </w:t>
      </w:r>
      <w:r>
        <w:rPr>
          <w:rFonts w:ascii="Times New Roman;sans-serif" w:hAnsi="Times New Roman;sans-serif"/>
          <w:b w:val="false"/>
          <w:color w:val="000000"/>
          <w:sz w:val="24"/>
        </w:rPr>
        <w:t>shall mean the New York Stock Exchange, on which the Company’s securities are listed.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i/>
          <w:color w:val="000000"/>
          <w:sz w:val="24"/>
        </w:rPr>
        <w:t>Financial Reporting Measures</w:t>
      </w:r>
      <w:r>
        <w:rPr>
          <w:color w:val="000000"/>
        </w:rPr>
        <w:t xml:space="preserve">” </w:t>
      </w:r>
      <w:r>
        <w:rPr>
          <w:rFonts w:ascii="Times New Roman;sans-serif" w:hAnsi="Times New Roman;sans-serif"/>
          <w:b w:val="false"/>
          <w:color w:val="000000"/>
          <w:sz w:val="24"/>
        </w:rPr>
        <w:t>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measure need not be presented in the Company’s financial statements or included in a filing with the U.S. Securities and Exchange Commission (the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in order to be considered a Financial Reporting Measure.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shall mean any compensation that is granted, earned or vested based wholly or in part upon the attainment of a Financial Reporting Measure.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i/>
          <w:color w:val="000000"/>
          <w:sz w:val="24"/>
        </w:rPr>
        <w:t>Listing Standards</w:t>
      </w:r>
      <w:r>
        <w:rPr>
          <w:color w:val="000000"/>
        </w:rPr>
        <w:t xml:space="preserve">” </w:t>
      </w:r>
      <w:r>
        <w:rPr>
          <w:rFonts w:ascii="Times New Roman;sans-serif" w:hAnsi="Times New Roman;sans-serif"/>
          <w:b w:val="false"/>
          <w:color w:val="000000"/>
          <w:sz w:val="24"/>
        </w:rPr>
        <w:t>shall mean Section 303A.14 of the New York Stock Exchange Listed Company Manual.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color w:val="000000"/>
        </w:rPr>
        <w:t>“</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shall mean the deemed receipt of Incentive-Based Compensation. Incentive-Based Compensation shall be deemed received for this purpose in the Company’s fiscal period during which the Financial Reporting Measure specified in the applicable Incentive-Based Compensation award is attained, even if payment or grant of the Incentive-Based Compensation occurs after the end of that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color w:val="000000"/>
        </w:rPr>
        <w:t>“</w:t>
      </w:r>
      <w:r>
        <w:rPr>
          <w:rFonts w:ascii="Times New Roman;sans-serif" w:hAnsi="Times New Roman;sans-serif"/>
          <w:b/>
          <w:i/>
          <w:color w:val="000000"/>
          <w:sz w:val="24"/>
        </w:rPr>
        <w:t>Restatement Trigger Date</w:t>
      </w:r>
      <w:r>
        <w:rPr>
          <w:color w:val="000000"/>
        </w:rPr>
        <w:t xml:space="preserve">” </w:t>
      </w:r>
      <w:r>
        <w:rPr>
          <w:rFonts w:ascii="Times New Roman;sans-serif" w:hAnsi="Times New Roman;sans-serif"/>
          <w:b w:val="false"/>
          <w:color w:val="000000"/>
          <w:sz w:val="24"/>
        </w:rPr>
        <w:t xml:space="preserve">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color w:val="000000"/>
          <w:sz w:val="24"/>
        </w:rPr>
        <w:t>Recoupment of Erroneously Awarded Compensation</w:t>
      </w:r>
      <w:r>
        <w:rPr>
          <w:rFonts w:ascii="Times New Roman;sans-serif" w:hAnsi="Times New Roman;sans-serif"/>
          <w:b w:val="false"/>
          <w:color w:val="000000"/>
          <w:sz w:val="24"/>
        </w:rPr>
        <w:t>. Upon the occurrence of a Restatement Trigger Date, the Company shall recoup Erroneously Awarded Compensation reasonably promptly, in the manner described below. For the avoidance of doubt, the Company’s obligation to recover Erroneously Awarded Compensation under this Policy is not dependent on, if or when restated financial statements are filed following the Restatement Trigger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i/>
          <w:color w:val="000000"/>
          <w:sz w:val="24"/>
        </w:rPr>
        <w:t xml:space="preserve">Process. </w:t>
      </w:r>
      <w:r>
        <w:rPr>
          <w:rFonts w:ascii="Times New Roman;sans-serif" w:hAnsi="Times New Roman;sans-serif"/>
          <w:b w:val="false"/>
          <w:color w:val="000000"/>
          <w:sz w:val="24"/>
        </w:rPr>
        <w:t>The Compensation Committee shall use the following process for recoupment:</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First, the Compensation Committee will determine the amount of any Erroneously Awarded Compensation for each Covered Executive in connection with such Accounting Restatement.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Compensation Committee based on a reasonable estimate of the effect of the Accounting Restatement on the stock price or total shareholder return upon which the Incentive-Based Compensation was Received (in which case, the Company shall maintain documentation of the determination of that reasonable estimate and provide such documentation to the Exchange).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Second, the Compensation Committee will provide each affected Covered Executive with a written notice stating the amount of the Erroneously Awarded Compensation, a demand for recoupment, and the means of recoupment that the Company will accept.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i/>
          <w:color w:val="000000"/>
          <w:sz w:val="24"/>
        </w:rPr>
        <w:t xml:space="preserve">Means of Recoupment. </w:t>
      </w:r>
      <w:r>
        <w:rPr>
          <w:rFonts w:ascii="Times New Roman;sans-serif" w:hAnsi="Times New Roman;sans-serif"/>
          <w:b w:val="false"/>
          <w:color w:val="000000"/>
          <w:sz w:val="24"/>
        </w:rPr>
        <w:t>The Compensation Committee shall have discretion to determine the appropriate means of recoupment of Erroneously Awarded Compensation, which may include without limitation: (i) recoupment of cash or shares of Company stock, (ii) forfeiture of unvested cash or equity awards (including those subject to service-based and/or performance-based vesting conditions), (iii) cancellation of outstanding vested cash or equity awards (including those for which service-based and/or performance-based vesting conditions have been satisfied), (iv) to the extent consistent with Section 409A of the Internal Revenue Code of 1986, as amended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xml:space="preserve">), offset of other amounts owed to the Covered Executive or forfeiture of deferred compensation, (v) reduction of future compensation, and (vi) any other remedial or recovery action permitted by law. Notwithstanding the foregoing, the Company Group makes no guarantee as to the treatment of such amounts under Section 409A, and shall have no liability with respect thereto. For the avoidance of doubt, appropriate means of recoupment pursuant to this Section 4(b) may include amounts approved, awarded, or granted prior to the Effective Date. Except as set forth in Section 4(d) below, in no event may the Company Group accept an amount that is less than the amount of Erroneously Awarded Compensation in satisfaction of a Covered Executive’s obligations hereunder.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i/>
          <w:color w:val="000000"/>
          <w:sz w:val="24"/>
        </w:rPr>
        <w:t xml:space="preserve">Failure to Repay. </w:t>
      </w:r>
      <w:r>
        <w:rPr>
          <w:rFonts w:ascii="Times New Roman;sans-serif" w:hAnsi="Times New Roman;sans-serif"/>
          <w:b w:val="false"/>
          <w:color w:val="000000"/>
          <w:sz w:val="24"/>
        </w:rPr>
        <w:t>To the extent that a Covered Executive fails to repay all Erroneously Awarded Compensation to the Company Group when due (as determined in accordance with Section 4(a) above), the Company shall, or shall cause one or more other members of the Company Group to, take all actions reasonable and appropriate to recoup such Erroneously Awarded Compensation from the Covered Executive. The Covered Executive shall be required to reimburse the Company Group for all expenses reasonably incurred (including legal fees) by the Company Group in recouping such Erroneously Awarded Compensation.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i/>
          <w:color w:val="000000"/>
          <w:sz w:val="24"/>
        </w:rPr>
        <w:t xml:space="preserve">Exceptions. </w:t>
      </w:r>
      <w:r>
        <w:rPr>
          <w:rFonts w:ascii="Times New Roman;sans-serif" w:hAnsi="Times New Roman;sans-serif"/>
          <w:b w:val="false"/>
          <w:color w:val="000000"/>
          <w:sz w:val="24"/>
        </w:rPr>
        <w:t>Notwithstanding anything herein to the contrary, the Company shall not be required to recoup Erroneously Awarded Compensation if one of the following conditions is met and the Compensation Committee determines that recoupment would be impracticable: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direct expense paid to a third party to assist in enforcing this Policy against a Covered Executive would exceed the amount to be recouped, after the Company has made a reasonable attempt to recoup the Erroneously Awarded Compensation, documented such attempts, and provided such documentation to the Exchange;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Recoupment would violate home country law where that law was adopted prior to November 28, 2022, provided that, before determining that it would be impracticable to recoup any amount of Erroneously Awarded Compensation based on violation of home country law, the Company has obtained an opinion of home country counsel, acceptable to the Exchange,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that recoupment would result in such a violation and a copy of the opinion is provided to the Exchange;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Recoupment would likely cause an otherwise tax-qualified retirement plan, under which benefits are broadly available to employees, to fail to meet the requirements of 26 U.S.C. 401(a)(13) or 26 U.S.C. 411(a) and regulations thereunder.</w:t>
      </w:r>
    </w:p>
    <w:p>
      <w:pPr>
        <w:pStyle w:val="TextBody"/>
        <w:bidi w:val="0"/>
        <w:spacing w:lineRule="auto" w:line="240" w:before="0" w:after="240"/>
        <w:jc w:val="both"/>
        <w:rPr/>
      </w:pPr>
      <w:r>
        <w:rPr>
          <w:rFonts w:ascii="Times New Roman;sans-serif" w:hAnsi="Times New Roman;sans-serif"/>
          <w:b/>
          <w:color w:val="000000"/>
          <w:sz w:val="24"/>
        </w:rPr>
        <w:t>5.</w:t>
      </w:r>
      <w:r>
        <w:rPr>
          <w:rFonts w:ascii="Times New Roman;sans-serif" w:hAnsi="Times New Roman;sans-serif"/>
          <w:b/>
          <w:color w:val="000000"/>
          <w:sz w:val="24"/>
        </w:rPr>
        <w:t>Reporting and Disclosure</w:t>
      </w:r>
      <w:r>
        <w:rPr>
          <w:rFonts w:ascii="Times New Roman;sans-serif" w:hAnsi="Times New Roman;sans-serif"/>
          <w:b w:val="false"/>
          <w:color w:val="000000"/>
          <w:sz w:val="24"/>
        </w:rPr>
        <w:t xml:space="preserve">. The Company shall file all disclosures with respect to this Policy in accordance with the requirements of the Dodd-Frank Rules. </w:t>
      </w:r>
    </w:p>
    <w:p>
      <w:pPr>
        <w:pStyle w:val="TextBody"/>
        <w:bidi w:val="0"/>
        <w:spacing w:lineRule="auto" w:line="240" w:before="0" w:after="240"/>
        <w:jc w:val="both"/>
        <w:rPr/>
      </w:pPr>
      <w:r>
        <w:rPr>
          <w:rFonts w:ascii="Times New Roman;sans-serif" w:hAnsi="Times New Roman;sans-serif"/>
          <w:b/>
          <w:color w:val="000000"/>
          <w:sz w:val="24"/>
        </w:rPr>
        <w:t>6.</w:t>
      </w:r>
      <w:r>
        <w:rPr>
          <w:rFonts w:ascii="Times New Roman;sans-serif" w:hAnsi="Times New Roman;sans-serif"/>
          <w:b/>
          <w:color w:val="000000"/>
          <w:sz w:val="24"/>
        </w:rPr>
        <w:t>No Indemnification Permitted</w:t>
      </w:r>
      <w:r>
        <w:rPr>
          <w:rFonts w:ascii="Times New Roman;sans-serif" w:hAnsi="Times New Roman;sans-serif"/>
          <w:b w:val="false"/>
          <w:color w:val="000000"/>
          <w:sz w:val="24"/>
        </w:rPr>
        <w:t>. No member of the Company Group shall be permitted to indemnify any current or former Covered Executive against (i) the loss of any Erroneously Awarded Compensation that is recouped pursuant to the terms of this Policy, or (ii) any claims relating to the Company Group’s enforcement of its rights under this Policy. The Company may not pay or reimburse any Covered Executive for the cost of third-party insurance purchased by a Covered Executive to fund potential recoupment obligations under this Policy.</w:t>
      </w:r>
    </w:p>
    <w:p>
      <w:pPr>
        <w:pStyle w:val="TextBody"/>
        <w:bidi w:val="0"/>
        <w:spacing w:lineRule="auto" w:line="240" w:before="0" w:after="240"/>
        <w:jc w:val="both"/>
        <w:rPr/>
      </w:pPr>
      <w:r>
        <w:rPr>
          <w:rFonts w:ascii="Times New Roman;sans-serif" w:hAnsi="Times New Roman;sans-serif"/>
          <w:b/>
          <w:color w:val="000000"/>
          <w:sz w:val="24"/>
        </w:rPr>
        <w:t>7.</w:t>
      </w:r>
      <w:r>
        <w:rPr>
          <w:rFonts w:ascii="Times New Roman;sans-serif" w:hAnsi="Times New Roman;sans-serif"/>
          <w:b/>
          <w:color w:val="000000"/>
          <w:sz w:val="24"/>
        </w:rPr>
        <w:t>Acknowledgmen</w:t>
      </w:r>
      <w:r>
        <w:rPr>
          <w:rFonts w:ascii="Times New Roman;sans-serif" w:hAnsi="Times New Roman;sans-serif"/>
          <w:b w:val="false"/>
          <w:color w:val="000000"/>
          <w:sz w:val="24"/>
        </w:rPr>
        <w:t xml:space="preserve">t. If required by the Compensation Committee, each Covered Executive shall be required to sign and return to the Company the acknowledgement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(or such other acknowledgement form authorized by the Compensation Committee) pursuant to which the Covered Executive will agree to be bound by the terms of, and comply with, this Policy. However, for the avoidance of doubt, each Covered Executive will be fully bound by, and must comply with, the Policy, whether or not such Covered Executive has executed and returned an acknowledgment form to the Company.</w:t>
      </w:r>
    </w:p>
    <w:p>
      <w:pPr>
        <w:pStyle w:val="TextBody"/>
        <w:bidi w:val="0"/>
        <w:spacing w:lineRule="auto" w:line="240" w:before="0" w:after="240"/>
        <w:jc w:val="both"/>
        <w:rPr/>
      </w:pPr>
      <w:r>
        <w:rPr>
          <w:rFonts w:ascii="Times New Roman;sans-serif" w:hAnsi="Times New Roman;sans-serif"/>
          <w:b/>
          <w:color w:val="000000"/>
          <w:sz w:val="24"/>
        </w:rPr>
        <w:t>8.</w:t>
      </w:r>
      <w:r>
        <w:rPr>
          <w:rFonts w:ascii="Times New Roman;sans-serif" w:hAnsi="Times New Roman;sans-serif"/>
          <w:b/>
          <w:color w:val="000000"/>
          <w:sz w:val="24"/>
        </w:rPr>
        <w:t>Interpretation</w:t>
      </w:r>
      <w:r>
        <w:rPr>
          <w:rFonts w:ascii="Times New Roman;sans-serif" w:hAnsi="Times New Roman;sans-serif"/>
          <w:b w:val="false"/>
          <w:color w:val="000000"/>
          <w:sz w:val="24"/>
        </w:rPr>
        <w:t>. The Compensation Committee is authorized to interpret and construe this Policy and to make all determinations necessary, appropriate, or advisable for the administration of this Policy. The Compensation Committee intends that this Policy be interpreted consistent with the Dodd-Frank Rules. The Compensation Committee is authorized to retain any advisors or counsel it deems appropriate to assist the Compensation Committee with the fulfillment of its duties hereunder, and the Company shall pay all expenses related thereto.</w:t>
      </w:r>
    </w:p>
    <w:p>
      <w:pPr>
        <w:pStyle w:val="TextBody"/>
        <w:bidi w:val="0"/>
        <w:spacing w:lineRule="auto" w:line="240" w:before="0" w:after="240"/>
        <w:jc w:val="both"/>
        <w:rPr/>
      </w:pPr>
      <w:r>
        <w:rPr>
          <w:rFonts w:ascii="Times New Roman;sans-serif" w:hAnsi="Times New Roman;sans-serif"/>
          <w:b/>
          <w:color w:val="000000"/>
          <w:sz w:val="24"/>
        </w:rPr>
        <w:t>9.</w:t>
      </w:r>
      <w:r>
        <w:rPr>
          <w:rFonts w:ascii="Times New Roman;sans-serif" w:hAnsi="Times New Roman;sans-serif"/>
          <w:b/>
          <w:color w:val="000000"/>
          <w:sz w:val="24"/>
        </w:rPr>
        <w:t>Amendment</w:t>
      </w:r>
      <w:r>
        <w:rPr>
          <w:rFonts w:ascii="Times New Roman;sans-serif" w:hAnsi="Times New Roman;sans-serif"/>
          <w:b w:val="false"/>
          <w:color w:val="000000"/>
          <w:sz w:val="24"/>
        </w:rPr>
        <w:t xml:space="preserve">; </w:t>
      </w:r>
      <w:r>
        <w:rPr>
          <w:rFonts w:ascii="Times New Roman;sans-serif" w:hAnsi="Times New Roman;sans-serif"/>
          <w:b/>
          <w:color w:val="000000"/>
          <w:sz w:val="24"/>
        </w:rPr>
        <w:t>Termination</w:t>
      </w:r>
      <w:r>
        <w:rPr>
          <w:rFonts w:ascii="Times New Roman;sans-serif" w:hAnsi="Times New Roman;sans-serif"/>
          <w:b w:val="false"/>
          <w:color w:val="000000"/>
          <w:sz w:val="24"/>
        </w:rPr>
        <w:t>. The Compensation Committee may amend or terminate this Policy from time to time in its discretion, including as and when it determines that it is legally required to do so by any federal securities laws, SEC rule or the rules of any national securities exchange or national securities association on which the Company’s securities are listed.</w:t>
      </w:r>
    </w:p>
    <w:p>
      <w:pPr>
        <w:pStyle w:val="TextBody"/>
        <w:bidi w:val="0"/>
        <w:spacing w:lineRule="auto" w:line="240" w:before="0" w:after="240"/>
        <w:jc w:val="both"/>
        <w:rPr/>
      </w:pPr>
      <w:r>
        <w:rPr>
          <w:rFonts w:ascii="Times New Roman;sans-serif" w:hAnsi="Times New Roman;sans-serif"/>
          <w:b/>
          <w:color w:val="000000"/>
          <w:sz w:val="24"/>
        </w:rPr>
        <w:t>10.</w:t>
      </w:r>
      <w:r>
        <w:rPr>
          <w:rFonts w:ascii="Times New Roman;sans-serif" w:hAnsi="Times New Roman;sans-serif"/>
          <w:b/>
          <w:color w:val="000000"/>
          <w:sz w:val="24"/>
        </w:rPr>
        <w:t>Other Recoupment Rights</w:t>
      </w:r>
      <w:r>
        <w:rPr>
          <w:rFonts w:ascii="Times New Roman;sans-serif" w:hAnsi="Times New Roman;sans-serif"/>
          <w:b w:val="false"/>
          <w:color w:val="000000"/>
          <w:sz w:val="24"/>
        </w:rPr>
        <w:t>. The Compensation Committee intends that this Policy be applied to the fullest extent of the law. The Compensation Committee may require that any employment agreement, equity award, cash incentive award, or any other agreement with a Covered Executive be conditioned on the Covered Executive’s agreement to abide by the terms of this Policy. Any right of recoupment under this Policy is in addition to, and not in lieu of, any other remedies or rights of recoupment that may be available to the Company Group, whether arising under law, regulation or rule, pursuant to the terms of any other policy of the Company Group, pursuant to any employment agreement, equity award, cash incentive award, or other plan or agreement applicable to a Covered Executive, or otherwise (the “</w:t>
      </w:r>
      <w:r>
        <w:rPr>
          <w:rFonts w:ascii="Times New Roman;sans-serif" w:hAnsi="Times New Roman;sans-serif"/>
          <w:b/>
          <w:i/>
          <w:color w:val="000000"/>
          <w:sz w:val="24"/>
        </w:rPr>
        <w:t>Separate Clawback Rights</w:t>
      </w:r>
      <w:r>
        <w:rPr>
          <w:color w:val="000000"/>
        </w:rPr>
        <w:t>”</w:t>
      </w:r>
      <w:r>
        <w:rPr>
          <w:rFonts w:ascii="Times New Roman;sans-serif" w:hAnsi="Times New Roman;sans-serif"/>
          <w:b w:val="false"/>
          <w:color w:val="000000"/>
          <w:sz w:val="24"/>
        </w:rPr>
        <w:t>). Notwithstanding the foregoing, this Policy replaces and supersedes the Company’s existing incentive compensation recoupment policy for executive officer, effective July 19, 2016, but only with respect to Incentive-Based Compensation Received on or after the Effective Date. There shall be no duplication of recovery of the same Erroneously Awarded Compensation under this Policy and the Separate Clawback Rights, unless required by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color w:val="000000"/>
          <w:sz w:val="24"/>
        </w:rPr>
        <w:t>Successors</w:t>
      </w:r>
      <w:r>
        <w:rPr>
          <w:rFonts w:ascii="Times New Roman;sans-serif" w:hAnsi="Times New Roman;sans-serif"/>
          <w:b w:val="false"/>
          <w:color w:val="000000"/>
          <w:sz w:val="24"/>
        </w:rPr>
        <w:t>. This Policy shall be binding and enforceable against all Covered Executives and their beneficiaries, heirs, executors, administrators or other legal representatives.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68" w:before="15" w:after="2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MISTRAS GROUP.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INCENTIVE COMPENSATION RECOUPMENT POLICY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ACKNOWLEDGEMENT FORM</w:t>
      </w:r>
    </w:p>
    <w:p>
      <w:pPr>
        <w:pStyle w:val="TextBody"/>
        <w:bidi w:val="0"/>
        <w:spacing w:lineRule="auto" w:line="240" w:before="0" w:after="240"/>
        <w:jc w:val="both"/>
        <w:rPr/>
      </w:pPr>
      <w:r>
        <w:rPr>
          <w:rFonts w:ascii="Times New Roman;sans-serif" w:hAnsi="Times New Roman;sans-serif"/>
          <w:b w:val="false"/>
          <w:color w:val="000000"/>
          <w:sz w:val="24"/>
        </w:rPr>
        <w:t>By signing below, the undersigned acknowledges and confirms that the undersigned has received and reviewed a copy of the Mistras Group, Inc. Incentive Compensation Recoupment Policy, adopted October 24, 2023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Capitalized terms used but not otherwise defined in this Acknowledgement Form shall have the meanings ascribed to such terms in the Policy.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this Acknowledgement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w:t>
      </w:r>
    </w:p>
    <w:p>
      <w:pPr>
        <w:pStyle w:val="TextBody"/>
        <w:bidi w:val="0"/>
        <w:spacing w:before="240" w:after="835"/>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    _____________________________</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    _____________________________</w:t>
      </w:r>
    </w:p>
    <w:p>
      <w:pPr>
        <w:pStyle w:val="TextBody"/>
        <w:bidi w:val="0"/>
        <w:spacing w:before="0" w:after="24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28015"/>
                <wp:effectExtent l="0" t="0" r="0" b="0"/>
                <wp:wrapNone/>
                <wp:docPr id="133" name="Frame129"/>
                <a:graphic xmlns:a="http://schemas.openxmlformats.org/drawingml/2006/main">
                  <a:graphicData uri="http://schemas.microsoft.com/office/word/2010/wordprocessingShape">
                    <wps:wsp>
                      <wps:cNvSpPr txBox="1"/>
                      <wps:spPr>
                        <a:xfrm>
                          <a:off x="0" y="0"/>
                          <a:ext cx="6480175" cy="6280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r>
                              <w:br w:type="page"/>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162845986v1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162845986v1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436126/000095012309044623/y02145a4exv3w1.htm" TargetMode="External"/><Relationship Id="rId7" Type="http://schemas.openxmlformats.org/officeDocument/2006/relationships/hyperlink" Target="https://www.sec.gov/Archives/edgar/data/1436126/000143612617000011/fy17q2exhibit31.htm" TargetMode="External"/><Relationship Id="rId8" Type="http://schemas.openxmlformats.org/officeDocument/2006/relationships/hyperlink" Target="https://www.sec.gov/Archives/edgar/data/1436126/000143612616000069/fy17q1exhibit31.htm" TargetMode="External"/><Relationship Id="rId9" Type="http://schemas.openxmlformats.org/officeDocument/2006/relationships/hyperlink" Target="https://www.sec.gov/Archives/edgar/data/0001436126/000143612620000018/a2019123110kexhibit42.htm" TargetMode="External"/><Relationship Id="rId10" Type="http://schemas.openxmlformats.org/officeDocument/2006/relationships/hyperlink" Target="https://www.sec.gov/Archives/edgar/data/1436126/000143612623000014/a01creditreealllone.htm" TargetMode="External"/><Relationship Id="rId11" Type="http://schemas.openxmlformats.org/officeDocument/2006/relationships/hyperlink" Target="https://www.sec.gov/Archives/edgar/data/1436126/000143612624000013/mistras-amendmentno1tocred.htm" TargetMode="External"/><Relationship Id="rId12" Type="http://schemas.openxmlformats.org/officeDocument/2006/relationships/hyperlink" Target="https://www.sec.gov/Archives/edgar/data/1436126/000095012309044623/y02145a4exv10w1.htm" TargetMode="External"/><Relationship Id="rId13" Type="http://schemas.openxmlformats.org/officeDocument/2006/relationships/hyperlink" Target="https://www.sec.gov/Archives/edgar/data/1436126/000162612916000819/my-def14a_090716.htm" TargetMode="External"/><Relationship Id="rId14" Type="http://schemas.openxmlformats.org/officeDocument/2006/relationships/hyperlink" Target="https://www.sec.gov/Archives/edgar/data/1436126/000143612620000064/exhibit102firstamendme.htm" TargetMode="External"/><Relationship Id="rId15" Type="http://schemas.openxmlformats.org/officeDocument/2006/relationships/hyperlink" Target="https://www.sec.gov/Archives/edgar/data/0001436126/000143612621000013/a20201231-amendmentno2to20.htm" TargetMode="External"/><Relationship Id="rId16" Type="http://schemas.openxmlformats.org/officeDocument/2006/relationships/hyperlink" Target="https://www.sec.gov/Archives/edgar/data/1436126/000143612622000044/a10qexhibit102-q22022.htm" TargetMode="External"/><Relationship Id="rId17" Type="http://schemas.openxmlformats.org/officeDocument/2006/relationships/hyperlink" Target="https://www.sec.gov/Archives/edgar/data/1436126/000143612617000024/mg-2016123110kexhibit1016.htm" TargetMode="External"/><Relationship Id="rId18" Type="http://schemas.openxmlformats.org/officeDocument/2006/relationships/hyperlink" Target="https://www.sec.gov/Archives/edgar/data/1436126/000143612620000044/exhibit102formofsenior.htm" TargetMode="External"/><Relationship Id="rId19" Type="http://schemas.openxmlformats.org/officeDocument/2006/relationships/hyperlink" Target="https://www.sec.gov/Archives/edgar/data/1436126/000143612619000014/mistrasgroupseveranceplan.htm" TargetMode="External"/><Relationship Id="rId20" Type="http://schemas.openxmlformats.org/officeDocument/2006/relationships/hyperlink" Target="https://www.sec.gov/Archives/edgar/data/1436126/000143612618000027/sjv2-28x18employmentagreem.htm" TargetMode="External"/><Relationship Id="rId21" Type="http://schemas.openxmlformats.org/officeDocument/2006/relationships/hyperlink" Target="https://www.sec.gov/Archives/edgar/data/1436126/000143612618000027/db3-13x18employmentagreeme.htm" TargetMode="External"/><Relationship Id="rId22" Type="http://schemas.openxmlformats.org/officeDocument/2006/relationships/hyperlink" Target="https://www.sec.gov/Archives/edgar/data/1436126/000143612623000024/exhibit102-q12023.htm" TargetMode="External"/><Relationship Id="rId23" Type="http://schemas.openxmlformats.org/officeDocument/2006/relationships/hyperlink" Target="https://www.sec.gov/Archives/edgar/data/1436126/000143612623000011/wolkseparationagreementcon.htm" TargetMode="External"/><Relationship Id="rId24" Type="http://schemas.openxmlformats.org/officeDocument/2006/relationships/hyperlink" Target="https://www.sec.gov/Archives/edgar/data/1436126/000143612623000052/dalterioagreement.htm" TargetMode="External"/><Relationship Id="rId25" Type="http://schemas.openxmlformats.org/officeDocument/2006/relationships/hyperlink" Target="https://www.sec.gov/Archives/edgar/data/1436126/000143612623000042/mistras-interimceoemployme.htm" TargetMode="External"/><Relationship Id="rId26" Type="http://schemas.openxmlformats.org/officeDocument/2006/relationships/hyperlink" Target="https://www.sec.gov/Archives/edgar/data/1436126/000143612623000057/mistras-ceoseparationagree.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66980</Words>
  <Characters>376961</Characters>
  <CharactersWithSpaces>442449</CharactersWithSpaces>
  <Paragraphs>5127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