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wp:posOffset>
            </wp:positionH>
            <wp:positionV relativeFrom="paragraph">
              <wp:posOffset>-101600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wp:posOffset>
            </wp:positionH>
            <wp:positionV relativeFrom="paragraph">
              <wp:posOffset>-101600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36830</wp:posOffset>
            </wp:positionV>
            <wp:extent cx="3162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342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203"/>
        </w:trPr>
        <w:tc>
          <w:tcPr>
            <w:tcW w:w="29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79"/>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540"/>
        </w:trPr>
        <w:tc>
          <w:tcPr>
            <w:tcW w:w="2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1460" w:type="dxa"/>
            <w:vAlign w:val="bottom"/>
          </w:tcPr>
          <w:p>
            <w:pPr>
              <w:spacing w:after="0"/>
              <w:rPr>
                <w:sz w:val="24"/>
                <w:szCs w:val="24"/>
                <w:color w:val="auto"/>
              </w:rPr>
            </w:pPr>
          </w:p>
        </w:tc>
      </w:tr>
    </w:tbl>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61595</wp:posOffset>
            </wp:positionV>
            <wp:extent cx="31629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MG</w:t>
            </w:r>
          </w:p>
        </w:tc>
        <w:tc>
          <w:tcPr>
            <w:tcW w:w="10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tabs>
          <w:tab w:leader="none" w:pos="110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Times New Roman" w:cs="Times New Roman" w:eastAsia="Times New Roman" w:hAnsi="Times New Roman"/>
          <w:sz w:val="18"/>
          <w:szCs w:val="18"/>
          <w:color w:val="auto"/>
        </w:rPr>
        <w:t>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tabs>
          <w:tab w:leader="none" w:pos="110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Times New Roman" w:cs="Times New Roman" w:eastAsia="Times New Roman" w:hAnsi="Times New Roman"/>
          <w:sz w:val="18"/>
          <w:szCs w:val="18"/>
          <w:color w:val="auto"/>
        </w:rPr>
        <w:t>No</w:t>
      </w:r>
    </w:p>
    <w:p>
      <w:pPr>
        <w:spacing w:after="0" w:line="212" w:lineRule="exact"/>
        <w:rPr>
          <w:sz w:val="24"/>
          <w:szCs w:val="24"/>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spacing w:after="0"/>
              <w:rPr>
                <w:sz w:val="17"/>
                <w:szCs w:val="17"/>
                <w:color w:val="auto"/>
              </w:rPr>
            </w:pPr>
          </w:p>
        </w:tc>
        <w:tc>
          <w:tcPr>
            <w:tcW w:w="4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jc w:val="center"/>
              <w:ind w:left="350"/>
              <w:spacing w:after="0"/>
              <w:rPr>
                <w:sz w:val="20"/>
                <w:szCs w:val="20"/>
                <w:color w:val="auto"/>
              </w:rPr>
            </w:pPr>
            <w:r>
              <w:rPr>
                <w:rFonts w:ascii="Arial" w:cs="Arial" w:eastAsia="Arial" w:hAnsi="Arial"/>
                <w:sz w:val="18"/>
                <w:szCs w:val="18"/>
                <w:color w:val="auto"/>
              </w:rPr>
              <w:t>x</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spacing w:after="0"/>
              <w:rPr>
                <w:sz w:val="19"/>
                <w:szCs w:val="19"/>
                <w:color w:val="auto"/>
              </w:rPr>
            </w:pPr>
          </w:p>
        </w:tc>
        <w:tc>
          <w:tcPr>
            <w:tcW w:w="4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jc w:val="center"/>
              <w:ind w:left="3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jc w:val="center"/>
              <w:ind w:left="33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8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October 31, 2020, the registrant had 29,192,562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500" w:type="dxa"/>
            <w:vAlign w:val="bottom"/>
            <w:gridSpan w:val="16"/>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PART I—FINANCIAL INFORMATION</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418"/>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color w:val="0E32E1"/>
              </w:rPr>
            </w:pPr>
            <w:hyperlink w:anchor="page4">
              <w:r>
                <w:rPr>
                  <w:rFonts w:ascii="Times New Roman" w:cs="Times New Roman" w:eastAsia="Times New Roman" w:hAnsi="Times New Roman"/>
                  <w:sz w:val="18"/>
                  <w:szCs w:val="18"/>
                  <w:u w:val="single" w:color="auto"/>
                  <w:color w:val="0E32E1"/>
                </w:rPr>
                <w:t>Condensed Consolidated Balance Sheets as of</w:t>
              </w:r>
              <w:r>
                <w:rPr>
                  <w:rFonts w:ascii="Times New Roman" w:cs="Times New Roman" w:eastAsia="Times New Roman" w:hAnsi="Times New Roman"/>
                  <w:sz w:val="18"/>
                  <w:szCs w:val="18"/>
                  <w:color w:val="0E32E1"/>
                </w:rPr>
                <w:t xml:space="preserve"> </w:t>
              </w:r>
            </w:hyperlink>
            <w:r>
              <w:rPr>
                <w:rFonts w:ascii="Times New Roman" w:cs="Times New Roman" w:eastAsia="Times New Roman" w:hAnsi="Times New Roman"/>
                <w:sz w:val="18"/>
                <w:szCs w:val="18"/>
                <w:color w:val="0E32E1"/>
              </w:rPr>
              <w:t xml:space="preserve">September 30, 2020 </w:t>
            </w:r>
            <w:hyperlink w:anchor="page4">
              <w:r>
                <w:rPr>
                  <w:rFonts w:ascii="Times New Roman" w:cs="Times New Roman" w:eastAsia="Times New Roman" w:hAnsi="Times New Roman"/>
                  <w:sz w:val="18"/>
                  <w:szCs w:val="18"/>
                  <w:u w:val="single" w:color="auto"/>
                  <w:color w:val="0E32E1"/>
                </w:rPr>
                <w:t>(unaudited) and December 31, 2019</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color w:val="0E32E1"/>
              </w:rPr>
            </w:pPr>
            <w:hyperlink w:anchor="page4">
              <w:r>
                <w:rPr>
                  <w:rFonts w:ascii="Times New Roman" w:cs="Times New Roman" w:eastAsia="Times New Roman" w:hAnsi="Times New Roman"/>
                  <w:sz w:val="18"/>
                  <w:szCs w:val="18"/>
                  <w:u w:val="single" w:color="auto"/>
                  <w:color w:val="0E32E1"/>
                </w:rPr>
                <w:t>Unaudited Condensed Consolidated Statements of Income (Loss) for the</w:t>
              </w:r>
              <w:r>
                <w:rPr>
                  <w:rFonts w:ascii="Times New Roman" w:cs="Times New Roman" w:eastAsia="Times New Roman" w:hAnsi="Times New Roman"/>
                  <w:sz w:val="18"/>
                  <w:szCs w:val="18"/>
                  <w:color w:val="0E32E1"/>
                </w:rPr>
                <w:t xml:space="preserve"> </w:t>
              </w:r>
            </w:hyperlink>
            <w:r>
              <w:rPr>
                <w:rFonts w:ascii="Times New Roman" w:cs="Times New Roman" w:eastAsia="Times New Roman" w:hAnsi="Times New Roman"/>
                <w:sz w:val="18"/>
                <w:szCs w:val="18"/>
                <w:color w:val="0E32E1"/>
              </w:rPr>
              <w:t>three and nine months ended September 30, 2020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5980" w:type="dxa"/>
            <w:vAlign w:val="bottom"/>
            <w:gridSpan w:val="9"/>
          </w:tcPr>
          <w:p>
            <w:pPr>
              <w:spacing w:after="0" w:line="156" w:lineRule="exact"/>
              <w:rPr>
                <w:rFonts w:ascii="Times New Roman" w:cs="Times New Roman" w:eastAsia="Times New Roman" w:hAnsi="Times New Roman"/>
                <w:sz w:val="18"/>
                <w:szCs w:val="18"/>
                <w:color w:val="0E32E1"/>
              </w:rPr>
            </w:pPr>
            <w:hyperlink w:anchor="page4">
              <w:r>
                <w:rPr>
                  <w:rFonts w:ascii="Times New Roman" w:cs="Times New Roman" w:eastAsia="Times New Roman" w:hAnsi="Times New Roman"/>
                  <w:sz w:val="18"/>
                  <w:szCs w:val="18"/>
                  <w:u w:val="single" w:color="auto"/>
                  <w:color w:val="0E32E1"/>
                </w:rPr>
                <w:t>and</w:t>
              </w:r>
              <w:r>
                <w:rPr>
                  <w:rFonts w:ascii="Times New Roman" w:cs="Times New Roman" w:eastAsia="Times New Roman" w:hAnsi="Times New Roman"/>
                  <w:sz w:val="18"/>
                  <w:szCs w:val="18"/>
                  <w:color w:val="0E32E1"/>
                </w:rPr>
                <w:t xml:space="preserve"> </w:t>
              </w:r>
            </w:hyperlink>
            <w:r>
              <w:rPr>
                <w:rFonts w:ascii="Times New Roman" w:cs="Times New Roman" w:eastAsia="Times New Roman" w:hAnsi="Times New Roman"/>
                <w:sz w:val="18"/>
                <w:szCs w:val="18"/>
                <w:color w:val="0E32E1"/>
              </w:rPr>
              <w:t>September 30, 2019</w:t>
            </w:r>
          </w:p>
        </w:tc>
        <w:tc>
          <w:tcPr>
            <w:tcW w:w="420" w:type="dxa"/>
            <w:vAlign w:val="bottom"/>
            <w:tcBorders>
              <w:top w:val="single" w:sz="8" w:color="0E32E1"/>
            </w:tcBorders>
          </w:tcPr>
          <w:p>
            <w:pPr>
              <w:spacing w:after="0"/>
              <w:rPr>
                <w:sz w:val="13"/>
                <w:szCs w:val="13"/>
                <w:color w:val="auto"/>
              </w:rPr>
            </w:pPr>
          </w:p>
        </w:tc>
        <w:tc>
          <w:tcPr>
            <w:tcW w:w="15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color w:val="0E32E1"/>
              </w:rPr>
            </w:pPr>
            <w:hyperlink w:anchor="page5">
              <w:r>
                <w:rPr>
                  <w:rFonts w:ascii="Times New Roman" w:cs="Times New Roman" w:eastAsia="Times New Roman" w:hAnsi="Times New Roman"/>
                  <w:sz w:val="18"/>
                  <w:szCs w:val="18"/>
                  <w:u w:val="single" w:color="auto"/>
                  <w:color w:val="0E32E1"/>
                </w:rPr>
                <w:t>Unaudited Condensed Consolidated Statements of Comprehensive Income (Loss) for the</w:t>
              </w:r>
              <w:r>
                <w:rPr>
                  <w:rFonts w:ascii="Times New Roman" w:cs="Times New Roman" w:eastAsia="Times New Roman" w:hAnsi="Times New Roman"/>
                  <w:sz w:val="18"/>
                  <w:szCs w:val="18"/>
                  <w:color w:val="0E32E1"/>
                </w:rPr>
                <w:t xml:space="preserve"> </w:t>
              </w:r>
            </w:hyperlink>
            <w:r>
              <w:rPr>
                <w:rFonts w:ascii="Times New Roman" w:cs="Times New Roman" w:eastAsia="Times New Roman" w:hAnsi="Times New Roman"/>
                <w:sz w:val="18"/>
                <w:szCs w:val="18"/>
                <w:color w:val="0E32E1"/>
              </w:rPr>
              <w:t>three and nine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6400" w:type="dxa"/>
            <w:vAlign w:val="bottom"/>
            <w:gridSpan w:val="10"/>
          </w:tcPr>
          <w:p>
            <w:pPr>
              <w:spacing w:after="0" w:line="156" w:lineRule="exact"/>
              <w:rPr>
                <w:rFonts w:ascii="Times New Roman" w:cs="Times New Roman" w:eastAsia="Times New Roman" w:hAnsi="Times New Roman"/>
                <w:sz w:val="18"/>
                <w:szCs w:val="18"/>
                <w:color w:val="0E32E1"/>
              </w:rPr>
            </w:pPr>
            <w:r>
              <w:rPr>
                <w:rFonts w:ascii="Times New Roman" w:cs="Times New Roman" w:eastAsia="Times New Roman" w:hAnsi="Times New Roman"/>
                <w:sz w:val="18"/>
                <w:szCs w:val="18"/>
                <w:color w:val="0E32E1"/>
              </w:rPr>
              <w:t xml:space="preserve">September 30, 2020 </w:t>
            </w:r>
            <w:hyperlink w:anchor="page5">
              <w:r>
                <w:rPr>
                  <w:rFonts w:ascii="Times New Roman" w:cs="Times New Roman" w:eastAsia="Times New Roman" w:hAnsi="Times New Roman"/>
                  <w:sz w:val="18"/>
                  <w:szCs w:val="18"/>
                  <w:u w:val="single" w:color="auto"/>
                  <w:color w:val="0E32E1"/>
                </w:rPr>
                <w:t xml:space="preserve">and </w:t>
              </w:r>
            </w:hyperlink>
            <w:r>
              <w:rPr>
                <w:rFonts w:ascii="Times New Roman" w:cs="Times New Roman" w:eastAsia="Times New Roman" w:hAnsi="Times New Roman"/>
                <w:sz w:val="18"/>
                <w:szCs w:val="18"/>
                <w:color w:val="0E32E1"/>
              </w:rPr>
              <w:t>September 30, 2019</w:t>
            </w:r>
          </w:p>
        </w:tc>
        <w:tc>
          <w:tcPr>
            <w:tcW w:w="15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6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40" w:type="dxa"/>
            <w:vAlign w:val="bottom"/>
            <w:gridSpan w:val="2"/>
            <w:shd w:val="clear" w:color="auto" w:fill="0E32E1"/>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color w:val="0E32E1"/>
              </w:rPr>
            </w:pPr>
            <w:hyperlink w:anchor="page6">
              <w:r>
                <w:rPr>
                  <w:rFonts w:ascii="Times New Roman" w:cs="Times New Roman" w:eastAsia="Times New Roman" w:hAnsi="Times New Roman"/>
                  <w:sz w:val="18"/>
                  <w:szCs w:val="18"/>
                  <w:u w:val="single" w:color="auto"/>
                  <w:color w:val="0E32E1"/>
                </w:rPr>
                <w:t>Unaudited Condensed Consolidated Statements of Equity for the</w:t>
              </w:r>
              <w:r>
                <w:rPr>
                  <w:rFonts w:ascii="Times New Roman" w:cs="Times New Roman" w:eastAsia="Times New Roman" w:hAnsi="Times New Roman"/>
                  <w:sz w:val="18"/>
                  <w:szCs w:val="18"/>
                  <w:color w:val="0E32E1"/>
                </w:rPr>
                <w:t xml:space="preserve"> </w:t>
              </w:r>
            </w:hyperlink>
            <w:r>
              <w:rPr>
                <w:rFonts w:ascii="Times New Roman" w:cs="Times New Roman" w:eastAsia="Times New Roman" w:hAnsi="Times New Roman"/>
                <w:sz w:val="18"/>
                <w:szCs w:val="18"/>
                <w:color w:val="0E32E1"/>
              </w:rPr>
              <w:t xml:space="preserve">three and nine months ended September 30, 2020 </w:t>
            </w:r>
            <w:hyperlink w:anchor="page6">
              <w:r>
                <w:rPr>
                  <w:rFonts w:ascii="Times New Roman" w:cs="Times New Roman" w:eastAsia="Times New Roman" w:hAnsi="Times New Roman"/>
                  <w:sz w:val="18"/>
                  <w:szCs w:val="18"/>
                  <w:u w:val="single" w:color="auto"/>
                  <w:color w:val="0E32E1"/>
                </w:rPr>
                <w:t>and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466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E32E1"/>
              </w:rPr>
              <w:t>September 30, 2019</w:t>
            </w:r>
          </w:p>
        </w:tc>
        <w:tc>
          <w:tcPr>
            <w:tcW w:w="3260" w:type="dxa"/>
            <w:vAlign w:val="bottom"/>
            <w:tcBorders>
              <w:top w:val="single" w:sz="8" w:color="0E32E1"/>
            </w:tcBorders>
            <w:gridSpan w:val="4"/>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640" w:type="dxa"/>
            <w:vAlign w:val="bottom"/>
            <w:gridSpan w:val="3"/>
          </w:tcPr>
          <w:p>
            <w:pPr>
              <w:spacing w:after="0"/>
              <w:rPr>
                <w:sz w:val="13"/>
                <w:szCs w:val="13"/>
                <w:color w:val="auto"/>
              </w:rPr>
            </w:pPr>
          </w:p>
        </w:tc>
        <w:tc>
          <w:tcPr>
            <w:tcW w:w="680" w:type="dxa"/>
            <w:vAlign w:val="bottom"/>
          </w:tcPr>
          <w:p>
            <w:pPr>
              <w:jc w:val="right"/>
              <w:spacing w:after="0" w:line="15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40" w:type="dxa"/>
            <w:vAlign w:val="bottom"/>
            <w:gridSpan w:val="2"/>
            <w:shd w:val="clear" w:color="auto" w:fill="0E32E1"/>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color w:val="0E32E1"/>
              </w:rPr>
            </w:pPr>
            <w:hyperlink w:anchor="page7">
              <w:r>
                <w:rPr>
                  <w:rFonts w:ascii="Times New Roman" w:cs="Times New Roman" w:eastAsia="Times New Roman" w:hAnsi="Times New Roman"/>
                  <w:sz w:val="18"/>
                  <w:szCs w:val="18"/>
                  <w:color w:val="0E32E1"/>
                </w:rPr>
                <w:t xml:space="preserve">Unaudited Condensed Consolidated Statements of Cash Flows for the </w:t>
              </w:r>
            </w:hyperlink>
            <w:r>
              <w:rPr>
                <w:rFonts w:ascii="Times New Roman" w:cs="Times New Roman" w:eastAsia="Times New Roman" w:hAnsi="Times New Roman"/>
                <w:sz w:val="18"/>
                <w:szCs w:val="18"/>
                <w:color w:val="0E32E1"/>
              </w:rPr>
              <w:t xml:space="preserve">nine months ended September 30, 2020 </w:t>
            </w:r>
            <w:hyperlink w:anchor="page7">
              <w:r>
                <w:rPr>
                  <w:rFonts w:ascii="Times New Roman" w:cs="Times New Roman" w:eastAsia="Times New Roman" w:hAnsi="Times New Roman"/>
                  <w:sz w:val="18"/>
                  <w:szCs w:val="18"/>
                  <w:u w:val="single" w:color="auto"/>
                  <w:color w:val="0E32E1"/>
                </w:rPr>
                <w:t>and</w:t>
              </w:r>
            </w:hyperlink>
          </w:p>
        </w:tc>
        <w:tc>
          <w:tcPr>
            <w:tcW w:w="6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7920" w:type="dxa"/>
            <w:vAlign w:val="bottom"/>
            <w:tcBorders>
              <w:top w:val="single" w:sz="8" w:color="0E32E1"/>
            </w:tcBorders>
            <w:gridSpan w:val="11"/>
          </w:tcPr>
          <w:p>
            <w:pPr>
              <w:spacing w:after="0" w:line="156" w:lineRule="exact"/>
              <w:rPr>
                <w:sz w:val="20"/>
                <w:szCs w:val="20"/>
                <w:color w:val="auto"/>
              </w:rPr>
            </w:pPr>
            <w:r>
              <w:rPr>
                <w:rFonts w:ascii="Times New Roman" w:cs="Times New Roman" w:eastAsia="Times New Roman" w:hAnsi="Times New Roman"/>
                <w:sz w:val="18"/>
                <w:szCs w:val="18"/>
                <w:color w:val="0E32E1"/>
              </w:rPr>
              <w:t>September 30, 2019</w:t>
            </w:r>
          </w:p>
        </w:tc>
        <w:tc>
          <w:tcPr>
            <w:tcW w:w="980" w:type="dxa"/>
            <w:vAlign w:val="bottom"/>
            <w:gridSpan w:val="4"/>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440" w:type="dxa"/>
            <w:vAlign w:val="bottom"/>
            <w:gridSpan w:val="2"/>
            <w:shd w:val="clear" w:color="auto" w:fill="0E32E1"/>
          </w:tcPr>
          <w:p>
            <w:pPr>
              <w:spacing w:after="0" w:line="20" w:lineRule="exact"/>
              <w:rPr>
                <w:sz w:val="1"/>
                <w:szCs w:val="1"/>
                <w:color w:val="auto"/>
              </w:rPr>
            </w:pPr>
          </w:p>
        </w:tc>
        <w:tc>
          <w:tcPr>
            <w:tcW w:w="746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00" w:type="dxa"/>
            <w:vAlign w:val="bottom"/>
          </w:tcPr>
          <w:p>
            <w:pPr>
              <w:spacing w:after="0"/>
              <w:rPr>
                <w:sz w:val="24"/>
                <w:szCs w:val="24"/>
                <w:color w:val="auto"/>
              </w:rPr>
            </w:pPr>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2.</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30</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ITEM 3.</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Quantitative and Qualitative Disclosures about Market Risk</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40</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ITEM 4</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Controls and Procedures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40</w:t>
              </w:r>
            </w:hyperlink>
          </w:p>
        </w:tc>
        <w:tc>
          <w:tcPr>
            <w:tcW w:w="0" w:type="dxa"/>
            <w:vAlign w:val="bottom"/>
          </w:tcPr>
          <w:p>
            <w:pPr>
              <w:spacing w:after="0"/>
              <w:rPr>
                <w:sz w:val="1"/>
                <w:szCs w:val="1"/>
                <w:color w:val="auto"/>
              </w:rPr>
            </w:pPr>
          </w:p>
        </w:tc>
      </w:tr>
      <w:tr>
        <w:trPr>
          <w:trHeight w:val="459"/>
        </w:trPr>
        <w:tc>
          <w:tcPr>
            <w:tcW w:w="10500" w:type="dxa"/>
            <w:vAlign w:val="bottom"/>
            <w:gridSpan w:val="16"/>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PART II—OTHER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1.</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Legal Proceedings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ITEM 1.A.</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Risk Factors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2.</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Unregistered Sales of Equity Securities and Use of Proceeds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3.</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Defaults Upon Senior Securities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4.</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Mine Safety Disclosures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5.</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Other Information</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459"/>
        </w:trPr>
        <w:tc>
          <w:tcPr>
            <w:tcW w:w="1600" w:type="dxa"/>
            <w:vAlign w:val="bottom"/>
          </w:tcPr>
          <w:p>
            <w:pPr>
              <w:ind w:left="48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6.</w:t>
              </w:r>
            </w:hyperlink>
          </w:p>
        </w:tc>
        <w:tc>
          <w:tcPr>
            <w:tcW w:w="8900" w:type="dxa"/>
            <w:vAlign w:val="bottom"/>
            <w:gridSpan w:val="15"/>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Exhibits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44</w:t>
              </w:r>
            </w:hyperlink>
          </w:p>
        </w:tc>
        <w:tc>
          <w:tcPr>
            <w:tcW w:w="0" w:type="dxa"/>
            <w:vAlign w:val="bottom"/>
          </w:tcPr>
          <w:p>
            <w:pPr>
              <w:spacing w:after="0"/>
              <w:rPr>
                <w:sz w:val="1"/>
                <w:szCs w:val="1"/>
                <w:color w:val="auto"/>
              </w:rPr>
            </w:pPr>
          </w:p>
        </w:tc>
      </w:tr>
      <w:tr>
        <w:trPr>
          <w:trHeight w:val="459"/>
        </w:trPr>
        <w:tc>
          <w:tcPr>
            <w:tcW w:w="1600" w:type="dxa"/>
            <w:vAlign w:val="bottom"/>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SIGNATURES</w:t>
              </w:r>
            </w:hyperlink>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135,997</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719,878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248,120</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42,163</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433,856</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29,191,876 and 28,945,472 shares issued</w:t>
            </w: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77,613</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5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569,595</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126,014</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3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88"/>
        </w:trPr>
        <w:tc>
          <w:tcPr>
            <w:tcW w:w="45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w:t>
            </w:r>
          </w:p>
        </w:tc>
        <w:tc>
          <w:tcPr>
            <w:tcW w:w="10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Mistras</w:t>
            </w:r>
          </w:p>
        </w:tc>
        <w:tc>
          <w:tcPr>
            <w:tcW w:w="100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(104,564)</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07"/>
        </w:trPr>
        <w:tc>
          <w:tcPr>
            <w:tcW w:w="45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Group, Inc.</w:t>
            </w: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4"/>
                <w:szCs w:val="4"/>
                <w:color w:val="auto"/>
              </w:rPr>
            </w:pPr>
          </w:p>
        </w:tc>
        <w:tc>
          <w:tcPr>
            <w:tcW w:w="94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4"/>
                <w:szCs w:val="4"/>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earnings</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176,463</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233,267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185,321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185,527</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228,883</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73,691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(21,777)</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281,083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281,279</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Net settlement of options and restricted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units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278,346</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4"/>
                <w:szCs w:val="24"/>
                <w:color w:val="auto"/>
              </w:rPr>
            </w:pPr>
          </w:p>
        </w:tc>
        <w:tc>
          <w:tcPr>
            <w:tcW w:w="1880" w:type="dxa"/>
            <w:vAlign w:val="bottom"/>
            <w:gridSpan w:val="3"/>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Total Mistras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Group, Inc.</w:t>
            </w:r>
          </w:p>
        </w:tc>
        <w:tc>
          <w:tcPr>
            <w:tcW w:w="100" w:type="dxa"/>
            <w:vAlign w:val="bottom"/>
          </w:tcPr>
          <w:p>
            <w:pPr>
              <w:spacing w:after="0"/>
              <w:rPr>
                <w:sz w:val="4"/>
                <w:szCs w:val="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285,822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286,022</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(99,634)</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(4,926)</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29,192</w:t>
            </w:r>
          </w:p>
        </w:tc>
        <w:tc>
          <w:tcPr>
            <w:tcW w:w="1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292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233,267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185,321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185,527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271,074</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5,244</w:t>
            </w: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1120" w:type="dxa"/>
            <w:vAlign w:val="bottom"/>
            <w:gridSpan w:val="2"/>
            <w:vMerge w:val="continue"/>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278,346</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188"/>
        </w:trPr>
        <w:tc>
          <w:tcPr>
            <w:tcW w:w="736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r>
      <w:tr>
        <w:trPr>
          <w:trHeight w:val="218"/>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r>
      <w:tr>
        <w:trPr>
          <w:trHeight w:val="189"/>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26,759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28,540</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charges</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106,062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adjustments to contingent consideration</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20,319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payable</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r>
      <w:tr>
        <w:trPr>
          <w:trHeight w:val="18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41,791</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40,476</w:t>
            </w:r>
          </w:p>
        </w:tc>
      </w:tr>
      <w:tr>
        <w:trPr>
          <w:trHeight w:val="18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(17,275)</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10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r>
      <w:tr>
        <w:trPr>
          <w:trHeight w:val="18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(21,628)</w:t>
            </w:r>
          </w:p>
        </w:tc>
      </w:tr>
      <w:tr>
        <w:trPr>
          <w:trHeight w:val="18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borrowings of long-term debt</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revolver</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revolver</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(38,500)</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financing costs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189"/>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3"/>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(25,077)</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(29,521)</w:t>
            </w:r>
          </w:p>
        </w:tc>
      </w:tr>
      <w:tr>
        <w:trPr>
          <w:trHeight w:val="18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r>
      <w:tr>
        <w:trPr>
          <w:trHeight w:val="18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15,016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25,544</w:t>
            </w:r>
          </w:p>
        </w:tc>
      </w:tr>
      <w:tr>
        <w:trPr>
          <w:trHeight w:val="1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22,116</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14,372</w:t>
            </w:r>
          </w:p>
        </w:tc>
      </w:tr>
      <w:tr>
        <w:trPr>
          <w:trHeight w:val="178"/>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4"/>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9,944</w:t>
            </w:r>
          </w:p>
        </w:tc>
      </w:tr>
      <w:tr>
        <w:trPr>
          <w:trHeight w:val="189"/>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r>
      <w:tr>
        <w:trPr>
          <w:trHeight w:val="18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8"/>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6"/>
                <w:szCs w:val="16"/>
                <w:color w:val="auto"/>
              </w:rPr>
            </w:pP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5,536</w:t>
            </w:r>
          </w:p>
        </w:tc>
      </w:tr>
    </w:tbl>
    <w:p>
      <w:pPr>
        <w:spacing w:after="0" w:line="33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in the oil and gas, aerospace and defense, power generation,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IoT-connected digital software and monitoring solutions. 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coronavirus (COVID-19) as a pandemic, which continues to infect the population throughout the United States and most other parts of the world.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experienced a significant decline. In response to various factors surrounding the COVID-19 pandemic and, in the case of the oil and gas market, other macroeconomic events, companies within the oil and gas and aerospace industries (including our customers) have reduced spending and/or slowed down (or temporarily ceased) production. This, in turn, resulted in decreases in awards of new contracts or adjustments, reductions, suspensions or cancellations of existing contracts.</w:t>
      </w:r>
    </w:p>
    <w:p>
      <w:pPr>
        <w:spacing w:after="0" w:line="21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COVID-19 pandemic, significant volatility in oil prices and decreased traffic in the aerospace industry have adversely affected the Company's workforce and operations, as well as the operations of the Company's customers, suppliers and contractors. These negative factors have also resulted in significant volatility and uncertainty in the markets in which the Company operates. To successfully navigate through this unprecedented period, the Company continues to focus on the following key priorities:</w:t>
      </w:r>
    </w:p>
    <w:p>
      <w:pPr>
        <w:spacing w:after="0" w:line="26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health and safety of its employees and those of its customers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business continuity and financial strength and stability;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its customers as they provide essential products and services to the world.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Company cannot fully assess the impact that the factors discussed above will have on its operations at this time, there are certain impacts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identified:</w:t>
      </w:r>
    </w:p>
    <w:p>
      <w:pPr>
        <w:spacing w:after="0" w:line="288" w:lineRule="exact"/>
        <w:rPr>
          <w:sz w:val="20"/>
          <w:szCs w:val="20"/>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market volatility that resulted from COVID-19 and the volatility in oil prices required the Company to reassess the goodwill it had recorded related to various prior acquisitions under the guidance of ASC 350 during the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first quarter of 2020. The Company determined that the fair values of various reporting units were less than their carrying values (including goodwill). As a result, the Company recorded an impairment charge related to goodwill of approximately $77.1 million during the three months ended March 31, 2020. See Note 8-</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ind w:left="660" w:right="40" w:hanging="328"/>
        <w:spacing w:after="0" w:line="261"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same events required the Company to reassess the tangible and intangible assets recorded under the guidance of ASC 360 during the first quarter of 2020. The Company determined that the fair values of certain asset groups were less than their carrying values (excluding goodwill). As a result, the Company recorded impairment charges related to intangible assets of approximately $28.8 million and a right-of-use asset of approximately $0.2 million during the three months ended March 31, 2020. See Note 9-</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and Note 13-</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To respond to the economic downturn resulting from the factors discussed above, in March 2020 the Company initiated a cost reduction and efficiency program. As part of this program, named executive officers of the Company took voluntarily temporary salary reductions ranging from 25% to 45% of their base salary. In addition, the Company instituted a reduction for certain other salaried employees, at lower percentages, and suspended the Company's voluntary match under the Company sponsored savings plans for its U.S. and Canadian employees. These reductions became effective at the beginning of the second quarter of 2020 and, except for the salary reductions for certain lower salaried employees, continued through the end of the third quarter of</w:t>
      </w:r>
    </w:p>
    <w:p>
      <w:pPr>
        <w:spacing w:after="0" w:line="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2020. In addition, the Company’s non-employee directors voluntarily agreed to a $3,750 reduction in their second and third quarter 2020 director's fee payments. Beginning in the fourth quarter of 2020, all salary and director fee reductions were removed and pay levels were returned to first quarter levels, though certain other cost reduction measures have remained in place.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may have on its business, results of operations or liquidity or in other ways which the Company cannot yet determine. The Company will continue to monitor market conditions and respond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In the opinion of management, the Unaudited Condensed Consolidated Financial Statements include all adjustments, which are of a normal recurring nature, necessary for a fair presentation of the results for the interim periods of the years ending December 31, 2020 and December 31, 2019.</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 w:lineRule="exact"/>
        <w:rPr>
          <w:sz w:val="20"/>
          <w:szCs w:val="20"/>
          <w:color w:val="auto"/>
        </w:rPr>
      </w:pPr>
    </w:p>
    <w:p>
      <w:pPr>
        <w:ind w:left="660" w:hanging="328"/>
        <w:spacing w:after="0" w:line="23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became the primary beneficiary in July 2020 of a VIE in which the Company has a 49% interest in a limited partnership, and a 49% shareholder in the corporate general partner of the limited partnership. The Company consolidated the financial statements of the VIE with the financial statements of the Company. As of and the for the three months ended September 30, 2020, the VIE had no assets nor did it have any revenue. The Company is the primary sub-contractor of the VIE.</w:t>
      </w:r>
    </w:p>
    <w:p>
      <w:pPr>
        <w:spacing w:after="0" w:line="2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Consolidated Financial Statements contained in the Company's 2019 Annual Report on Form 10-K ("2019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nine months ended September 30, 2020 and 2019, no customer represented 10% or more of the Company's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2019 Annual Report. On an ongoing basis, the Company evaluates its estimates and assumptions, including among other things, those related to revenue recognition, long-lived assets, goodwill and acquisitions. Since the date of the 2019 Annual Report, there have been no material changes to the Company's significant accounting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 (Loss). ASC 740-270, Income Taxes-Interim Reporting, requires the Company to use an estimated annual effective tax rate (EAETR) for calculating its tax provision for interim periods. At each interim period, the Company is required, with certain exceptions and limitations, to estimate its forecasted worldwide EAETR, which is applied to the Company's year-to-date consolidated ordinary income or loss resulting in the year-to-date income tax provision before considering items not included in ordinary income or loss. The tax effects of events or transactions not considered to represent ordinary income or loss are accounted for discretely in the interim period and are not included in the determination of the EAETR.</w:t>
      </w:r>
    </w:p>
    <w:p>
      <w:pPr>
        <w:spacing w:after="0" w:line="2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the Coronavirus Aid, Relief and Economic Security Act (“CARES Act”) was signed into law on March 27, 2020. The CARES Act, among other things, includes tax provisions relating to deferment of employer’s social security payments, net operating loss utilization and carryback periods, modifications to the net interest deduction limitations and technical corrections to tax depreciation methods for qualified improvement property (QIP). The ultimate impact of the CARES Act may differ from the estimated impact the Company recorded during this interim period due to changes in interpretations and guidance that may be issued and actions the Company may take in response to the CARES Act. The Company will continue to assess the impact that various provisions of the CARES Act, and how they are interpreted and effected, will have on its business.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its deferred tax assets each period to determine if a valuation allowance is required based on whether it is more likely than not that some portion of these deferred tax assets will not be realized. As of September 30, 2020, management concluded that it is more likely than not that a substantial portion of the Company's deferred tax assets will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 realized. As part of the Company's analysis, it considered both positive and negative factors that impact profitability and whether those factors would lead to a change in the estimate of the Company's deferred tax assets that may be realized in the future.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effective income tax rate was approximately 26% and 61% for the three months ended September 30, 2020 and 2019, respectively. The Company’s effective income tax rate was approximately 14% and 55% for the nine months ended September 30, 2020 and 2019, respectively. The effective income tax rate for the third quarter of 2020 was greater than the statutory rate due to the unfavorable impact of taxes in other jurisdictions and other permanent book to tax differences offset by the favorable impact of the CARES act. The effective income tax rate for the first nine-months of 2020 was lower than the statutory rate primarily due to impairments for which the Company will not realize income tax benefits, partially offset by income tax benefits of the CARES Act. The CARES Act provides a five-year carryback of net operating losses generated in years 2018 through 2020. As the statutory federal income tax rate applicable to certain years within the carryback period is 35%, carryback to those years of the Company's estimated 2020 annual federal tax loss provides a tax benefit in excess of the current federal statutory rate of 21%, resulting in an increased income tax benefit. The Company projects that the income tax effects of the CARES Act will result in additional income tax benefit recognized throughout the 2020 tax year and a cash refund in 2021 of taxes paid in prior years. The effective income tax rate for the three and nine months ended September 30, 2019 was higher than the statutory rate due to the impact of discrete items, the global intangible low-taxed income (GILTI), executive compensation, other provisions resulting from the December 22, 2017 passage of the Tax Cuts and Jobs Act and foreign tax rates different than statutory rates in the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ASU 2019-12 simplifies the accounting for income taxes by eliminating certain exceptions related to the approach for intra-period tax allocation, the methodology for calculating income taxes in an interim period, and the recognition of deferred tax liabilities related to outside basis differences. The standard is effective for interim and annual periods beginning January 1, 2021, with certain amendments applied prospectively and others requiring retrospective application. Early adoption is permitted, with any adjustments reflected as of the beginning of the fiscal year of adoption. If early adoption is elected, all changes as a result of the standard must be adopted in the same period. The Company is currently evaluating the impact of this guidance on its consolidated financial position, results of operations, and cash flows.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the impact of this guidance on its consolidated financial position, results of operations, and cash flows.</w:t>
      </w: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which are generally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the Company's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the Company's contracts have multiple performance obligations, most commonly due to the contract providing both goods and services.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a relative selling price based on price lists.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recognized over time as work progresses is related to its service deliverables, which includes providing testing, inspection and mechanical services to the Company's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 are short-term in nature. The Company has many master service agreements (MSAs) that specify an overall framework and contract terms when the Company and customers agree upon services or products to be provided. The actual contracting to provide services or furnish products is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81,995</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147,894</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9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112,559</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21,571</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192,192</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5"/>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241,179</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54,860</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23,229</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(5,110)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(5,110)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431,794</w:t>
            </w:r>
          </w:p>
        </w:tc>
      </w:tr>
      <w:tr>
        <w:trPr>
          <w:trHeight w:val="21"/>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9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335,280</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71,568</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21,684</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7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126,409</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35"/>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53,167</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7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374,150</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88,228</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97,244</w:t>
            </w: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Condensed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2020 and 2019 that was included in the contract liability balance at the beginning of such year was $4.4 million and $3.4 million, respectively. Changes in the contract asset and liability balances during these periods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 million, for a total of 3.7 million shares that may be issued under the 2016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the Company did not recognize any share-based compensation expense related to stock option awards, as all outstanding stock options awards were then already fully vested. No unrecognized compensation costs remained related to stock option awards as of September 30, 2020.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September 30, 2020 and September 30, 2019:</w:t>
      </w:r>
    </w:p>
    <w:p>
      <w:pPr>
        <w:ind w:left="69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6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9"/>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and September 30, 2019, the Company recognized share-based compensation expense related to restricted stock unit awards of $1.1 million and $1.0 million, respectively. For the nine months ended September 30, 2020 and September 30, 2019, the Company recognized share-based compensation expense related to restricted stock unit awards of $3.2 million and $3.0 million, respectively. As of September 30, 2020, there was $5.5 million of unrecognized compensation costs, net of estimated forfeitures, related to restricted stock unit awards, which is expected to be recognized over a remaining weighted-average period of 2.4 years. Upon vesting, restricted stock units are generally net share-settled to cover the required withholding tax and the remaining amount is converted into an equivalent number of shares of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106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bl>
    <w:p>
      <w:pPr>
        <w:spacing w:after="0" w:line="328" w:lineRule="exact"/>
        <w:rPr>
          <w:sz w:val="20"/>
          <w:szCs w:val="20"/>
          <w:color w:val="auto"/>
        </w:rPr>
      </w:pPr>
    </w:p>
    <w:p>
      <w:pPr>
        <w:ind w:right="680"/>
        <w:spacing w:after="0" w:line="270"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issued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562"/>
        </w:trPr>
        <w:tc>
          <w:tcPr>
            <w:tcW w:w="66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w w:val="99"/>
              </w:rPr>
              <w:t>A summary of the Company's outstanding, non-vested restricted share units is as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5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60" w:type="dxa"/>
            <w:vAlign w:val="bottom"/>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98"/>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 For 2019,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2020, the Compensation Committee changed the criteria for the PRSUs to four metrics, with no discretionary portion. Revenue and Adjusted EBITDAS are being retained, and two additional metrics, free cash flow as a percentage of revenue and return on average book equity, will replace Operating Income. These two newly-added metrics are relative metrics, the performance of which are based upon how the Company performs relative to a peer group.</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equity-classified.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0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2020 and September 30, 2019, the Compensation Committee approved the final calculation of the award metrics for calendar year 2019 and calendar year 2018, respectively. As a result, the calendar year 2019 PRSUs increased by approximately 1,000 units and the calendar year 2018 PRSUs decreased by approximately 3,000 units. Calendar year 2020 PRSUs decreased by 146,000 units during the nine months ended September 30, 2020 based on forecasted results for calendar year 2020. Calendar year 2019 PRSUs decreased approximately 33,000 units during the nine months ended September 30, 2019 based on forecasted results for calendar year 2019.</w:t>
      </w: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2020 and September 30, 2019, the Company recognized aggregate share-based compensation expense related to the awards described above of approximately $0.2 million and $0.5 million, respectively. For the nine months ended September 30, 2020 and September 30, 2019, the Company recognized aggregate share-based compensation expense related to the awards described above of approximately $0.8 million and $1.2 million, respectively. At September 30, 2020, there was $1.3 million of total unrecognized compensation costs related to approximately 329,000 non-vested PRSUs, which is expected to be recognized over a remaining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34"/>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Dilutive effect of restricted stock units outstanding</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3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80" w:hanging="172"/>
        <w:spacing w:after="0" w:line="236" w:lineRule="auto"/>
        <w:tabs>
          <w:tab w:leader="none" w:pos="183"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nine months ended September 30, 2020, 213 thousand shares related to restricted stock were excluded from the calculation of diluted EPS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 and Dispositions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did not complete any acquisitions during the nine months ended September 30, 2020. During September 2019, the Company completed one acquisition that provides pipeline integrity management software and services to energy transportation companies. The Company acquired all the equity interest of the acquiree in exchange for aggregate consideration of $4.4 million in cash, contingent consideration of up to $4.3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deductible for tax purposes. The Company accounted for this transaction in accordance with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fair value of the assets acquired and liabilities assumed, the Company's allocation of purchase price and any subsequent adjustments made for the September 2019 acquisition: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3"/>
        </w:trPr>
        <w:tc>
          <w:tcPr>
            <w:tcW w:w="9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9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net assets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29"/>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48"/>
        </w:trPr>
        <w:tc>
          <w:tcPr>
            <w:tcW w:w="9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nine months ended September 30, 2020 and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48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39"/>
        </w:trPr>
        <w:tc>
          <w:tcPr>
            <w:tcW w:w="80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48"/>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had $20.5 million and $22.2 million of unbilled revenue accrued as of September 30, 2020 and December 31, 2019, respectively. These amounts are included in the trade accounts receivable balances above. Unbilled revenue is generally billed in the subsequent quarter to their revenue recognition.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 was contracted to perform inspections of welds on various pipeline projects in Texas for a customer. As of September 30, 2020,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Accordingly, the Company recorded a reserve of $0.3 million during the three months ended September 30, 2019 and $1.1 million during the three months ended December 31, 2019 for these past due receivables. The status of this situation has not changed during 2020. See Note 14-</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additional details.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Company recorded a reserve of $0.7 million for a renewable energy industry customer, based in part on the available information about the financial difficulties of the customer. During the first quarter of 2019, the Company recorded an additional charge of $5.7 million to fully reserve for the amount of the exposure related to this customer. This customer filed for a voluntary insolvency proceeding on April 9, 2019. During the second quarter of 2019, the Company reversed $1.0 million of this reserve based on additional information obtained during the quarter. The status of the dispute has not changed since the second quarter of 2019.</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3"/>
                <w:szCs w:val="13"/>
                <w:color w:val="auto"/>
              </w:rPr>
            </w:pPr>
          </w:p>
        </w:tc>
        <w:tc>
          <w:tcPr>
            <w:tcW w:w="13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9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225,974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270,410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(171,803)</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2020 and 2019 was approximately $6.2 million and $5.8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nine months ended September 30, 2020 and 2019 was $18.3 million and $18.0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282,410</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(77,089)</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186,453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201,623</w:t>
            </w:r>
          </w:p>
        </w:tc>
      </w:tr>
      <w:tr>
        <w:trPr>
          <w:trHeight w:val="21"/>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based on the triggering events noted above.</w:t>
      </w:r>
    </w:p>
    <w:p>
      <w:pPr>
        <w:spacing w:after="0" w:line="21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1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Based upon the results of the interim quantitative goodwill impairment test during the first quarter of 2020, the Company recorded an aggregate impairment charge of $77.1 million, which included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Unaudited Condensed Consolidated Statements of Income (Loss) for the nine months ended September 30, 2020. Subsequent to March 31, 2020 through September 30, 2020,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cumulative goodwill impairment as of September 30, 2020 was $100.2 million, of which $57.2 million related to the Services segment, $29.8 million related to the International segment and $13.2 million related to the Products and Systems segment. The Company's cumulative goodwill impairment as of December 31, 2019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7"/>
              <w:spacing w:after="0" w:line="134"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117"/>
              <w:spacing w:after="0" w:line="134"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88"/>
        </w:trPr>
        <w:tc>
          <w:tcPr>
            <w:tcW w:w="174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46,008</w:t>
            </w:r>
          </w:p>
        </w:tc>
        <w:tc>
          <w:tcPr>
            <w:tcW w:w="0" w:type="dxa"/>
            <w:vAlign w:val="bottom"/>
          </w:tcPr>
          <w:p>
            <w:pPr>
              <w:spacing w:after="0"/>
              <w:rPr>
                <w:sz w:val="1"/>
                <w:szCs w:val="1"/>
                <w:color w:val="auto"/>
              </w:rPr>
            </w:pP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59,158</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Covenants not to</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compete</w:t>
            </w: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48"/>
        </w:trPr>
        <w:tc>
          <w:tcPr>
            <w:tcW w:w="1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109,537</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As described in Note 8-</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during the first quarter of 2020, there were negative market indicators that were determined to be triggering events indicating a potential impairment of certain long-lived assets within asset groups in the Services, International, Products and Corporate segments.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13-</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included $25.9 million to software/technology, $2.2 million to customer relationships, $0.5 million to other intangibles and $0.2 million to covenants not to compete, all of which are in the Services reporting unit within the Services segment and are included in Impairment charges on the Unaudited Condensed Consolidated Statements of Income (Loss) for the nine months ended September 30, 2020.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September 30, 2020 and 2019 was approximately $2.6 million and $3.4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nine months ended September 30, 2020 and 2019 was $8.5 million and $10.5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39"/>
        </w:trPr>
        <w:tc>
          <w:tcPr>
            <w:tcW w:w="80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23"/>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81,389</w:t>
            </w:r>
          </w:p>
        </w:tc>
        <w:tc>
          <w:tcPr>
            <w:tcW w:w="0" w:type="dxa"/>
            <w:vAlign w:val="bottom"/>
          </w:tcPr>
          <w:p>
            <w:pPr>
              <w:spacing w:after="0"/>
              <w:rPr>
                <w:sz w:val="1"/>
                <w:szCs w:val="1"/>
                <w:color w:val="auto"/>
              </w:rPr>
            </w:pPr>
          </w:p>
        </w:tc>
      </w:tr>
      <w:tr>
        <w:trPr>
          <w:trHeight w:val="21"/>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39"/>
        </w:trPr>
        <w:tc>
          <w:tcPr>
            <w:tcW w:w="80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$0.3 million and $0.1 million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23"/>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254,713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23"/>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248,120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 credit agreement with its banking group ("Credit Agreement") which provides the Company with a revolving line of credit and a $100 million senior secured term loan A facility. Pursuant to the Amendment described below, the revolving line of credit was reduced from $300 million to $175 million. Both the revolving line of credit and the term loan A facility under the Credit Agreement have a maturity date of December 12, 2023.</w:t>
      </w:r>
    </w:p>
    <w:p>
      <w:pPr>
        <w:spacing w:after="0" w:line="20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May 15, 2020, the Company entered into the Third Amendment (the “Amendment”) to the Credit Agreement. The amendment was needed because the Company determined that as a result of the uncertain impact of the COVID-19 pandemic and the significant drop in oil prices, it would not meet the then existing financial covenants in the Credit Agreement for upcoming quarters. Accordingly, the Amendment modified the financial covenants to provide for:</w:t>
      </w:r>
    </w:p>
    <w:p>
      <w:pPr>
        <w:spacing w:after="0" w:line="2" w:lineRule="exact"/>
        <w:rPr>
          <w:sz w:val="20"/>
          <w:szCs w:val="20"/>
          <w:color w:val="auto"/>
        </w:rPr>
      </w:pPr>
    </w:p>
    <w:p>
      <w:pPr>
        <w:ind w:right="40" w:firstLine="8"/>
        <w:spacing w:after="0" w:line="251" w:lineRule="auto"/>
        <w:tabs>
          <w:tab w:leader="none" w:pos="1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Funded Debt Leverage Ratio (as defined in the Credit Agreement) for the quarters ended June 30 and September 30, 2020 and increased the Funded Debt Leverage ratio to no greater than 5.25 to 1 beginning for the quarter ending December 31, 2020 and decreasing each successive quarter to no greater than 3.50 to 1 for the quarter ended September 30, 2021, and all quarterly periods thereafter; ii) an elimination of the minimum Fixed Charge Coverage Ratio (as defined in the Credit Agreement for the quarters ended June 30, September 30 and December 31, 2020), a decrease to 1.0 to 1 for the quarter ending March 31, 2021 and returning to 1.25 to 1 for the quarter ending June 30, 2021 and thereafter; iii) the addition of a minimum EBITDA covenant requiring $3.44 million for the three months ending June 30, 2020, $24.25 million for the six months ending September 30, 2020, and $38.55 million for the nine months ending December 31, 2020, with no requirement thereafter; and iv) the addition of a minimum Liquidity (as defined in the Amendment) covenant of not less than $20.0 million at all times through September 30, 2020 and ceasing thereafter. In addition, the Amendment set a LIBOR floor of 1.0% applicable to all LIBOR loans, and increased the LIBOR margin range to 1.50% to 4.15%, in addition to certain other modifications of the Credit Agreement. The Amendment also requires that the Company promptly prepay the outstanding amount under the revolving credit facility in an amount equal to the difference between (a) the aggregate sum of cash and cash equivalents of the Company and its subsidiaries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held in the United States minus (b) $10.0 million if, for a period of two (2) consecutive business days, (i) the outstanding amount under the revolving credit facility exceeds $75.0 million and (ii) the sum of such cash and cash equivalents exceeds $10.0 million.</w:t>
      </w:r>
    </w:p>
    <w:p>
      <w:pPr>
        <w:spacing w:after="0" w:line="13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Credit Amendment, as amended, provides that the Company may not make any acquisitions prior to June 30, 2021, and thereafter only if the Company's Funded Debt Leverage Ratio is less than 2.50 to 1, and after giving effect to such acquisition, its pro forma Funded Debt Leverage Ratio will not be greater than 3.25 to 1. The Credit Agreement also limits the Company’s ability to, among other things, create liens, make investments, incur more indebtedness, merge or consolidate, make dispositions of property, pay dividends and make distributions to stockholders or repurchase its stock, enter into a new line of business, enter into transactions with affiliates and enter into burdensome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borrow up to $100 million in non-U.S. Dollar currencies and use up to $20 million of the credit limit for the issuance of letters of credit.</w:t>
      </w:r>
    </w:p>
    <w:p>
      <w:pPr>
        <w:spacing w:after="0" w:line="23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of September 30, 2020, the Company had borrowings of $226.4 million and a total of $4.3 million of letters of credit outstanding under the Credit Agreement. The Company has capitalized costs associated with debt modifications of $1.2 million as of September 30, 2020, which is included in Other Assets on the Condensed Consolidated Balance Sheets. The Amendment reduced the Company's total available loan capacity, amongst other things, and as a result, the Company expensed approximately $0.6 million in capitalized debt issuance costs during the second quarter of 2020, which was included in Selling, general and administrative expenses on the Unaudited Condensed Consolidated Statements of Income (Loss).</w:t>
      </w:r>
    </w:p>
    <w:p>
      <w:pPr>
        <w:spacing w:after="0" w:line="212"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As of September 30, 2020, the Company was in compliance with the terms of the Credit Agreement, as amended, and will continuously monitor its compliance with the covenants contained in its Credit Agreement. The Company believes that it is probable, based on the amended covenants, that the Company will be able to comply with the financial covenants in the Credit Agreement as modified by the Amendment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local bank financing provided at the local subsidiary level used to support working capital requirements and fund capital expenditures. At September 30, 2020, there was an aggregate of approximately $10.1 million outstanding, payable at various times through 2030. Monthly payments range from $1 thousand to $17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liability</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Condensed Consolidated Balance Sheets includes the following related to operating leases: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3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9"/>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w:t>
            </w:r>
          </w:p>
        </w:tc>
      </w:tr>
      <w:tr>
        <w:trPr>
          <w:trHeight w:val="37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ROU - current</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30"/>
        </w:trPr>
        <w:tc>
          <w:tcPr>
            <w:tcW w:w="4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ROU liability - long-term</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36,750</w:t>
            </w: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ROU liabilities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Included within the balance of operating leases is a lease for the Company’s headquarters which is with a related party. The ROU liability for this facility was approximately $4.0 million and $4.5 million as of September 30, 2020 and December 31, 2019, respectively. Total rent payments for this facility were approximately $0.1 million and $0.2 million for the three months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ended September 30, 2020 and September 30, 2019, respectively. Total rent payments for this facility were approximately $0.5 million and $0.7 million for the nine months ended September 30, 2020 and September 30, 2019, respectively. An agreement was reached with the related party to reduce rental payments by 20% and defer payments for 90 days for the lease of the Company’s headquarters, starting in June 2020 through December 2020 as part of COVID-19 related vendor concessions.</w:t>
      </w:r>
    </w:p>
    <w:p>
      <w:pPr>
        <w:spacing w:after="0" w:line="19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The total ROU assets attributable to finance leases were approximately $16.0 million and $19.2 million as of September 30, 2020 and December 31, 2019, respectively, which is included in Property, plant, and equipment, net on the Condensed Consolidated Balance Sheets.</w:t>
      </w:r>
    </w:p>
    <w:p>
      <w:pPr>
        <w:spacing w:after="0" w:line="1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described in Note 9-</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Condensed Consolidated Statements of Income (Loss) for the nine months ended September 30,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Amortization of ROU</w:t>
            </w:r>
          </w:p>
        </w:tc>
        <w:tc>
          <w:tcPr>
            <w:tcW w:w="3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3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expense</w:t>
            </w:r>
          </w:p>
        </w:tc>
        <w:tc>
          <w:tcPr>
            <w:tcW w:w="3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Short-term lease expense</w:t>
            </w:r>
          </w:p>
        </w:tc>
        <w:tc>
          <w:tcPr>
            <w:tcW w:w="3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lease expense</w:t>
            </w:r>
          </w:p>
        </w:tc>
        <w:tc>
          <w:tcPr>
            <w:tcW w:w="3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 Selling, general &amp;</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finance and operating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3,338</w:t>
            </w:r>
          </w:p>
        </w:tc>
      </w:tr>
      <w:tr>
        <w:trPr>
          <w:trHeight w:val="230"/>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9,819</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9,361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5,536</w:t>
            </w:r>
          </w:p>
        </w:tc>
      </w:tr>
      <w:tr>
        <w:trPr>
          <w:trHeight w:val="225"/>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6,919</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12,766</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4"/>
        </w:trPr>
        <w:tc>
          <w:tcPr>
            <w:tcW w:w="8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697"/>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2020 were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8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possible liabilities that could arise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was contracted to perform inspections of welds on various pipeline projects in Texas for a customer. As of September 30, 2020, approximately $1.4 million of past due receivables were outstanding from this customer. The customer provided the Company with notice in December 2019, alleging that the Company’s inspection of 66 welds (out of over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The Company recorded a full reserve in the amount of $1.4 million during the second half of 2019 for these past due receivables. See Note 6–</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5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would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made monthly payments totaling $3.3 million through the time of the final settlement payment, for total payments of $4.2 million. The balance of the estimated total amount of this potential liability as of September 30, 2020 is approximately $2.5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these employees, creating a severance obligation to the terminated employees, and has transitioned, or will transition other employees to the 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September 30, 2020, the Company has approximately $0.3 million of accrued estimated severance payment obligations, which takes into account the Company's estimate with respect to the employees that have been or will be transitioned to the German subsidiaries' other customers. The $0.3 million of estimated obligations is net of $0.4 million in payments made and $0.9 million in reversals due to employees being transitioned to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disposition related contingencies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is liable for contingent consideration in connection with certain of its acquisitions. As of September 30, 2020, total potential acquisition-related contingent consideration ranged from zero to approximately $4.3 million and would be payable upon the achievement of specific performance metrics by certain of the acquired companies over the next 2.0 years.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$1.3 million is remaining as of September 30, 2020. The agreement is based on third-party pricing and the Company's planned purchase requirements over the three-year purchase period to meet the minimum contractual purchases.</w:t>
      </w: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900" w:right="20" w:hanging="244"/>
        <w:spacing w:after="0" w:line="261" w:lineRule="auto"/>
        <w:tabs>
          <w:tab w:leader="none" w:pos="89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80" w:hanging="244"/>
        <w:spacing w:after="0" w:line="267"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200" w:hanging="244"/>
        <w:spacing w:after="0" w:line="284"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454,079</w:t>
            </w: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109,302</w:t>
            </w: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2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127,903</w:t>
            </w: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33,113</w:t>
            </w: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2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9"/>
        </w:trPr>
        <w:tc>
          <w:tcPr>
            <w:tcW w:w="4820" w:type="dxa"/>
            <w:vAlign w:val="bottom"/>
          </w:tcPr>
          <w:p>
            <w:pPr>
              <w:spacing w:after="0"/>
              <w:rPr>
                <w:sz w:val="24"/>
                <w:szCs w:val="24"/>
                <w:color w:val="auto"/>
              </w:rPr>
            </w:pPr>
          </w:p>
        </w:tc>
        <w:tc>
          <w:tcPr>
            <w:tcW w:w="32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24"/>
                <w:szCs w:val="24"/>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w:t>
            </w: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(22,844)</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24"/>
                <w:szCs w:val="2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24"/>
                <w:szCs w:val="24"/>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8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left="1440" w:right="19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Mistras Group, Inc. and Subsidiaries Notes to Unaudited Condensed Consolidated Financial Statements </w:t>
      </w: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revenue by geographic area for the three and nine months ended September 30, 2020 and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nine months ended September 30, 2020 and September 30, 2019.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2019, filed with the Securities and Exchange Commission on March 27, 2020 (“2019 Annual Report”). Unless otherwise specified or the context otherwise requires, “Mistras,” “the Company,” “we,” “us” and “our” refer to Mistras Group, Inc. and its consolidated subsidiaries. The MD&amp;A includes the following sections:</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2019 Annual Report as well as those discussed in this Quarterly Report on Form 10-Q and in our other filings with the SEC.</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time of this report, the COVID-19 pandemic is continuing to have a negative impact on us and our key markets and is causing significant economic disruption worldwide.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97" w:lineRule="exact"/>
        <w:rPr>
          <w:sz w:val="20"/>
          <w:szCs w:val="20"/>
          <w:color w:val="auto"/>
        </w:rPr>
      </w:pPr>
    </w:p>
    <w:p>
      <w:pPr>
        <w:ind w:right="120"/>
        <w:spacing w:after="0" w:line="320" w:lineRule="auto"/>
        <w:rPr>
          <w:sz w:val="20"/>
          <w:szCs w:val="20"/>
          <w:color w:val="auto"/>
        </w:rPr>
      </w:pPr>
      <w:r>
        <w:rPr>
          <w:rFonts w:ascii="Times New Roman" w:cs="Times New Roman" w:eastAsia="Times New Roman" w:hAnsi="Times New Roman"/>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2" w:lineRule="exact"/>
        <w:rPr>
          <w:sz w:val="20"/>
          <w:szCs w:val="20"/>
          <w:color w:val="auto"/>
        </w:rPr>
      </w:pPr>
    </w:p>
    <w:p>
      <w:pPr>
        <w:ind w:right="220"/>
        <w:spacing w:after="0" w:line="320"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leads clients in the oil and gas, aerospace and defense, power generation,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13" w:lineRule="exact"/>
        <w:rPr>
          <w:sz w:val="20"/>
          <w:szCs w:val="20"/>
          <w:color w:val="auto"/>
        </w:rPr>
      </w:pPr>
    </w:p>
    <w:p>
      <w:pPr>
        <w:ind w:right="500"/>
        <w:spacing w:after="0" w:line="344"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IoT-connected digital software and monitoring solutions. The company’s core capabilities also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04" w:lineRule="exact"/>
        <w:rPr>
          <w:sz w:val="20"/>
          <w:szCs w:val="20"/>
          <w:color w:val="auto"/>
        </w:rPr>
      </w:pPr>
    </w:p>
    <w:p>
      <w:pPr>
        <w:ind w:right="620"/>
        <w:spacing w:after="0" w:line="344" w:lineRule="auto"/>
        <w:rPr>
          <w:sz w:val="20"/>
          <w:szCs w:val="20"/>
          <w:color w:val="auto"/>
        </w:rPr>
      </w:pPr>
      <w:r>
        <w:rPr>
          <w:rFonts w:ascii="Times New Roman" w:cs="Times New Roman" w:eastAsia="Times New Roman" w:hAnsi="Times New Roman"/>
          <w:sz w:val="18"/>
          <w:szCs w:val="18"/>
          <w:color w:val="auto"/>
        </w:rPr>
        <w:t>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Services, International, and Products and Systems.</w:t>
      </w:r>
    </w:p>
    <w:p>
      <w:pPr>
        <w:spacing w:after="0" w:line="61" w:lineRule="exact"/>
        <w:rPr>
          <w:sz w:val="20"/>
          <w:szCs w:val="20"/>
          <w:color w:val="auto"/>
        </w:rPr>
      </w:pPr>
    </w:p>
    <w:p>
      <w:pPr>
        <w:ind w:left="660" w:right="380" w:hanging="328"/>
        <w:spacing w:after="0" w:line="24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15"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4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(fossil, nuclear, alternative, renewable, and transmission and distribution), public infrastructure, chemicals, transportation, primary metals and metalworking and research and engineering institutions.</w:t>
      </w:r>
    </w:p>
    <w:p>
      <w:pPr>
        <w:spacing w:after="0" w:line="21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21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believe long-term growth can be realized in all of our target markets. We expect the timing of our oil and gas customers inspection spend to be impacted by oil price fluctuations.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COVID-19 coronavirus (COVID-19) as a pandemic, which continues to infect the population throughout the United States and most other parts of the world.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experienced a significant decline. In response to various factors surrounding the COVID-19 pandemic and, in the case of the oil and gas market, other macroeconomic events, companies within the oil and gas and aerospace industries (including our customers) have reduced spending and/or slowed down (or temporarily ceased) production. This, in turn, resulted in decreases in awards of new contracts or adjustments, reductions, suspensions or cancellations of existing contracts.</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COVID-19 pandemic, significant volatility in oil prices and decreased traffic in the aerospace industry have adversely affected our workforce and operations, as well as the operations of our customers, suppliers and contractors. These negative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factors have also resulted in significant volatility and uncertainty in the markets in which we operate. To successfully navigate through this unprecedented period, we continue to focus on the following key priorities:</w:t>
      </w:r>
    </w:p>
    <w:p>
      <w:pPr>
        <w:spacing w:after="0" w:line="24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health and safety of our employees and those of our customers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business continuity and financial strength and stability;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our customers as they provide essential products and services to the world.</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While we cannot fully assess the impact that the COVID-19 pandemic or the significant volatility in oil prices will continue to have on our operations at this time, there are certain impacts that we have identified:</w:t>
      </w:r>
    </w:p>
    <w:p>
      <w:pPr>
        <w:spacing w:after="0" w:line="243" w:lineRule="exact"/>
        <w:rPr>
          <w:sz w:val="20"/>
          <w:szCs w:val="20"/>
          <w:color w:val="auto"/>
        </w:rPr>
      </w:pPr>
    </w:p>
    <w:p>
      <w:pPr>
        <w:ind w:left="660" w:right="10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market volatility that resulted from COVID-19 and the drop in oil prices required that we reassess the goodwill we had recorded related to various prior acquisitions under the guidance of ASC 350 during the first quarter of 2020. We determined that the fair values of various reporting units were less than their carrying values (including goodwill). As a result, we recorded an impairment charge related to goodwill of approximately $77.1 million during the first quarter of 2020. See Note 8</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Unaudited Condensed Consolidated Financial Statements.</w:t>
      </w:r>
    </w:p>
    <w:p>
      <w:pPr>
        <w:spacing w:after="0" w:line="21" w:lineRule="exact"/>
        <w:rPr>
          <w:rFonts w:ascii="Times New Roman" w:cs="Times New Roman" w:eastAsia="Times New Roman" w:hAnsi="Times New Roman"/>
          <w:sz w:val="18"/>
          <w:szCs w:val="18"/>
          <w:b w:val="1"/>
          <w:bCs w:val="1"/>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same events required that we reassess the tangible and intangible assets recorded under the guidance of ASC 360 during the first quarter of 2020. We determined that the fair values of certain asset groups were less than their carrying values (excluding goodwill). As a result, we recorded impairment charges related to intangible assets of approximately $28.8 million and a right-of-use asset of approximately $0.2 million during the first quarter of 2020. See Note 9-</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and Note 13-</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Unaudited Condensed Consolidated Financial Statements.</w:t>
      </w:r>
    </w:p>
    <w:p>
      <w:pPr>
        <w:spacing w:after="0" w:line="26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To respond to the economic downturn resulting from the factors discussed above, in March 2020 we initiated a cost reduction and efficiency program. As part of this program, our named executive officers took voluntarily temporary salary reductions ranging from 25% to 45% of their base salary. In addition, we instituted a reduction for certain other salaried employees, at lower percentages, and suspended our voluntary match under our sponsored savings plans for our U.S. and Canadian employees. These reductions became effective at the beginning of the second quarter of 2020 and, except for the salary reductions for certain lower salaried employees, continued through the end of the third quarter of 2020. In addition, our non-employee directors voluntarily agreed to a $3,750 reduction in their second and third quarter 2020 director's fee payments. Beginning in the fourth quarter of 2020, all salary and director fees reductions were removed and pay levels were returned to first quarter levels, though certain other cost reduction measures have remained in place.</w:t>
      </w:r>
    </w:p>
    <w:p>
      <w:pPr>
        <w:spacing w:after="0" w:line="2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currently unable to predict with certainty the overall impact that the COVID-19 pandemic and volatility in oil prices may have on our business, results of operations, liquidity or in other ways which we cannot yet determine. We will continue to monitor market conditions and respond accordingly. Refer to Item 1A. Risk Factors in Part I of our 2019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"Income (loss) before special items" for each of our three segments, the Corporate segment and the Total Company as a measure of operating performance and liquidity to assist in comparing performance from period to period on a consistent basis, as a measure for planning and forecasting overall expectations and for evaluating actual results against such expectations.</w:t>
      </w:r>
    </w:p>
    <w:p>
      <w:pPr>
        <w:spacing w:after="0" w:line="2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special items is not used to determine incentive compensation for executives or employees, nor is it a replacement for the reported GAAP financial performance and/or necessarily comparable to the non-GAAP financial measures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nine months ended September 30, 2020 and September 30, 2019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4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147,894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431,794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569,595</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47,384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129,186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166,714</w:t>
            </w:r>
          </w:p>
        </w:tc>
      </w:tr>
      <w:tr>
        <w:trPr>
          <w:trHeight w:val="23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(105,869)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21,802</w:t>
            </w:r>
          </w:p>
        </w:tc>
      </w:tr>
      <w:tr>
        <w:trPr>
          <w:trHeight w:val="23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Income (loss) from Operations as a % of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(115,279)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11,737</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5,244</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5,231</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was $147.9 million for the three months ended September 30, 2020, a decrease of $44.3 million, or 23.0%, compared with the three months ended September 30, 2019. Revenue for the nine months ended September 30, 2020 was $431.8 million, a decrease of $137.8 million, or 24.2%, compared with the nine months ended September 30,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nine months ended September 30, 2020 and 2019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454,079</w:t>
            </w: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109,302</w:t>
            </w: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569,595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2020, total revenue decreased 23.0% versus the prior year comparable period due predominantly to a double-digit organic decline offset by low single-digit favorable impact of foreign exchange rates and acquisition growth. The decrease in revenue across all our segments was primarily the result of the impact of COVID-19, which disrupted the timing of projects or purchases for many of our customers. Services segment revenue decreased 21.5%, driven predominantly by a double-digit organic decline and, to a lesser extent, low single-digit unfavorable impact of foreign exchange rates, partially offset by low single-digit acquisition growth. International segment revenue decreased 28.5%, due predominantly to the organic decline partially offset by low single-digit favorable impact of foreign exchange rates. Products and Systems segment revenue decreased by 28.8%, due to organic decline.</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Oil and gas customer revenue comprised approximately 55% and 59% of total revenue for the three months ended September 30, 2020 and 2019, respectively. Aerospace and defense customer revenue comprised approximately 10% and 12% of total revenue for the three months ended September 30, 2020 and 2019, respectively. The Company’s top ten customers comprised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approximately 29% of total revenue for the three months ended September 30, 2020, as compared to 34% for the three months ended September 30, 2019, with no customer accounting for 10% or more of total revenue in either three-month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2020, total revenue decreased 24.2% versus the prior year comparable period due predominantly to a double-digit organic decline and, to a lesser extent, low single-digit unfavorable impact of foreign exchange rates, partially offset by low single-digit acquisition growth. The decrease in revenue across all our segments was primarily the result of the impact of COVID-19, which disrupted the timing of projects or deferral of purchases for many of our customers. Services segment revenue decreased 23.1%, driven predominantly by a double-digit organic decline and, to a lesser extent, low single-digit unfavorable impact of foreign exchange rates, partially offset by low single-digit acquisition growth. International segment revenue decreased 29.7%, due predominantly to the organic decline and, to a lesser extent, low single-digit unfavorable impact of foreign exchange rate. Products and Systems segment revenue decreased by 18.7%, due to the organic decline.</w:t>
      </w:r>
    </w:p>
    <w:p>
      <w:pPr>
        <w:spacing w:after="0" w:line="2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Oil and gas customer revenue comprised approximately 56% and 59% of total revenue for the nine months ended September 30, 2020 and 2019, respectively. Aerospace and defense customer revenue comprised approximately 13% and 13% of total revenue for the nine months ended September 30, 2020 and 2019, respectively. The Company’s top ten customers comprised approximately 30% of total revenue for the nine months ended September 30, 2020, as compared to 35% for the nine months ended September 30, 2019, with no customer accounting for 10% or more of total revenue in either nine-month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Gross profit decreased by $10.4 million, or 18.0%, in the three months ended September 30, 2020 versus the prior year comparable period, on a decrease in revenue of 23.0%. Gross profit decreased by $37.5 million, or 22.5%, in the nine months ended September 30, 2020, on a decrease in sales of 24.2%.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nine months ended September 30, 2020 and September 30, 2019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45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127,903</w:t>
            </w:r>
          </w:p>
        </w:tc>
      </w:tr>
      <w:tr>
        <w:trPr>
          <w:trHeight w:val="229"/>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r>
      <w:tr>
        <w:trPr>
          <w:trHeight w:val="23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33,113</w:t>
            </w:r>
          </w:p>
        </w:tc>
      </w:tr>
      <w:tr>
        <w:trPr>
          <w:trHeight w:val="230"/>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r>
      <w:tr>
        <w:trPr>
          <w:trHeight w:val="23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5,803</w:t>
            </w:r>
          </w:p>
        </w:tc>
      </w:tr>
      <w:tr>
        <w:trPr>
          <w:trHeight w:val="229"/>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43.9 %</w:t>
            </w:r>
          </w:p>
        </w:tc>
      </w:tr>
      <w:tr>
        <w:trPr>
          <w:trHeight w:val="23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45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57,769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129,186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166,714</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29.3 %</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Gross profit margin was 32.0% and 30.1% for the three-month periods ended September 30, 2020 and 2019, respectively. COVID-19, the significant drop in oil prices and a decrease in aerospace production have had a significant unfavorable impact on sales volume; however, gross profit margin improved due primarily to better employee utilization and, to a lesser extent, the favorable impact of mix of sales. Services segment gross profit margins had a year-on-year increase of 300 basis points to 31.4% during the three months ended September 30, 2020, due primarily to better employee utilization, favorable mix of sales on lower sales volume and Canadian wage subsidies. International segment gross margins had a year-on-year decline of 60 basis points to 31.0% during the three months ended September 30, 2020, due primarily to reduced volumes and unfavorable sales mix. Products and Systems segment gross margin had a year-on-year decrease of 820 basis points to 41.4% during the three months ended September 30, 2020 due to unfavorable sales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4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Gross profit margin was 29.9% and 29.3% for the nine months ended September 30, 2020 and 2019, respectively. Services segment gross profit margins had a year-on-year increase of 150 basis points to 29.7% in the nine months ended September 30, 2020, due primarily to better employee utilization, favorable mix of sales on lower sales volume and Canadian wage subsidies. International segment gross margins had a year-on-year decline of 220 basis points to 28.1% in the nine months ended September 30, 2020 due to lower levels of employee utilization and sales mix. Products and Systems segment gross margin had a year-on-year decline of 820 basis points to 35.7% in the nine months ended September 30, 2020, due to unfavorable sales volume and mix.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2020 and 2019 was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32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8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126,014</w:t>
            </w:r>
          </w:p>
        </w:tc>
      </w:tr>
      <w:tr>
        <w:trPr>
          <w:trHeight w:val="229"/>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2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3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settlement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 xml:space="preserve">Operating expenses decreased $5.3 million, or 11%, for the three months ended September 30, 2020 compared to the three months ended September 30, 2019, due predominantly to the Company's cost reduction and efficiency program initiated during the first quarter of 2020 in response to COVID-19 as more fully described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under the Overview of this section. These reductions were partially offset during the three months ended September 30, 2020 by an additional $0.2 million additive selling, general and administration expenses related to the Company’s most recent acquisition in September 2019. During the three months ended September 30, 2020, there was approximately $0.7 million additional foreign currency exchange losses as compared with the prior period due to volatility in certain foreign currencies.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Operating expenses increased $90.1 million, or 62%, for the nine months ended September 30, 2020 compared to the nine months ended September 30, 2019, due predominantly to impairment charges of $106.1 million in 2020 as more fully described in Note 8-</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and Note 9-</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to the Unaudited Condensed Consolidated Financial Statements included in this Quarterly Report. Excluding the 2020 impairment charges, operating expenses decreased due to the Company's cost reduction and efficiency program initiated during the first quarter of 2020 in response to COVID-19 as more fully described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under the Overview of this section. Operating expenses for the nine months ended September 30, 2020 compared to the nine months ended September 30, 2019 also decreased due to lower bad debt, pension withdrawal, depreciation and amortization, and net acquisition-related expenses. These decreases in expense were partially offset by approximately $3.0 million foreign currency exchange losses during the nine months ended September 30, 2020 as compared with the prior period due to volatility in certain foreign currencies, as well as approximately an incremental $1.1 million in selling, general and administration expenses related to the Company’s most recent acquisition in September 2019.</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to income (loss) before special items for each of our three segments and for the Company in total: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2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13,599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withdrawal expense (benefit)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settlement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before special items (non-GAAP)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w:t>
            </w: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94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top w:val="single" w:sz="8" w:color="CCEEFF"/>
            </w:tcBorders>
            <w:vMerge w:val="continue"/>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withdrawal expense (benefit)</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settlement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before special items (non-GAAP)</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2020, income (loss) from operations (GAAP) decreased $5.0 million or 47%, compared with the three months ended September 30, 2019, while income (loss) before special items (non-GAAP) decreased $5.0 million, or 45%. As a percentage of revenue, income (loss) before special items decreased by 160 basis points to 4.2% in the three months ended September 30, 2020 from 5.8% in the three months ended September 30, 2019. The COVID-19 outbreak and significant drop in oil prices has adversely affected our workforce and operations, as well as the operations of our customers, suppliers and contractors. These negative factors have resulted in significant volatility and uncertainty in the markets in which we operate. We are currently unable to predict or determine the overall impact that the COVID-19 pandemic and drop in oil prices may have on our business, results of operations, or liquidity. Refer to Item 1A. Risk Factors in Part I of our 2019 Form 10-K, and the additional risk factors included in Part II, Item 1.A. of this Form 10-Q for further discussion.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w:t>
      </w:r>
    </w:p>
    <w:p>
      <w:pPr>
        <w:spacing w:after="0" w:line="2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For the nine months ended September 30, 2020, income (loss) from operations (GAAP) decreased $127.7 million, compared with the nine months ended September 30, 2019, while income (loss) before special items (non-GAAP) decreased $25.7 million, or 95%. As a percentage of revenue, income (loss) before special items decreased by 440 basis points to 0.3% in the nine months ended September 30, 2020 from 4.7% in the nine months ended September 30, 2019. During the nine months ended September 30, 2020, the COVID-19 outbreak and significant drop in oil prices has adversely affected our workforce and operations, as well as the operations of our customers, suppliers and contractors and was the primary reason for the impairment charges. These negative factors have resulted in significant volatility and uncertainty in the markets in which we operate. We are currently unable to predict or determine the overall impact that the COVID-19 pandemic and drop in oil prices may have on our business, results of operations, or liquidity. Refer to Item 1A. Risk Factors in Part I of our 2019 Form 10-K, and the additional risk factors included in Part II, Item 1.A. of this Form 10-Q for further discussion.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expense was approximately $3.6 million and $3.0 million for the three months ended September 30, 2020 and 2019, respectively. The increase was due to an increase in the base borrowing rate during the second quarter as a result of the May 2020 amendment to our Credit Agreement. Interest expense was approximately $9.4 million and $10.1 million for the nine months ended September 30, 2020 and 2019, respectively. The decrease was due to lower average level of borrowings on our Credit Agreement attributable primarily to payments on borrowings for the acquisition completed during the fourth quarter of 2018, partially offset by an increase in the base borrowing rate during the second quarter as a result of the May 2020 amendment to our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Company’s effective income tax rate was approximately 26% and 61% for the three months ended September 30, 2020 and 2019, respectively. The Company's effective income tax rate was approximately 14% and 55% for the nine months ended September 30, 2020 and 2019. The effective income tax rate for the three months ended September 30, 2020 was greater than the statutory rate due to the unfavorable impact of taxes in other jurisdictions and other permanent book to tax differences offset by the favorable impact of the CARES act. The effective income tax rate for the nine months ended September 30, 2020 was lower than the statutory rate primarily due to impairments for which the Company will not realize income tax benefits, partially offset by income tax benefits of the CARES Act enacted on March 27, 2020.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We project that the income tax effects of the CARES Act will result in additional income tax benefit recognized throughout the 2020 tax year and a cash refund in 2021 of taxes paid in prior years. The effective income tax rate for the three and nine months ended September 30, 2019 was higher than the statutory rate due to the impact of discrete items, the global intangible low-taxed income, executive compensation, other provisions resulting from the December 22, 2017 passage of the Tax Cuts and Jobs Act and foreign tax rates different than statutory rates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188"/>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40,476</w:t>
            </w: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(29,521)</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cash provided by operating activities was $41.8 million, representing a year-on-year increase of $1.3 million, or 3%. The increase was primarily attributable to movements in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cash used in investing activities was $10.6 million, compared with $21.6 million in 2019. The decrease is primarily attributable to a reduction in capital expenditures to $11.0 million for the nine months ended September 30, 2020 compared with $18.0 million in the comparable 2019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$25.1 million for the nine months ended September 30, 2020, compared to net cash used of $29.5 million for the nine months ended September 30, 2019. During the nine months ended September 30, 2020, net repayments of debt was approximately $3.7 million lower as compared to 2019. In addition, for the nine months ended September 30, 2020 we made payments of $1.3 million and $1.5 million for acquisition-related contingent consideration and financing costs, respectively offset by $2.6 million less taxes paid related to net share settlement of share-based awards.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$0.9 million in the nine months ended September 30, 2020, compared to a decrease of $0.5 million for the nine months ended September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terms of our Credit Agreement are set forth in Part II, Item 7 of our 2019 Annual Report under the Section “Liquidity and Capital Resources”, as modified as described in Note 11-</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Notes to Unaudited Condensed Consolidated Financial Statements in this Quarterly Report,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2020, we had cash and cash equivalents totaling $22.1 million and available borrowing capacity of $35.3 million under our Credit Agreement with borrowings of $226.4 million and $4.3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30, 2020,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2019 Annual Report.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2019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2019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September 30, 2020, our disclosure controls and procedures were not effective, due to material weaknesses in our internal control over financial reporting processes and internal controls related to the accounting for income tax, as discussed below.</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0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Management previously disclosed material weaknesses in internal control over financial reporting in our 2019 Annual Report pertaining to financial reporting processes and internal control related to accounting for income taxes. The Company remains committed to an effective internal control environment and management believes that these actions, and the improvements management expects to achieve as a result, will remediate the material weakness. However, the material weaknesses will not be considered remediated until the controls operate for a sufficient period of time and management has concluded through testing that these controls operate effectively. The Company continues to execute on the remediation plans as outlined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management, with oversight from the Audit Committee of the Board of Directors, is actively engaged in remediation efforts to address the identified material weaknesses over income taxes. These efforts include:</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risk assessment process related to changes in the business;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design of controls surrounding the preparation and review of the income tax provision, and enhance the automation of the income tax processes and controls to allow for a timelier completion and review of internal controls; and</w:t>
      </w:r>
    </w:p>
    <w:p>
      <w:pPr>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all key activities within the income tax accounting and reporting process and controls by further increasing and expanding the capabilities of the income tax accounting resources in order to devote additional time and resources to the consolidated income tax accounting and reporting processes and controls.</w:t>
      </w:r>
    </w:p>
    <w:p>
      <w:pPr>
        <w:spacing w:after="0" w:line="21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During the current quarter management has reviewed and enhanced the current processes and controls surrounding the preparation of the income tax provision and engaged a third party accounting firm to assist with the documentation of these enhanced processes and controls. Management is finalizing its design and documentation on quarterly process and controls and finalizing the design of annual controls. However, most controls over accounting for income taxes are annual controls, as such, the material weakness will not be considered remediated until after management has concluded through testing after year end that these controls are designed and operate effectively.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2020 that materially affected, or are reasonably likely to materially affect, our internal control over financial reporting, other than as set forth in the remediation plan described above.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2019 Annual Report, except as disclosed in such Note 14-</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2019 Annual Report. There have been no material changes to the risk factors previously disclosed in the 2019 Annual Report, except for the addition of the following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and in future periods is expected to continue to adversely affect our business and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COVID-19 pandemic is adversely affecting, and is expected to continue to adversely affect, our business and operations and the business and</w:t>
      </w:r>
    </w:p>
    <w:p>
      <w:pPr>
        <w:spacing w:after="0" w:line="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operations of our customers. We have experienced and expect to continue to experience, unpredictable reductions in demand for our services and products. In response to the COVID-19 pandemic, companies within the oil and gas and aerospace industries (including our customers) have announced spending cuts and/or slowdowns (or temporary cessation) in production which, in turn, may result in decreases in awards of new contracts or adjustments,</w:t>
      </w:r>
    </w:p>
    <w:p>
      <w:pPr>
        <w:ind w:right="280"/>
        <w:spacing w:after="0" w:line="266" w:lineRule="auto"/>
        <w:rPr>
          <w:sz w:val="20"/>
          <w:szCs w:val="20"/>
          <w:color w:val="auto"/>
        </w:rPr>
      </w:pPr>
      <w:r>
        <w:rPr>
          <w:rFonts w:ascii="Times New Roman" w:cs="Times New Roman" w:eastAsia="Times New Roman" w:hAnsi="Times New Roman"/>
          <w:sz w:val="18"/>
          <w:szCs w:val="18"/>
          <w:color w:val="auto"/>
        </w:rPr>
        <w:t>reductions, suspensions or cancellations of existing contracts. In addition, as a result of the COVID-19 pandemic, some of our customers have been and could continue to be negatively impacted as a result of disruption in demand, which has led to delays and could lead to defaults on collections of receivables from them. Such continued delays could negatively impact our business, results of operations and financial condition.</w:t>
      </w:r>
    </w:p>
    <w:p>
      <w:pPr>
        <w:spacing w:after="0" w:line="20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The continued spread of COVID-19 may result in a decrease in business and/or cause our customers to be unable to meet existing payment or other obligations to us, particularly in the event of a spread of COVID-19 in our market areas. The continued spread of COVID-19 could also negatively impact</w:t>
      </w:r>
    </w:p>
    <w:p>
      <w:pPr>
        <w:spacing w:after="0" w:line="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availability of our key personnel necessary to conduct our business. In addition, any significant disruption of global financial markets, reducing our ability to access capital, could negatively affect our liquidity. Because the severity, magnitude and duration of the COVID-19 pandemic and its economic consequences are uncertain, rapidly changing and difficult to predict, the impact on our business, financial condition and results of operations remains uncertain and difficult to predict. While we expect the COVID-19 pandemic to have an adverse effect on our business, financial condition, liquidity, cash flow and results of operations, we are unable to predict the extent, nature or duration of these impacts at this time, although we expect such negative impacts for at least the next several quarters.</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economic disruption caused by the COVID-19 pandemic increases in magnitude or continues longer than expected, we may have difficulty meeting the financial covenants in our credit agreement with our banks.</w:t>
      </w:r>
    </w:p>
    <w:p>
      <w:pPr>
        <w:spacing w:after="0" w:line="18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Company expected that the economic disruption being caused by the COVID-19 pandemic was likely to cause our results in upcoming quarters to be less than what was required to meet the financial covenants in our then existing credit agreement with our banks. We obtained an amendment to our credit agreement which included, among other terms, modifications to the financial covenants in the credit agreement, and a reduction in our revolving line of credit from $300 million to $175 million. We believe it is probable that we will be able to meet the amended financial covenants and that sufficient credit remains available under the amended Credit Facility to meet our liquidity needs. However, due to the uncertainties and risks created by the COVID-19 pandemic, no assurance can be given that we will comply with these amended covenants, particularly if the pandemic increases in intensity or its duration is longer than expected. If we are not able to meet the financial covenants in our credit agreement in future quarters, and cannot obtain a waiver from our lenders or further amend the Credit Agreement, we will be in default, which would give the lenders the right to terminate the agreement, not allow us to</w:t>
      </w:r>
    </w:p>
    <w:p>
      <w:pPr>
        <w:spacing w:after="0" w:line="3"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borrow on our line of credit, call all of our loans to be due and payable, and exercise any other remedies available to the lenders. If we do default on our credit agreement and the lenders elect to not grant us a waiver or amendment and/or to commence exercising their remedies and we are unable to obtain</w:t>
      </w:r>
    </w:p>
    <w:p>
      <w:pPr>
        <w:spacing w:after="0" w:line="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other funding sources, our operations will be materially impacted and we may not be able to continue operating as a going concern. If we do obtain alternate funding sources, this alternate financing could be on substantially different and adverse terms than our existing credit agreement, materially impacting our operations and profitability, and otherwise could significantly dilute our existing shareholders and have other materially adverse effects on us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our shareholders. Likewise, any waiver and amendment to our existing credit facility could be on substantially different and adverse terms to those that currently exist, materially impacting our profitability and results of operations.</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5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200" w:type="dxa"/>
            <w:vAlign w:val="bottom"/>
          </w:tcPr>
          <w:p>
            <w:pPr>
              <w:spacing w:after="0"/>
              <w:rPr>
                <w:sz w:val="13"/>
                <w:szCs w:val="13"/>
                <w:color w:val="auto"/>
              </w:rPr>
            </w:pPr>
          </w:p>
        </w:tc>
        <w:tc>
          <w:tcPr>
            <w:tcW w:w="18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2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80" w:type="dxa"/>
            <w:vAlign w:val="bottom"/>
          </w:tcPr>
          <w:p>
            <w:pPr>
              <w:spacing w:after="0"/>
              <w:rPr>
                <w:sz w:val="11"/>
                <w:szCs w:val="11"/>
                <w:color w:val="auto"/>
              </w:rPr>
            </w:pPr>
          </w:p>
        </w:tc>
        <w:tc>
          <w:tcPr>
            <w:tcW w:w="22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89"/>
        </w:trPr>
        <w:tc>
          <w:tcPr>
            <w:tcW w:w="1860" w:type="dxa"/>
            <w:vAlign w:val="bottom"/>
            <w:vMerge w:val="continue"/>
          </w:tcPr>
          <w:p>
            <w:pPr>
              <w:spacing w:after="0"/>
              <w:rPr>
                <w:sz w:val="16"/>
                <w:szCs w:val="16"/>
                <w:color w:val="auto"/>
              </w:rPr>
            </w:pPr>
          </w:p>
        </w:tc>
        <w:tc>
          <w:tcPr>
            <w:tcW w:w="2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0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80" w:type="dxa"/>
            <w:vAlign w:val="bottom"/>
          </w:tcPr>
          <w:p>
            <w:pPr>
              <w:spacing w:after="0"/>
              <w:rPr>
                <w:sz w:val="16"/>
                <w:szCs w:val="16"/>
                <w:color w:val="auto"/>
              </w:rPr>
            </w:pPr>
          </w:p>
        </w:tc>
        <w:tc>
          <w:tcPr>
            <w:tcW w:w="22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2020</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31, 2020</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4.39</w:t>
            </w:r>
          </w:p>
        </w:tc>
        <w:tc>
          <w:tcPr>
            <w:tcW w:w="23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2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3"/>
        </w:trPr>
        <w:tc>
          <w:tcPr>
            <w:tcW w:w="780" w:type="dxa"/>
            <w:vAlign w:val="bottom"/>
          </w:tcPr>
          <w:p>
            <w:pPr>
              <w:ind w:left="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31.1</w:t>
              </w:r>
            </w:hyperlink>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Certification of Chief Executive Officer pursuant to Rule 13a-14(a) under the Securities Exchange Act of 1934.</w:t>
              </w:r>
            </w:hyperlink>
          </w:p>
        </w:tc>
      </w:tr>
      <w:tr>
        <w:trPr>
          <w:trHeight w:val="454"/>
        </w:trPr>
        <w:tc>
          <w:tcPr>
            <w:tcW w:w="780" w:type="dxa"/>
            <w:vAlign w:val="bottom"/>
          </w:tcPr>
          <w:p>
            <w:pPr>
              <w:ind w:left="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31.2</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Certification of Chief Financial Officer pursuant to Rule 13a-14(a) under the Securities Exchange Act of 1934.</w:t>
              </w:r>
            </w:hyperlink>
          </w:p>
        </w:tc>
      </w:tr>
      <w:tr>
        <w:trPr>
          <w:trHeight w:val="499"/>
        </w:trPr>
        <w:tc>
          <w:tcPr>
            <w:tcW w:w="780" w:type="dxa"/>
            <w:vAlign w:val="bottom"/>
          </w:tcPr>
          <w:p>
            <w:pPr>
              <w:ind w:left="2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32.1</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Certification pursuant to Section 906 of the Sarbanes-Oxley Act of 2002.</w:t>
              </w:r>
            </w:hyperlink>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2">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4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118" w:right="6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05, 2020</w:t>
      </w:r>
    </w:p>
    <w:p>
      <w:pPr>
        <w:spacing w:after="0" w:line="1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575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05, 2020</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2020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05, 2020</w:t>
      </w:r>
    </w:p>
    <w:p>
      <w:pPr>
        <w:spacing w:after="0" w:line="2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2020-11-06T05:48:53Z</dcterms:created>
  <dcterms:modified xsi:type="dcterms:W3CDTF">2020-11-06T05:48:53Z</dcterms:modified>
</cp:coreProperties>
</file>