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14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2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(609) 716-4000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ind w:right="22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80"/>
        <w:spacing w:after="0"/>
        <w:rPr>
          <w:sz w:val="20"/>
          <w:szCs w:val="20"/>
          <w:color w:val="auto"/>
        </w:rPr>
      </w:pPr>
      <w:r>
        <w:rPr>
          <w:rFonts w:ascii="Arial" w:cs="Arial" w:eastAsia="Arial" w:hAnsi="Arial"/>
          <w:sz w:val="17"/>
          <w:szCs w:val="17"/>
          <w:color w:val="auto"/>
        </w:rPr>
        <w:t>x Yes o No</w:t>
      </w:r>
    </w:p>
    <w:p>
      <w:pPr>
        <w:spacing w:after="0" w:line="222" w:lineRule="exact"/>
        <w:rPr>
          <w:sz w:val="24"/>
          <w:szCs w:val="24"/>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80"/>
        <w:spacing w:after="0"/>
        <w:rPr>
          <w:sz w:val="20"/>
          <w:szCs w:val="20"/>
          <w:color w:val="auto"/>
        </w:rPr>
      </w:pPr>
      <w:r>
        <w:rPr>
          <w:rFonts w:ascii="Arial" w:cs="Arial" w:eastAsia="Arial" w:hAnsi="Arial"/>
          <w:sz w:val="17"/>
          <w:szCs w:val="17"/>
          <w:color w:val="auto"/>
        </w:rPr>
        <w:t>x Yes o No</w:t>
      </w:r>
    </w:p>
    <w:p>
      <w:pPr>
        <w:spacing w:after="0" w:line="2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22" w:lineRule="exact"/>
        <w:rPr>
          <w:sz w:val="24"/>
          <w:szCs w:val="24"/>
          <w:color w:val="auto"/>
        </w:rPr>
      </w:pPr>
    </w:p>
    <w:p>
      <w:pPr>
        <w:ind w:left="1300"/>
        <w:spacing w:after="0"/>
        <w:tabs>
          <w:tab w:leader="none" w:pos="67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3" w:lineRule="exact"/>
        <w:rPr>
          <w:sz w:val="24"/>
          <w:szCs w:val="24"/>
          <w:color w:val="auto"/>
        </w:rPr>
      </w:pPr>
    </w:p>
    <w:p>
      <w:pPr>
        <w:ind w:left="1300"/>
        <w:spacing w:after="0"/>
        <w:tabs>
          <w:tab w:leader="none" w:pos="678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October 1, 2014, the registrant had 28,617,158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23"/>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3"/>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ITEM 1.</w:t>
              </w:r>
            </w:hyperlink>
          </w:p>
        </w:tc>
        <w:tc>
          <w:tcPr>
            <w:tcW w:w="640" w:type="dxa"/>
            <w:vAlign w:val="bottom"/>
            <w:gridSpan w:val="3"/>
          </w:tcPr>
          <w:p>
            <w:pPr>
              <w:spacing w:after="0"/>
              <w:rPr>
                <w:sz w:val="24"/>
                <w:szCs w:val="24"/>
                <w:color w:val="auto"/>
              </w:rPr>
            </w:pP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Financial Statements</w:t>
              </w:r>
            </w:hyperlink>
          </w:p>
        </w:tc>
        <w:tc>
          <w:tcPr>
            <w:tcW w:w="700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August 31, 2014 (unaudited) and May 31, 2014</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Income for the three months ended August 31, 2014 and 2013</w:t>
              </w:r>
            </w:hyperlink>
          </w:p>
        </w:tc>
        <w:tc>
          <w:tcPr>
            <w:tcW w:w="3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Comprehensive Income for the three months ended August 31,</w:t>
              </w:r>
            </w:hyperlink>
          </w:p>
        </w:tc>
        <w:tc>
          <w:tcPr>
            <w:tcW w:w="32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2014 and 2013</w:t>
              </w:r>
            </w:hyperlink>
          </w:p>
        </w:tc>
        <w:tc>
          <w:tcPr>
            <w:tcW w:w="7440" w:type="dxa"/>
            <w:vAlign w:val="bottom"/>
            <w:gridSpan w:val="1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Cash Flows for the three months ended August 31, 2014 and 2013</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640" w:type="dxa"/>
            <w:vAlign w:val="bottom"/>
            <w:tcBorders>
              <w:top w:val="single" w:sz="8" w:color="0000EE"/>
            </w:tcBorders>
            <w:gridSpan w:val="5"/>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ITEM 2.</w:t>
              </w:r>
            </w:hyperlink>
          </w:p>
        </w:tc>
        <w:tc>
          <w:tcPr>
            <w:tcW w:w="620" w:type="dxa"/>
            <w:vAlign w:val="bottom"/>
            <w:gridSpan w:val="2"/>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3.</w:t>
              </w:r>
            </w:hyperlink>
          </w:p>
        </w:tc>
        <w:tc>
          <w:tcPr>
            <w:tcW w:w="62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0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4.</w:t>
              </w:r>
            </w:hyperlink>
          </w:p>
        </w:tc>
        <w:tc>
          <w:tcPr>
            <w:tcW w:w="640" w:type="dxa"/>
            <w:vAlign w:val="bottom"/>
            <w:gridSpan w:val="3"/>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674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6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PART II—OTHER INFORMATION</w:t>
              </w:r>
            </w:hyperlink>
          </w:p>
        </w:tc>
        <w:tc>
          <w:tcPr>
            <w:tcW w:w="7880" w:type="dxa"/>
            <w:vAlign w:val="bottom"/>
            <w:gridSpan w:val="15"/>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1.</w:t>
              </w:r>
            </w:hyperlink>
          </w:p>
        </w:tc>
        <w:tc>
          <w:tcPr>
            <w:tcW w:w="620" w:type="dxa"/>
            <w:vAlign w:val="bottom"/>
            <w:gridSpan w:val="2"/>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ITEM 1.A.</w:t>
              </w:r>
            </w:hyperlink>
          </w:p>
        </w:tc>
        <w:tc>
          <w:tcPr>
            <w:tcW w:w="460" w:type="dxa"/>
            <w:vAlign w:val="bottom"/>
          </w:tcPr>
          <w:p>
            <w:pPr>
              <w:spacing w:after="0"/>
              <w:rPr>
                <w:sz w:val="24"/>
                <w:szCs w:val="24"/>
                <w:color w:val="auto"/>
              </w:rPr>
            </w:pPr>
          </w:p>
        </w:tc>
        <w:tc>
          <w:tcPr>
            <w:tcW w:w="9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75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2.</w:t>
              </w:r>
            </w:hyperlink>
          </w:p>
        </w:tc>
        <w:tc>
          <w:tcPr>
            <w:tcW w:w="620" w:type="dxa"/>
            <w:vAlign w:val="bottom"/>
            <w:gridSpan w:val="2"/>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416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1260" w:type="dxa"/>
            <w:vAlign w:val="bottom"/>
            <w:tcBorders>
              <w:bottom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618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4.</w:t>
              </w:r>
            </w:hyperlink>
          </w:p>
        </w:tc>
        <w:tc>
          <w:tcPr>
            <w:tcW w:w="620" w:type="dxa"/>
            <w:vAlign w:val="bottom"/>
            <w:gridSpan w:val="2"/>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674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5.</w:t>
              </w:r>
            </w:hyperlink>
          </w:p>
        </w:tc>
        <w:tc>
          <w:tcPr>
            <w:tcW w:w="620" w:type="dxa"/>
            <w:vAlign w:val="bottom"/>
            <w:gridSpan w:val="2"/>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6.</w:t>
              </w:r>
            </w:hyperlink>
          </w:p>
        </w:tc>
        <w:tc>
          <w:tcPr>
            <w:tcW w:w="20" w:type="dxa"/>
            <w:vAlign w:val="bottom"/>
            <w:tcBorders>
              <w:top w:val="single" w:sz="8" w:color="0000EE"/>
            </w:tcBorders>
          </w:tcPr>
          <w:p>
            <w:pPr>
              <w:spacing w:after="0"/>
              <w:rPr>
                <w:sz w:val="24"/>
                <w:szCs w:val="24"/>
                <w:color w:val="auto"/>
              </w:rPr>
            </w:pPr>
          </w:p>
        </w:tc>
        <w:tc>
          <w:tcPr>
            <w:tcW w:w="620" w:type="dxa"/>
            <w:vAlign w:val="bottom"/>
            <w:gridSpan w:val="2"/>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18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74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rPr>
              <w:t>PART I—FINANCIAL INFORMATION</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4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40" w:type="dxa"/>
            <w:vAlign w:val="bottom"/>
            <w:gridSpan w:val="2"/>
          </w:tcPr>
          <w:p>
            <w:pPr>
              <w:jc w:val="center"/>
              <w:ind w:right="6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74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August 31, 2014</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142,643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Inventories</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Deferred income taxes</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4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183,646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68,606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assets</w:t>
            </w:r>
          </w:p>
        </w:tc>
        <w:tc>
          <w:tcPr>
            <w:tcW w:w="46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511,254</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443,972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14,852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gridSpan w:val="3"/>
            <w:shd w:val="clear" w:color="auto" w:fill="CCEEFF"/>
          </w:tcPr>
          <w:p>
            <w:pPr>
              <w:ind w:left="160"/>
              <w:spacing w:after="0" w:line="205" w:lineRule="exact"/>
              <w:rPr>
                <w:sz w:val="20"/>
                <w:szCs w:val="20"/>
                <w:color w:val="auto"/>
              </w:rPr>
            </w:pPr>
            <w:r>
              <w:rPr>
                <w:rFonts w:ascii="Arial" w:cs="Arial" w:eastAsia="Arial" w:hAnsi="Arial"/>
                <w:sz w:val="18"/>
                <w:szCs w:val="18"/>
                <w:color w:val="auto"/>
                <w:w w:val="96"/>
              </w:rPr>
              <w:t>Accrued expenses and other current liabilities</w:t>
            </w:r>
          </w:p>
        </w:tc>
        <w:tc>
          <w:tcPr>
            <w:tcW w:w="4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56,059</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54,650</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22,536</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1,588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113,571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13,550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22,306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16,148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7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267,730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Equity</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10,000,000 shares authorized</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Common stock, $0.01 par value, 200,000,000 shares authorized</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203,195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43,166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17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243,231</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7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243,524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511,254</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158"/>
        </w:trPr>
        <w:tc>
          <w:tcPr>
            <w:tcW w:w="6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5"/>
          </w:tcPr>
          <w:p>
            <w:pPr>
              <w:jc w:val="right"/>
              <w:ind w:right="640"/>
              <w:spacing w:after="0" w:line="158" w:lineRule="exact"/>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159,309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128,342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13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166,573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116,254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88,624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3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124,579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Acquisition-related (benefit), net</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28,477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28,241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w:t>
            </w: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(1,905)</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attributable to Mistras Group, Inc.</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 to contingent consideration liabilities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(36,801)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against revolver</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Payment of contingent consideration for business acquisitions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 related to net share settlement of share-based awards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Beginning of period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Equipment acquired through capital lease obligations</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notes payable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3" w:right="239" w:bottom="0" w:gutter="0" w:footer="0" w:header="0"/>
        </w:sectPr>
      </w:pPr>
    </w:p>
    <w:bookmarkStart w:id="4" w:name="page5"/>
    <w:bookmarkEnd w:id="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2015 and 2014.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2014, as filed with the Securities and Exchange Commission on August 8,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our Annual Report. On an ongoing basis, we evaluate its estimates and assumptions, including, among other things those related to revenue recognition, valuations of accounts receivable, long-lived assets, goodwill, deferred tax assets and uncertain tax positions. Since the date of the 2014 Annual Report, there have been no material changes to our significant accounting policies.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On May 28, 2014, the Financial Accounting Standards Board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requires an entity to recognize the amount of revenue to which it expects to be entitled for the transfer of promised goods or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ectPr>
          <w:pgSz w:w="11900" w:h="16838" w:orient="portrait"/>
          <w:cols w:equalWidth="0" w:num="1">
            <w:col w:w="11420"/>
          </w:cols>
          <w:pgMar w:left="240" w:top="517" w:right="239" w:bottom="0" w:gutter="0" w:footer="0" w:header="0"/>
        </w:sectPr>
      </w:pPr>
    </w:p>
    <w:bookmarkStart w:id="5" w:name="page6"/>
    <w:bookmarkEnd w:id="5"/>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 the first quarter of fiscal 2015 and 2014, the Company recognized share-based compensation expense related to stock option awards of less than $0.1 million and $0.7 million, respectively. As of August 31, 2014, there was less than $0.1 million of unrecognized compensation costs, net of estimated forfeitures, related to stock option awards, which are expected to be recognized over a remaining weighted average period of 1.5 years. Cash proceeds from, and the aggregate intrinsic value of, stock options exercised during the three months ended August 31, 2014 and 2013 were as follows:</w:t>
      </w:r>
    </w:p>
    <w:p>
      <w:pPr>
        <w:spacing w:after="0" w:line="14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August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0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August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recognized approximately $1.1 million and $0.8 million during the first quarter of fiscal 2015 and 2014, respectively, in share-based compensation expense related to restricted stock unit awards. As of August 31, 2014, there was approximately $11.1 million of unrecognized compensation costs, net of estimated forfeitures, related to restricted stock unit awards, which are expected to be recognized over a remaining weighted average period of 2.8 years.</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first quarter of fiscal 2015 and 2014, the Company granted approximately 10,000 shares of fully-vested common stock to its five non-employee directors, in connection with its non-employee director compensation plan. These shares had grant date fair values of approximately $0.2 million for each period respectively, which was recorded as share-based compensation expense during the quarter ended August 31, 2014 and 2013.</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first quarter of fiscal 2015 and 2014 respectively, approximately 217,000 and 175,000 restricted stock units vested. The fair value of these units was $4.7 million and $3.2 million, respectively.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second quarter of fiscal 2014, the company granted performance restricted stock units to its executive and certain other senior officers. These units have requisite service (vesting) periods of three years and have no dividend rights. Compensation expense related to performance restricted stock units was $0.8 million for the first quarter of fiscal 2015. At August 31, 2014, there was $6.6 million of total unrecognized compensation costs related to approximately 423,000 non-vested performance restricted stock units. These costs are expected to be recognized over a weighted-average period of approximately 2.0 years. The actual payout of these units will vary based on the Company’s performance over one, two and three-year periods (based on pre-established targets) and a market condition modifier based on total shareholder return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 The one-year performance condition of the fiscal 2014 awards was not achieved.</w:t>
      </w:r>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Numerator:</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248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1,666</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Denominator:</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28,477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28,241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Basic earnings per share</w:t>
            </w:r>
          </w:p>
        </w:tc>
        <w:tc>
          <w:tcPr>
            <w:tcW w:w="16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9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1,666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5,641</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28,477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28,241</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6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fiscal 2015, the Company completed three acquisitions. The Company purchased The NACHER Corporation, located in Louisiana, a provider of maintenance and inspection services primarily on offshore platforms. This acquisition expands the service offerings within the Services segment, allowing the Company to provide services to the upstream operations of its customers. The Company also purchased an asset protection businesses located in Quebec, Canada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 continue its market expansion strategy. The Company’s International Segment completed an acquisition of an asset inspection business located in the United Kingdom.</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these acquisitions, the Company acquired 100% of the common stock or certain assets of each acquiree in exchange for aggregate consideration of approximately $34.0 million in cash and $22.7 million in notes payable issued as part of the acquisition and other liabilities assumed. The Company accounted for these transactions in accordance with the acquisition method of accounting for business combinations. In addition, the acquisition in Quebec provides for contingent consideration of up to $2.7 million to be earned based upon the acquired company achieving specific performance metrics over the next three years of operation. The Company is in the process of completing the preliminary purchase price allocations.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complete any acquisitions during the three months ended August 31, 2013.</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continuing our review of our fair value estimate of assets acquired and liabilities assumed for two entities acquired in fiscal 2014. This process will conclude as soon as the Company finalizes information regarding facts and circumstances that existed as of the acquisition date. Goodwill and intangibles for these two entities totaled $0.8 million and $2.2 million, respectively. This measurement period will not exceed one year from the acquisition date.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assets and liabilities of the business acquired in fiscal 2015 were included in the Company’s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these acquisitions are included in each respective operating segment’s results of operations from the date of acquisition. The Company’s preliminary purchase price allocation for acquisitions in fiscal 2015 and 2014 are included in the table below, which summarizes the estimated fair value of the assets acquired and liabilities assumed at the date of acquisition:</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Fiscal</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Cash paid</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to seller and other liabilities assumed</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22,649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1,373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1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7,835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deferred tax asset</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14,150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(10,134)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deferred tax liability</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4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amortization period of intangible assets acquired in fiscal 2015 ranges from 3 to 10 years. The Company recorded approximately $41.7 million of goodwill in connection with these acquisitions, reflecting the strategic fit and revenue and earnings growth potential of these business.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Revenues and operating income from these acquisitions for the period subsequent to the closing of these transactions were approximately $7.5 million and $0.7 million, respectively, for the three month period ended August 31, 2014. As these acquisitions are not significant to the Company’s fiscal 2015 results, no unaudited pro forma financial information has been included in this report.</w:t>
      </w:r>
    </w:p>
    <w:p>
      <w:pPr>
        <w:sectPr>
          <w:pgSz w:w="11900" w:h="16838" w:orient="portrait"/>
          <w:cols w:equalWidth="0" w:num="1">
            <w:col w:w="11420"/>
          </w:cols>
          <w:pgMar w:left="240" w:top="140"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 period ended August 31, 2014, the Company incurred acquisition-related costs of less than $0.1 million, in connection with due diligence, professional fees, and other expenses related to its acquisition activity. Additionally, the Company adjusted the fair value of certain previously recorded acquisition-related contingent consideration liabilities. For the three month period ended August 31, 2014, these adjustments resulted in a net decrease of acquisition-related contingent consideration liabilities and a corresponding increase in income from operations of approximately $1.0 million. The Company’s aggregate acquisition-related contingent consideration liabilities were approximately $14.3 million and $14.1 million as of August 31, 2014 and May 31, 2014, respectively.</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three month period ended August 31, 2013, the Company incurred acquisition-related costs of $0.1 million in connection with due diligence, professional fees, and other expenses for its acquisition activity. Additionally, the Company adjusted the fair value of certain acquisition-related contingent consideration liabilities. For the three month period ended August 31, 2013, these adjustments resulted in a net decrease of acquisition-related contingent consideration liabilities and a corresponding increase in income from operations of approximately $2.2 million.</w:t>
      </w:r>
    </w:p>
    <w:p>
      <w:pPr>
        <w:spacing w:after="0" w:line="17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 net in the condensed consolidated statements of income for the three month periods ended August 31, 2014 and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5.</w:t>
            </w:r>
          </w:p>
        </w:tc>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Accounts Receivable, net</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August 31, 2014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6.</w:t>
            </w:r>
          </w:p>
        </w:tc>
        <w:tc>
          <w:tcPr>
            <w:tcW w:w="4840" w:type="dxa"/>
            <w:vAlign w:val="bottom"/>
          </w:tcPr>
          <w:p>
            <w:pPr>
              <w:ind w:left="520"/>
              <w:spacing w:after="0"/>
              <w:rPr>
                <w:sz w:val="20"/>
                <w:szCs w:val="20"/>
                <w:color w:val="auto"/>
              </w:rPr>
            </w:pPr>
            <w:r>
              <w:rPr>
                <w:rFonts w:ascii="Arial" w:cs="Arial" w:eastAsia="Arial" w:hAnsi="Arial"/>
                <w:sz w:val="18"/>
                <w:szCs w:val="18"/>
                <w:b w:val="1"/>
                <w:bCs w:val="1"/>
                <w:color w:val="auto"/>
              </w:rPr>
              <w:t>Inventories</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August 31, 2014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Work in process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Services-related consumable supplies</w:t>
            </w:r>
          </w:p>
        </w:tc>
        <w:tc>
          <w:tcPr>
            <w:tcW w:w="2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Useful Life</w:t>
            </w:r>
          </w:p>
        </w:tc>
        <w:tc>
          <w:tcPr>
            <w:tcW w:w="140" w:type="dxa"/>
            <w:vAlign w:val="bottom"/>
          </w:tcPr>
          <w:p>
            <w:pPr>
              <w:spacing w:after="0"/>
              <w:rPr>
                <w:sz w:val="14"/>
                <w:szCs w:val="14"/>
                <w:color w:val="auto"/>
              </w:rPr>
            </w:pPr>
          </w:p>
        </w:tc>
        <w:tc>
          <w:tcPr>
            <w:tcW w:w="14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August 31, 2014</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22,736</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156,639</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144,798</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188,951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(103,629)</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(99,077)</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2014 and 2013 was approximately $5.4 million and $4.6 million, respectively.</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ectPr>
          <w:pgSz w:w="11900" w:h="16838" w:orient="portrait"/>
          <w:cols w:equalWidth="0" w:num="1">
            <w:col w:w="11400"/>
          </w:cols>
          <w:pgMar w:left="240" w:top="125" w:right="259" w:bottom="0" w:gutter="0" w:footer="0" w:header="0"/>
        </w:sectPr>
      </w:pPr>
    </w:p>
    <w:p>
      <w:pPr>
        <w:spacing w:after="0" w:line="217" w:lineRule="exact"/>
        <w:rPr>
          <w:sz w:val="20"/>
          <w:szCs w:val="20"/>
          <w:color w:val="auto"/>
        </w:rPr>
      </w:pPr>
    </w:p>
    <w:p>
      <w:pPr>
        <w:ind w:left="5080"/>
        <w:spacing w:after="0"/>
        <w:tabs>
          <w:tab w:leader="none" w:pos="8920" w:val="left"/>
        </w:tabs>
        <w:rPr>
          <w:sz w:val="20"/>
          <w:szCs w:val="20"/>
          <w:color w:val="auto"/>
        </w:rPr>
      </w:pPr>
      <w:r>
        <w:rPr>
          <w:rFonts w:ascii="Arial" w:cs="Arial" w:eastAsia="Arial" w:hAnsi="Arial"/>
          <w:sz w:val="14"/>
          <w:szCs w:val="14"/>
          <w:b w:val="1"/>
          <w:bCs w:val="1"/>
          <w:color w:val="auto"/>
        </w:rPr>
        <w:t>August 31, 2014</w:t>
      </w:r>
      <w:r>
        <w:rPr>
          <w:sz w:val="20"/>
          <w:szCs w:val="20"/>
          <w:color w:val="auto"/>
        </w:rPr>
        <w:tab/>
      </w:r>
      <w:r>
        <w:rPr>
          <w:rFonts w:ascii="Arial" w:cs="Arial" w:eastAsia="Arial" w:hAnsi="Arial"/>
          <w:sz w:val="13"/>
          <w:szCs w:val="13"/>
          <w:b w:val="1"/>
          <w:bCs w:val="1"/>
          <w:color w:val="auto"/>
        </w:rPr>
        <w:t>May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6350</wp:posOffset>
            </wp:positionV>
            <wp:extent cx="4656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 w:name="page9"/>
    <w:bookmarkEnd w:id="8"/>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55"/>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5-12</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52,224</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Software/Technology</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(55,188</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August 31, 2014 and 2013 was approximately $2.9 million and $2.2 million,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5860" w:type="dxa"/>
            <w:vAlign w:val="bottom"/>
            <w:gridSpan w:val="2"/>
          </w:tcPr>
          <w:p>
            <w:pPr>
              <w:ind w:left="26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2014</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Contingent consideration, current portion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5,564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workers’ compensation and health benefits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56,059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2014</w:t>
            </w:r>
          </w:p>
        </w:tc>
        <w:tc>
          <w:tcPr>
            <w:tcW w:w="18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May 31, 2014</w:t>
            </w:r>
          </w:p>
        </w:tc>
      </w:tr>
      <w:tr>
        <w:trPr>
          <w:trHeight w:val="210"/>
        </w:trPr>
        <w:tc>
          <w:tcPr>
            <w:tcW w:w="7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61,148</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34,160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r>
      <w:tr>
        <w:trPr>
          <w:trHeight w:val="210"/>
        </w:trPr>
        <w:tc>
          <w:tcPr>
            <w:tcW w:w="71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136,107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(22,536)</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(8,058)</w:t>
            </w:r>
          </w:p>
        </w:tc>
      </w:tr>
      <w:tr>
        <w:trPr>
          <w:trHeight w:val="210"/>
        </w:trPr>
        <w:tc>
          <w:tcPr>
            <w:tcW w:w="712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113,571</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August 31, 2014, the Company had borrowings of $96.7 million and a total of $4.9 million of letters of credit outstanding under the Credit Agreement.</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0.25% to 1.25%,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2" w:lineRule="exact"/>
        <w:rPr>
          <w:sz w:val="20"/>
          <w:szCs w:val="20"/>
          <w:color w:val="auto"/>
        </w:rPr>
      </w:pPr>
    </w:p>
    <w:p>
      <w:pPr>
        <w:ind w:right="40" w:firstLine="8"/>
        <w:spacing w:after="0" w:line="290"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w:t>
      </w:r>
    </w:p>
    <w:p>
      <w:pPr>
        <w:sectPr>
          <w:pgSz w:w="11900" w:h="16838" w:orient="portrait"/>
          <w:cols w:equalWidth="0" w:num="1">
            <w:col w:w="11400"/>
          </w:cols>
          <w:pgMar w:left="240" w:top="104" w:right="259" w:bottom="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t>taking into account the acquisition, and, if the acquired business is a separate subsidiary, in certain circumstances the lenders will receive the benefit of a guaranty of the subsidiary and liens on its assets and a pledge of its stock.</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August 31, 2014,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acquisitions through fiscal 2015, the Company issued subordinated notes payable to the sellers. The maturity of these notes range from two to five years from the date of acquisition with stated interest rates ranging from 0% to 4%. The Company has discounted these obligations to reflect a 2% to 4% market interest. Unamortized discount on the notes was de minimis as of August 31, 2014 and May 31, 2014, respectively. Amortization is recorded as interest expense in the consolidated statements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1"/>
              </w:rPr>
              <w:t>August 31, 2014</w:t>
            </w: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3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12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14,325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14,325</w:t>
            </w: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5"/>
              </w:rPr>
              <w:t>May 31, 2014</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3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12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14,145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14,145</w:t>
            </w: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uncertainties associated with the obligation, and as calculated in accordance with the terms of the applicable acquisition agreements.</w:t>
      </w:r>
    </w:p>
    <w:p>
      <w:pPr>
        <w:sectPr>
          <w:pgSz w:w="11900" w:h="16838" w:orient="portrait"/>
          <w:cols w:equalWidth="0" w:num="1">
            <w:col w:w="11400"/>
          </w:cols>
          <w:pgMar w:left="240" w:top="125" w:right="259" w:bottom="0" w:gutter="0" w:footer="0" w:header="0"/>
        </w:sectPr>
      </w:pPr>
    </w:p>
    <w:bookmarkStart w:id="10" w:name="page11"/>
    <w:bookmarkEnd w:id="10"/>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on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During fiscal 2012 and 2013, the Company performed radiography work on the construction of pipeline projects in Georgia. The Company has received notice that the owner of the pipeline projects contends that certain of the x-ray images the Company’s technicians prepared did not meet the code quality interpretation standards required by API (American Petroleum Institute) 1104. The projects owner is claiming damages as a result of the alleged quality defects of the Company’s x-ray images. No lawsuit has been filed at this time. The Company is currently unable to determine the likely outcome or reasonably estimate the amount or range of potential liability related to this matter, and accordingly, has not established any reserves for this matter.</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also received a notice from an insurance company of a chemical plant alleging that the Company is liable due to faulty inspections for all or part of $46 million of damages paid by the insurance company as a result of an explosion at the facility. The Company believes it was not involved in inspecting the portion of the plant where the explosion occurred and therefore has no liability for the claim. Accordingly, the Company has not established a reserve for this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August 31, 2014, total potential acquisition-related contingent consideration ranged from zero to approximately $28.5 million and would be payable upon the achievement of specific performance metrics by certain of the acquired companies over the next three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jc w:val="both"/>
        <w:ind w:left="980" w:right="60" w:hanging="324"/>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left="980" w:right="34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1 — </w:t>
      </w:r>
      <w:r>
        <w:rPr>
          <w:rFonts w:ascii="Arial" w:cs="Arial" w:eastAsia="Arial" w:hAnsi="Arial"/>
          <w:sz w:val="17"/>
          <w:szCs w:val="17"/>
          <w:i w:val="1"/>
          <w:iCs w:val="1"/>
          <w:color w:val="auto"/>
        </w:rPr>
        <w:t>Description of Business and Basis of Presentation</w:t>
      </w:r>
      <w:r>
        <w:rPr>
          <w:rFonts w:ascii="Arial" w:cs="Arial" w:eastAsia="Arial" w:hAnsi="Arial"/>
          <w:sz w:val="17"/>
          <w:szCs w:val="17"/>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ectPr>
          <w:pgSz w:w="11900" w:h="16838" w:orient="portrait"/>
          <w:cols w:equalWidth="0" w:num="1">
            <w:col w:w="11420"/>
          </w:cols>
          <w:pgMar w:left="240" w:top="121" w:right="239" w:bottom="0" w:gutter="0" w:footer="0" w:header="0"/>
        </w:sectPr>
      </w:pP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20955</wp:posOffset>
            </wp:positionV>
            <wp:extent cx="1912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121,932</w:t>
            </w:r>
          </w:p>
        </w:tc>
        <w:tc>
          <w:tcPr>
            <w:tcW w:w="42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95,810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37,759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6,567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6,585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166,573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135,838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29,771</w:t>
            </w:r>
          </w:p>
        </w:tc>
        <w:tc>
          <w:tcPr>
            <w:tcW w:w="80" w:type="dxa"/>
            <w:vAlign w:val="bottom"/>
          </w:tcPr>
          <w:p>
            <w:pPr>
              <w:spacing w:after="0"/>
              <w:rPr>
                <w:sz w:val="18"/>
                <w:szCs w:val="18"/>
                <w:color w:val="auto"/>
              </w:rPr>
            </w:pPr>
          </w:p>
        </w:tc>
        <w:tc>
          <w:tcPr>
            <w:tcW w:w="42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26,747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2,384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4"/>
          </w:tcPr>
          <w:p>
            <w:pPr>
              <w:jc w:val="center"/>
              <w:ind w:right="85"/>
              <w:spacing w:after="0"/>
              <w:rPr>
                <w:sz w:val="20"/>
                <w:szCs w:val="20"/>
                <w:color w:val="auto"/>
              </w:rPr>
            </w:pPr>
            <w:r>
              <w:rPr>
                <w:rFonts w:ascii="Arial" w:cs="Arial" w:eastAsia="Arial" w:hAnsi="Arial"/>
                <w:sz w:val="18"/>
                <w:szCs w:val="18"/>
                <w:color w:val="auto"/>
                <w:w w:val="89"/>
              </w:rPr>
              <w:t>14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r>
        <w:trPr>
          <w:trHeight w:val="523"/>
        </w:trPr>
        <w:tc>
          <w:tcPr>
            <w:tcW w:w="2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0"/>
              </w:rPr>
              <w:t>Mistras Group, Inc. and Subsidiaries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740" w:type="dxa"/>
            <w:vAlign w:val="bottom"/>
            <w:gridSpan w:val="19"/>
          </w:tcPr>
          <w:p>
            <w:pPr>
              <w:jc w:val="center"/>
              <w:ind w:right="2800"/>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40" w:type="dxa"/>
            <w:vAlign w:val="bottom"/>
            <w:gridSpan w:val="15"/>
          </w:tcPr>
          <w:p>
            <w:pPr>
              <w:jc w:val="center"/>
              <w:ind w:left="85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10"/>
          </w:tcPr>
          <w:p>
            <w:pPr>
              <w:ind w:left="16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12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720" w:type="dxa"/>
            <w:vAlign w:val="bottom"/>
          </w:tcPr>
          <w:p>
            <w:pPr>
              <w:spacing w:after="0"/>
              <w:rPr>
                <w:sz w:val="12"/>
                <w:szCs w:val="12"/>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18"/>
                <w:szCs w:val="18"/>
                <w:color w:val="auto"/>
              </w:rPr>
            </w:pPr>
          </w:p>
        </w:tc>
        <w:tc>
          <w:tcPr>
            <w:tcW w:w="520" w:type="dxa"/>
            <w:vAlign w:val="bottom"/>
            <w:gridSpan w:val="3"/>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10,846</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(3,677)</w:t>
            </w:r>
          </w:p>
        </w:tc>
        <w:tc>
          <w:tcPr>
            <w:tcW w:w="27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60" w:type="dxa"/>
            <w:vAlign w:val="bottom"/>
            <w:tcBorders>
              <w:top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-2128520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-2128520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9"/>
          </w:tcPr>
          <w:p>
            <w:pPr>
              <w:ind w:left="36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7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5,385</w:t>
            </w:r>
          </w:p>
        </w:tc>
        <w:tc>
          <w:tcPr>
            <w:tcW w:w="40" w:type="dxa"/>
            <w:vAlign w:val="bottom"/>
          </w:tcPr>
          <w:p>
            <w:pPr>
              <w:spacing w:after="0"/>
              <w:rPr>
                <w:sz w:val="18"/>
                <w:szCs w:val="18"/>
                <w:color w:val="auto"/>
              </w:rPr>
            </w:pPr>
          </w:p>
        </w:tc>
        <w:tc>
          <w:tcPr>
            <w:tcW w:w="4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August 31, 2014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May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113,808</w:t>
            </w:r>
          </w:p>
        </w:tc>
        <w:tc>
          <w:tcPr>
            <w:tcW w:w="4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43,882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Products and Systems</w:t>
            </w:r>
          </w:p>
        </w:tc>
        <w:tc>
          <w:tcPr>
            <w:tcW w:w="1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13,197</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170,887</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130,516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August 31, 2014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May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324,564</w:t>
            </w:r>
          </w:p>
        </w:tc>
        <w:tc>
          <w:tcPr>
            <w:tcW w:w="4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249,378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149,158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36,011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511,254</w:t>
            </w:r>
          </w:p>
        </w:tc>
        <w:tc>
          <w:tcPr>
            <w:tcW w:w="300" w:type="dxa"/>
            <w:vAlign w:val="bottom"/>
            <w:gridSpan w:val="3"/>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443,972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August 31, 2014 and 2013, respectively, were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ectPr>
          <w:pgSz w:w="11900" w:h="16838" w:orient="portrait"/>
          <w:cols w:equalWidth="0" w:num="1">
            <w:col w:w="11460"/>
          </w:cols>
          <w:pgMar w:left="240" w:top="118" w:right="199" w:bottom="0" w:gutter="0" w:footer="0" w:header="0"/>
        </w:sectPr>
      </w:pP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2"/>
          <w:szCs w:val="12"/>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20955</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p>
    <w:p>
      <w:pPr>
        <w:ind w:left="6180"/>
        <w:spacing w:after="0"/>
        <w:tabs>
          <w:tab w:leader="none" w:pos="780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10795</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111,940</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83,157</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10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Europe</w:t>
            </w: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36,645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35,406</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166,573</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0" w:type="dxa"/>
            <w:vAlign w:val="bottom"/>
            <w:gridSpan w:val="2"/>
          </w:tcPr>
          <w:p>
            <w:pPr>
              <w:ind w:left="2100"/>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8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months ended August 31, 2014 and 2013.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2014 (“2014 Annual Report”). In this quarterly report, our fiscal years, which end on May 31, are identified according to the calendar year in which they end (e.g., the fiscal year ending May 31, 2015 is referred to as “fiscal 2015”), and unless otherwise specified or the context otherwise requires, “Mistras,” “the Company,” “we,” “us” and “our” refer to Mistras Group, Inc. and its consolidated subsidiaries. The MD&amp;A includes disclosure in the following areas:</w:t>
      </w:r>
    </w:p>
    <w:p>
      <w:pPr>
        <w:spacing w:after="0" w:line="189"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II, Item 1A “Risk Factors” and in “Business—Forward-Looking Statements,” and “Risk Factors” sections of our 2014 Annual Report as well as those discussed in our other Securities and Exchange Commission (SEC) filings.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31"/>
          <w:szCs w:val="31"/>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83" w:lineRule="exact"/>
        <w:rPr>
          <w:sz w:val="20"/>
          <w:szCs w:val="20"/>
          <w:color w:val="auto"/>
        </w:rPr>
      </w:pPr>
    </w:p>
    <w:p>
      <w:pPr>
        <w:ind w:left="660" w:right="80" w:hanging="328"/>
        <w:spacing w:after="0" w:line="264"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NDT, and inspection and engineering services that are used to evaluate the structural integrity and reliability of critical energy, industrial and public infrastructure.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40" w:hanging="328"/>
        <w:spacing w:after="0" w:line="342"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color w:val="auto"/>
        </w:rPr>
      </w:pPr>
    </w:p>
    <w:p>
      <w:pPr>
        <w:ind w:left="660" w:right="22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w:t>
      </w:r>
    </w:p>
    <w:p>
      <w:pPr>
        <w:sectPr>
          <w:pgSz w:w="11900" w:h="16838" w:orient="portrait"/>
          <w:cols w:equalWidth="0" w:num="1">
            <w:col w:w="11460"/>
          </w:cols>
          <w:pgMar w:left="240" w:top="356" w:right="199" w:bottom="0" w:gutter="0" w:footer="0" w:header="0"/>
        </w:sectPr>
      </w:pPr>
    </w:p>
    <w:bookmarkStart w:id="13" w:name="page14"/>
    <w:bookmarkEnd w:id="13"/>
    <w:p>
      <w:pPr>
        <w:ind w:right="4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global economy continues to be fragile. Global financial markets continue to experience uncertainty, including tight liquidity and credit availability, relatively low consumer confidence, slow economic growth, persistently high unemployment rates and volatile currency exchange rates. However, we believe these conditions have allowed us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August 31, 2014 and 2013 were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166,573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41,994</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Gross profit as a % of Revenue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38,330</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expenses as a % of Revenue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3,664</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Income from Operations as a % of Revenue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1,088</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August 31, 2014 and 2013 were as follows:</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0"/>
              </w:rPr>
              <w:t>Three months ended August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4"/>
          </w:tcPr>
          <w:p>
            <w:pPr>
              <w:jc w:val="right"/>
              <w:ind w:right="425"/>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840" w:type="dxa"/>
            <w:vAlign w:val="bottom"/>
          </w:tcPr>
          <w:p>
            <w:pPr>
              <w:jc w:val="right"/>
              <w:ind w:right="657"/>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1,666</w:t>
            </w:r>
          </w:p>
        </w:tc>
        <w:tc>
          <w:tcPr>
            <w:tcW w:w="9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5,641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w:t>
            </w: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EBITDA</w:t>
            </w:r>
          </w:p>
        </w:tc>
        <w:tc>
          <w:tcPr>
            <w:tcW w:w="840" w:type="dxa"/>
            <w:vAlign w:val="bottom"/>
            <w:tcBorders>
              <w:top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16,346</w:t>
            </w: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(2,097)</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and certain non-recurring items (which items are listed in the reconciliation table above).</w:t>
      </w:r>
    </w:p>
    <w:p>
      <w:pPr>
        <w:spacing w:after="0" w:line="15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41" w:right="279" w:bottom="0" w:gutter="0" w:footer="0" w:header="0"/>
        </w:sectPr>
      </w:pPr>
    </w:p>
    <w:bookmarkStart w:id="14" w:name="page15"/>
    <w:bookmarkEnd w:id="14"/>
    <w:p>
      <w:pPr>
        <w:ind w:right="60"/>
        <w:spacing w:after="0" w:line="271" w:lineRule="auto"/>
        <w:rPr>
          <w:sz w:val="20"/>
          <w:szCs w:val="20"/>
          <w:color w:val="auto"/>
        </w:rPr>
      </w:pPr>
      <w:r>
        <w:rPr>
          <w:rFonts w:ascii="Arial" w:cs="Arial" w:eastAsia="Arial" w:hAnsi="Arial"/>
          <w:sz w:val="17"/>
          <w:szCs w:val="17"/>
          <w:color w:val="auto"/>
        </w:rPr>
        <w:t>Later in this report, the non-GAAP financial performance measures “Segment and Total Company Income from Operations before Acquisition-Related Expense (Benefit), net” are used, with tables reconciling the measures to financial measures under GAAP. These non-GAAP measures exclude from the GAAP measures income from operations (a) transaction expenses related to acquisitions, such as professional fees and due diligence costs and (b) the net changes in the fair value of acquisition-related contingent consideration liabilities. These items have been excluded from the GAAP measures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investors and other users of our financial statements benefit from the presentation of EBITDA, Adjusted EBITDA and “Segment and Total Company Income from Operations before Acquisition-Related Expense (Benefit), net” in evaluating our operating performance because they provide additional tools to compare our operating performance on a consistent basis and measure underlying trends and results in our business. EBITDA and Adjusted EBITDA remove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 Similarly, we believe that Segment and Total Company Income from Operations before Acquisition-Related Expense (Benefit), net, provides investors with useful information and more meaningful period over period comparisons by identifying and excluding these acquisition-related costs so that the performance of the core business operations can be identified and compared.</w:t>
      </w:r>
    </w:p>
    <w:p>
      <w:pPr>
        <w:spacing w:after="0" w:line="17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generally accepted accounting principles. In addition, acquisitions are a part of our growth strategy, and therefore acquisition-related items are a necessary cost of the Company’s business. Segment and Total Company Income from Operations before Acquisition-Related Expense (Benefit), net, are not metrics used to determine incentive compensation for executives or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Revenues were $166.6 million for the three months ended August 31, 2014 compared to $135.8 million for the three months ended August 31,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August 31,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8"/>
          </w:tcPr>
          <w:p>
            <w:pPr>
              <w:ind w:left="320"/>
              <w:spacing w:after="0"/>
              <w:rPr>
                <w:sz w:val="20"/>
                <w:szCs w:val="20"/>
                <w:color w:val="auto"/>
              </w:rPr>
            </w:pPr>
            <w:r>
              <w:rPr>
                <w:rFonts w:ascii="Arial" w:cs="Arial" w:eastAsia="Arial" w:hAnsi="Arial"/>
                <w:sz w:val="14"/>
                <w:szCs w:val="14"/>
                <w:b w:val="1"/>
                <w:bCs w:val="1"/>
                <w:color w:val="auto"/>
              </w:rPr>
              <w:t>Three months ended August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ind w:left="800"/>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121,932</w:t>
            </w:r>
          </w:p>
        </w:tc>
        <w:tc>
          <w:tcPr>
            <w:tcW w:w="5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95,810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40,038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6,567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6,585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166,573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135,838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w w:val="96"/>
              </w:rPr>
              <w:t>Our growth rates for the three months ended August 31, 2014 and 2013 were as follows:</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3"/>
          </w:tcPr>
          <w:p>
            <w:pPr>
              <w:jc w:val="right"/>
              <w:ind w:right="10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w w:val="96"/>
              </w:rPr>
              <w:t>Three months ended August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ind w:left="620"/>
              <w:spacing w:after="0" w:line="142" w:lineRule="exact"/>
              <w:rPr>
                <w:sz w:val="20"/>
                <w:szCs w:val="20"/>
                <w:color w:val="auto"/>
              </w:rPr>
            </w:pPr>
            <w:r>
              <w:rPr>
                <w:rFonts w:ascii="Arial" w:cs="Arial" w:eastAsia="Arial" w:hAnsi="Arial"/>
                <w:sz w:val="14"/>
                <w:szCs w:val="14"/>
                <w:b w:val="1"/>
                <w:bCs w:val="1"/>
                <w:color w:val="auto"/>
              </w:rPr>
              <w:t>($ in thousands)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22,451</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 Growth over prior year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Comprised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of organic growth</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 of acquisition growth</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foreign exchange increase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-1956435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-1956435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first quarter of fiscal 2015, our revenue growth was primarily driven by our Services segment. Services segment revenues increased 27% due to acquisition growth of approximately 17% and organic growth of approximately 10%. International Segment’s revenues grew by approximately 6%, driven by foreign exchange impact of almost 5%. Products and Systems segment revenues were in line with prior year.</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continued to experience year-on-year growth in its key vertical markets during the first quarter of fiscal 2015. Oil and gas revenues grew by approximately 24% and remained the Company’s most significant vertical market, reflecting 48% of total Company revenues in the first quarter of fiscal 2015 and 2014. We also experienced growth in several of our other target markets, primarily power generation and transmission, industrials, public infrastructure and process industries. The Company’s top ten customers comprised approximately 32% of total revenues in the first quarter of fiscal 2015 compared with 35% in the first quarter of the prior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60"/>
          </w:cols>
          <w:pgMar w:left="240" w:top="125" w:right="199" w:bottom="131"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Gross profit increased by $2.7 million, or 7%, to $42.0 million in the first quarter of fiscal 2015, compared with $39.3 million in the first quarter of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August 31, 2014 and 2013 was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4"/>
          </w:tcPr>
          <w:p>
            <w:pPr>
              <w:jc w:val="right"/>
              <w:ind w:right="425"/>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40" w:type="dxa"/>
            <w:vAlign w:val="bottom"/>
            <w:gridSpan w:val="2"/>
          </w:tcPr>
          <w:p>
            <w:pPr>
              <w:jc w:val="right"/>
              <w:ind w:right="66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29,771</w:t>
            </w:r>
          </w:p>
        </w:tc>
        <w:tc>
          <w:tcPr>
            <w:tcW w:w="860" w:type="dxa"/>
            <w:vAlign w:val="bottom"/>
            <w:gridSpan w:val="2"/>
          </w:tcPr>
          <w:p>
            <w:pPr>
              <w:jc w:val="right"/>
              <w:ind w:right="68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26,747</w:t>
            </w: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10,120</w:t>
            </w: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10"/>
        </w:trPr>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41,994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39,277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percentage of revenues, gross profit was 25% and 29% for the first quarters of fiscal 2015 and 2014, respectively. The decrease in gross profit percentage was primarily attributable to the Services and International segments. Service segment gross profit margin declined to 24% compared to 28% in the first quarter of fiscal 2014, due primarily to a continued investment in expanding the Company’s capability to service the Canadian oil sands region, wage increases that exceeded price increases, and a lower mix of advanced services. International segment gross margins decreased to 24% in the first quarter of fiscal 2015 compared with 27% in the prior year, due primarily to a lower level of product sales which typically have higher margins. Products and Systems segment gross margin improved to 41% compared to 36% in the prior year driven by a favorable sales mix.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reconciliation of the segment income from operations before acquisition-related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(benefit), net, to income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Income from operations before acquisition-related expense, net</w:t>
            </w:r>
          </w:p>
        </w:tc>
        <w:tc>
          <w:tcPr>
            <w:tcW w:w="23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9,141</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expense, net</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14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 before acquisition-related expense (benefit), net</w:t>
            </w:r>
          </w:p>
        </w:tc>
        <w:tc>
          <w:tcPr>
            <w:tcW w:w="23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Acquisition-related expense (benefit), net</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8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Income from operations</w:t>
            </w:r>
          </w:p>
        </w:tc>
        <w:tc>
          <w:tcPr>
            <w:tcW w:w="1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from operations before acquisition-related (benefit), net</w:t>
            </w:r>
          </w:p>
        </w:tc>
        <w:tc>
          <w:tcPr>
            <w:tcW w:w="23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(benefit), net</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Income from operations</w:t>
            </w:r>
          </w:p>
        </w:tc>
        <w:tc>
          <w:tcPr>
            <w:tcW w:w="14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Corporate and Eliminations: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 before acquisition-related (benefit), net</w:t>
            </w:r>
          </w:p>
        </w:tc>
        <w:tc>
          <w:tcPr>
            <w:tcW w:w="23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(5,417)</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Acquisition-related (benefit), net</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(1,333)</w:t>
            </w:r>
          </w:p>
        </w:tc>
        <w:tc>
          <w:tcPr>
            <w:tcW w:w="8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(4,084)</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Income from operations before acquisition-related (benefit), net</w:t>
            </w:r>
          </w:p>
        </w:tc>
        <w:tc>
          <w:tcPr>
            <w:tcW w:w="23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2,703</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7,478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Acquisition-related (benefit), net</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5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(2,097)</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160"/>
              <w:spacing w:after="0"/>
              <w:rPr>
                <w:sz w:val="20"/>
                <w:szCs w:val="20"/>
                <w:color w:val="auto"/>
              </w:rPr>
            </w:pPr>
            <w:r>
              <w:rPr>
                <w:rFonts w:ascii="Arial" w:cs="Arial" w:eastAsia="Arial" w:hAnsi="Arial"/>
                <w:sz w:val="18"/>
                <w:szCs w:val="18"/>
                <w:color w:val="auto"/>
              </w:rPr>
              <w:t>Income from operations</w:t>
            </w:r>
          </w:p>
        </w:tc>
        <w:tc>
          <w:tcPr>
            <w:tcW w:w="144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3,664</w:t>
            </w:r>
          </w:p>
        </w:tc>
        <w:tc>
          <w:tcPr>
            <w:tcW w:w="2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5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three months ended August 31, 2014, income from operations exclusive of acquisition-related costs decreased $4.8 million, or 64%, compared with the prior year’s quarter. As a percentage of revenues, income from operations excluding acquisition-related items was 2% and 6% for the first quarters of fiscal 2015 and fiscal 2014, respectively.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expenses increased by $8.6 million, or 29%, compared with the prior year’s first quarter, and by $7.5 million, or 24%, excluding acquisition-related items. This increase was driven by the Services segment, which incurred a year-on-year operating expense increase of $4.9 million, or 31%, exclusive of acquisition-related charges. The impact of acquisitions accounted for $2.9 million of this increase. The remainder of the increase in Services operating expenses was primarily due to increased salary, benefits and facility-related costs incurred due to growth in Canada and in the United States. Operating expenses in the International segment increased $1.3 million or 15%, exclusive of acquisition-related charges primarily due to increased salary and benefits costs from increased headcount.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was approximately $0.9 million and $0.7 million for the first quarters of fiscal 2015 and 2014, respectively. The increase was primarily related to an increase in average borrowings in the first quarter of fiscal 2015.</w:t>
      </w:r>
    </w:p>
    <w:p>
      <w:pPr>
        <w:sectPr>
          <w:pgSz w:w="11900" w:h="16838" w:orient="portrait"/>
          <w:cols w:equalWidth="0" w:num="1">
            <w:col w:w="11420"/>
          </w:cols>
          <w:pgMar w:left="240" w:top="125" w:right="239" w:bottom="0" w:gutter="0" w:footer="0" w:header="0"/>
        </w:sectPr>
      </w:pPr>
    </w:p>
    <w:bookmarkStart w:id="16" w:name="page17"/>
    <w:bookmarkEnd w:id="16"/>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effective income tax rate was approximately 39% and 36% for the first quarter of fiscal 2015 and 2014, respectively. The increase was primarily due to higher permanent tax differences and state taxes, lower overall income in the quarter and a lower proportion of income from various foreign jurisdictions that carry lower tax rates.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ind w:left="700"/>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14,515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11,538</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(40,645)</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(2,516)</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30,489</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(10,069)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three months ended August 31, 2014, cash provided by our operating activities was $14.5 million, an increase of $3.0 million from the comparable period of fiscal 2014. The increase of cash provided by our operating activities was primarily attributable to an increase in our net income, excluding depreciation, amortization and other non-cash expenses of $5.0 million. This was partially offset by a reduction in working capital items of $2.0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During the three months ended August 31, 2014, cash used in investing activities was $40.6 million, an increase of $38.1 million, principally due to acquisitions totaling $36.8 million, net of cash acquired in fiscal 2015. Cash used in investing activities also included purchases of property, plant and equipment of $3.8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Net cash provided by financing activities was $30.5 million for the three months ended August 31, 2014, a change of $40.6 million from the comparable period of fiscal 2014. The increase in cash provided by financing activities compared with prior year was driven by net borrowings of $35.6 million from our revolving credit facility to fund acquisitions, offset by payments of notes payable, other long-term debt and capital lease obligations and totaling $4.0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($1.9) million and $0.2 million for the three months ended August 31, 2014 and 2013,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December 2011, we entered into a Third Amended and Restated Credit Agreement (Credit Agreement), with Bank of America, N.A., as agent for the lenders and a lender, and JPMorgan Chase Bank, N.A., Keybank National Association and TD Bank, N.A., as lenders. The terms of our Credit Agreement have not changed from those set forth in Part II, Item 7 of our 2014 Annual Report under the Section “Liquidity and Capital Resources” — “Cash Balance and Credit Facility Borrowings,” and Note 10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consolidated financial statements in this report, under the heading “Senior Credit Facility.”</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August 31, 2014, we had cash and cash equivalents totaling $12.5 million and available borrowing capacity of $23.4 million under our credit agreement. There were borrowings of $96.7 million and a total of $4.9 million letters of credit outstanding under the existing agreement as of August 31, 2014. We finance our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August 31, 2014,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During the three months ended August 31, 2014, we did not have any relationships with unconsolidated entities or financial partnerships, such as entities often referred to as structured finance or special purpose entities, which would have been established for the purpose of facilitating off-balance sheet</w:t>
      </w:r>
    </w:p>
    <w:p>
      <w:pPr>
        <w:sectPr>
          <w:pgSz w:w="11900" w:h="16867" w:orient="portrait"/>
          <w:cols w:equalWidth="0" w:num="1">
            <w:col w:w="11400"/>
          </w:cols>
          <w:pgMar w:left="240" w:top="337"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arrangements or other contractually narrow or limited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2014 Annual Report.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There have been no significant changes to the Company’s quantitative and qualitative disclosures about market risk as discussed in Part II, Item 7A “Quantitative and Qualitative Disclosures About Market Risk,” included in the Annual Report on Form 10-K for the fiscal year ended May 31, 2014.</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August 31, 2014,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August 31, 2014 that has materially affected, or is reasonably likely to materially affect, such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2014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other legal proceedings.</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2014 Annual Report. There have been no material changes to the risk factors previously disclosed in the Annual Report.</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780" w:hanging="652"/>
        <w:spacing w:after="0" w:line="501"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60" w:hanging="652"/>
        <w:spacing w:after="0" w:line="498"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quarter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Month Ending</w:t>
            </w: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 Shares (or</w:t>
            </w:r>
          </w:p>
        </w:tc>
        <w:tc>
          <w:tcPr>
            <w:tcW w:w="10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Price Paid per</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Units) Purchased</w:t>
            </w:r>
          </w:p>
        </w:tc>
        <w:tc>
          <w:tcPr>
            <w:tcW w:w="10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Share (or Unit)</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31, 2014</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25" w:right="25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r>
      <w:tr>
        <w:trPr>
          <w:trHeight w:val="365"/>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
          </w:tcPr>
          <w:p>
            <w:pPr>
              <w:jc w:val="center"/>
              <w:ind w:right="1212"/>
              <w:spacing w:after="0"/>
              <w:rPr>
                <w:sz w:val="20"/>
                <w:szCs w:val="20"/>
                <w:color w:val="auto"/>
              </w:rPr>
            </w:pPr>
            <w:r>
              <w:rPr>
                <w:rFonts w:ascii="Arial" w:cs="Arial" w:eastAsia="Arial" w:hAnsi="Arial"/>
                <w:sz w:val="18"/>
                <w:szCs w:val="18"/>
                <w:color w:val="auto"/>
                <w:w w:val="89"/>
              </w:rPr>
              <w:t>25</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Schema Document</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Calculation Linkbase Document</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Labels Linkbase Document</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Presentation Linkbase Document</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XBRL Definition Linkbase Document</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
          </w:tcPr>
          <w:p>
            <w:pPr>
              <w:jc w:val="center"/>
              <w:ind w:right="1212"/>
              <w:spacing w:after="0"/>
              <w:rPr>
                <w:sz w:val="20"/>
                <w:szCs w:val="20"/>
                <w:color w:val="auto"/>
              </w:rPr>
            </w:pPr>
            <w:r>
              <w:rPr>
                <w:rFonts w:ascii="Arial" w:cs="Arial" w:eastAsia="Arial" w:hAnsi="Arial"/>
                <w:sz w:val="18"/>
                <w:szCs w:val="18"/>
                <w:color w:val="auto"/>
                <w:w w:val="89"/>
              </w:rPr>
              <w:t>26</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Pr>
          <w:p>
            <w:pPr>
              <w:jc w:val="center"/>
              <w:ind w:right="1552"/>
              <w:spacing w:after="0"/>
              <w:rPr>
                <w:sz w:val="20"/>
                <w:szCs w:val="20"/>
                <w:color w:val="auto"/>
              </w:rPr>
            </w:pPr>
            <w:r>
              <w:rPr>
                <w:rFonts w:ascii="Arial" w:cs="Arial" w:eastAsia="Arial" w:hAnsi="Arial"/>
                <w:sz w:val="18"/>
                <w:szCs w:val="18"/>
                <w:b w:val="1"/>
                <w:bCs w:val="1"/>
                <w:color w:val="auto"/>
                <w:w w:val="88"/>
              </w:rPr>
              <w:t>Signatures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-3311525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-3311525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Jonathan H. Wolk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Jonathan H. Wolk,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Jonathan H. Wolk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2014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Jonathan H. Wolk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lowerLetter"/>
      <w:start w:val="5"/>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2019-12-07T19:13:06Z</dcterms:created>
  <dcterms:modified xsi:type="dcterms:W3CDTF">2019-12-07T19:13:06Z</dcterms:modified>
</cp:coreProperties>
</file>