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-82550</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00"/>
        </w:trPr>
        <w:tc>
          <w:tcPr>
            <w:tcW w:w="50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tc>
        <w:tc>
          <w:tcPr>
            <w:tcW w:w="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0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gridSpan w:val="4"/>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gridSpan w:val="3"/>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980" w:type="dxa"/>
            <w:vAlign w:val="bottom"/>
            <w:gridSpan w:val="5"/>
          </w:tcPr>
          <w:p>
            <w:pPr>
              <w:jc w:val="center"/>
              <w:ind w:right="30"/>
              <w:spacing w:after="0" w:line="189"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4820" w:type="dxa"/>
            <w:vAlign w:val="bottom"/>
            <w:gridSpan w:val="5"/>
          </w:tcPr>
          <w:p>
            <w:pPr>
              <w:jc w:val="center"/>
              <w:ind w:right="3220"/>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820" w:type="dxa"/>
            <w:vAlign w:val="bottom"/>
            <w:gridSpan w:val="5"/>
          </w:tcPr>
          <w:p>
            <w:pPr>
              <w:jc w:val="center"/>
              <w:ind w:right="322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c>
          <w:tcPr>
            <w:tcW w:w="0" w:type="dxa"/>
            <w:vAlign w:val="bottom"/>
          </w:tcPr>
          <w:p>
            <w:pPr>
              <w:spacing w:after="0"/>
              <w:rPr>
                <w:sz w:val="1"/>
                <w:szCs w:val="1"/>
                <w:color w:val="auto"/>
              </w:rPr>
            </w:pPr>
          </w:p>
        </w:tc>
      </w:tr>
      <w:tr>
        <w:trPr>
          <w:trHeight w:val="493"/>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29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360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08550</w:t>
            </w: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i w:val="1"/>
                <w:iCs w:val="1"/>
                <w:color w:val="auto"/>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(609) 716-4000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jc w:val="right"/>
              <w:ind w:right="21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0" w:type="dxa"/>
            <w:vAlign w:val="bottom"/>
          </w:tcPr>
          <w:p>
            <w:pPr>
              <w:spacing w:after="0"/>
              <w:rPr>
                <w:sz w:val="1"/>
                <w:szCs w:val="1"/>
                <w:color w:val="auto"/>
              </w:rPr>
            </w:pPr>
          </w:p>
        </w:tc>
      </w:tr>
      <w:tr>
        <w:trPr>
          <w:trHeight w:val="228"/>
        </w:trPr>
        <w:tc>
          <w:tcPr>
            <w:tcW w:w="34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MG</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20"/>
        <w:spacing w:after="0" w:line="208"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w:t>
      </w:r>
    </w:p>
    <w:p>
      <w:pPr>
        <w:spacing w:after="0" w:line="21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320"/>
        <w:spacing w:after="0" w:line="208"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w:t>
      </w:r>
    </w:p>
    <w:p>
      <w:pPr>
        <w:spacing w:after="0" w:line="211" w:lineRule="exact"/>
        <w:rPr>
          <w:sz w:val="24"/>
          <w:szCs w:val="24"/>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04"/>
        </w:trPr>
        <w:tc>
          <w:tcPr>
            <w:tcW w:w="19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Large accelerated filer</w:t>
            </w:r>
          </w:p>
        </w:tc>
        <w:tc>
          <w:tcPr>
            <w:tcW w:w="2500" w:type="dxa"/>
            <w:vAlign w:val="bottom"/>
          </w:tcPr>
          <w:p>
            <w:pPr>
              <w:ind w:left="380"/>
              <w:spacing w:after="0" w:line="204" w:lineRule="exact"/>
              <w:rPr>
                <w:sz w:val="20"/>
                <w:szCs w:val="20"/>
                <w:color w:val="auto"/>
              </w:rPr>
            </w:pPr>
            <w:r>
              <w:rPr>
                <w:rFonts w:ascii="Arial" w:cs="Arial" w:eastAsia="Arial" w:hAnsi="Arial"/>
                <w:sz w:val="18"/>
                <w:szCs w:val="18"/>
                <w:color w:val="auto"/>
              </w:rPr>
              <w:t>o</w:t>
            </w:r>
          </w:p>
        </w:tc>
        <w:tc>
          <w:tcPr>
            <w:tcW w:w="4500" w:type="dxa"/>
            <w:vAlign w:val="bottom"/>
          </w:tcPr>
          <w:p>
            <w:pPr>
              <w:ind w:left="2040"/>
              <w:spacing w:after="0" w:line="204" w:lineRule="exact"/>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center"/>
              <w:ind w:left="330"/>
              <w:spacing w:after="0" w:line="204" w:lineRule="exact"/>
              <w:rPr>
                <w:sz w:val="20"/>
                <w:szCs w:val="20"/>
                <w:color w:val="auto"/>
              </w:rPr>
            </w:pPr>
            <w:r>
              <w:rPr>
                <w:rFonts w:ascii="Arial" w:cs="Arial" w:eastAsia="Arial" w:hAnsi="Arial"/>
                <w:sz w:val="18"/>
                <w:szCs w:val="18"/>
                <w:color w:val="auto"/>
              </w:rPr>
              <w:t>x</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00" w:type="dxa"/>
            <w:vAlign w:val="bottom"/>
          </w:tcPr>
          <w:p>
            <w:pPr>
              <w:ind w:left="380"/>
              <w:spacing w:after="0"/>
              <w:rPr>
                <w:sz w:val="20"/>
                <w:szCs w:val="20"/>
                <w:color w:val="auto"/>
              </w:rPr>
            </w:pPr>
            <w:r>
              <w:rPr>
                <w:rFonts w:ascii="Arial" w:cs="Arial" w:eastAsia="Arial" w:hAnsi="Arial"/>
                <w:sz w:val="18"/>
                <w:szCs w:val="18"/>
                <w:color w:val="auto"/>
              </w:rPr>
              <w:t>o</w:t>
            </w:r>
          </w:p>
        </w:tc>
        <w:tc>
          <w:tcPr>
            <w:tcW w:w="4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59"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150"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29, 2022, the registrant had 29,806,941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5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710565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5"/>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2"/>
            <w:vMerge w:val="continue"/>
          </w:tcPr>
          <w:p>
            <w:pPr>
              <w:spacing w:after="0"/>
              <w:rPr>
                <w:sz w:val="14"/>
                <w:szCs w:val="14"/>
                <w:color w:val="auto"/>
              </w:rPr>
            </w:pPr>
          </w:p>
        </w:tc>
        <w:tc>
          <w:tcPr>
            <w:tcW w:w="7520" w:type="dxa"/>
            <w:vAlign w:val="bottom"/>
            <w:gridSpan w:val="15"/>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Condensed Consolidated Balance Sheets as of June 30, 2022 (unaudited) and December 31, 2021</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(Loss) for the three and six months ended June 30, 2022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20" w:type="dxa"/>
            <w:vAlign w:val="bottom"/>
            <w:tcBorders>
              <w:top w:val="single" w:sz="8" w:color="0E32E1"/>
            </w:tcBorders>
            <w:gridSpan w:val="15"/>
          </w:tcPr>
          <w:p>
            <w:pPr>
              <w:spacing w:after="0" w:line="142" w:lineRule="exact"/>
              <w:rPr>
                <w:sz w:val="20"/>
                <w:szCs w:val="20"/>
                <w:color w:val="auto"/>
              </w:rPr>
            </w:pPr>
            <w:r>
              <w:rPr>
                <w:rFonts w:ascii="Times New Roman" w:cs="Times New Roman" w:eastAsia="Times New Roman" w:hAnsi="Times New Roman"/>
                <w:sz w:val="16"/>
                <w:szCs w:val="16"/>
                <w:color w:val="0E32E1"/>
              </w:rPr>
              <w:t>June 30, 2021</w:t>
            </w:r>
          </w:p>
        </w:tc>
        <w:tc>
          <w:tcPr>
            <w:tcW w:w="60" w:type="dxa"/>
            <w:vAlign w:val="bottom"/>
          </w:tcPr>
          <w:p>
            <w:pPr>
              <w:spacing w:after="0"/>
              <w:rPr>
                <w:sz w:val="13"/>
                <w:szCs w:val="13"/>
                <w:color w:val="auto"/>
              </w:rPr>
            </w:pPr>
          </w:p>
        </w:tc>
        <w:tc>
          <w:tcPr>
            <w:tcW w:w="1180" w:type="dxa"/>
            <w:vAlign w:val="bottom"/>
            <w:tcBorders>
              <w:top w:val="single" w:sz="8" w:color="0E32E1"/>
            </w:tcBorders>
          </w:tcPr>
          <w:p>
            <w:pPr>
              <w:spacing w:after="0"/>
              <w:rPr>
                <w:sz w:val="13"/>
                <w:szCs w:val="13"/>
                <w:color w:val="auto"/>
              </w:rPr>
            </w:pPr>
          </w:p>
        </w:tc>
        <w:tc>
          <w:tcPr>
            <w:tcW w:w="2140" w:type="dxa"/>
            <w:vAlign w:val="bottom"/>
            <w:tcBorders>
              <w:top w:val="single" w:sz="8" w:color="0E32E1"/>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Income (Loss) for the three and six months ended June</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tcBorders>
              <w:top w:val="single" w:sz="8" w:color="0E32E1"/>
            </w:tcBorders>
            <w:gridSpan w:val="21"/>
          </w:tcPr>
          <w:p>
            <w:pPr>
              <w:spacing w:after="0" w:line="142" w:lineRule="exact"/>
              <w:rPr>
                <w:sz w:val="20"/>
                <w:szCs w:val="20"/>
                <w:color w:val="auto"/>
              </w:rPr>
            </w:pPr>
            <w:r>
              <w:rPr>
                <w:rFonts w:ascii="Times New Roman" w:cs="Times New Roman" w:eastAsia="Times New Roman" w:hAnsi="Times New Roman"/>
                <w:sz w:val="16"/>
                <w:szCs w:val="16"/>
                <w:color w:val="0E32E1"/>
              </w:rPr>
              <w:t>30, 2022 and June 30, 2021</w:t>
            </w: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Equity for the three and six months ended June 30, 2022 and June 30,</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42" w:lineRule="exact"/>
              <w:rPr>
                <w:sz w:val="20"/>
                <w:szCs w:val="20"/>
                <w:color w:val="auto"/>
              </w:rPr>
            </w:pPr>
            <w:r>
              <w:rPr>
                <w:rFonts w:ascii="Times New Roman" w:cs="Times New Roman" w:eastAsia="Times New Roman" w:hAnsi="Times New Roman"/>
                <w:sz w:val="16"/>
                <w:szCs w:val="16"/>
                <w:color w:val="0E32E1"/>
              </w:rPr>
              <w:t>2021</w:t>
            </w:r>
          </w:p>
        </w:tc>
        <w:tc>
          <w:tcPr>
            <w:tcW w:w="24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22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180" w:type="dxa"/>
            <w:vAlign w:val="bottom"/>
            <w:tcBorders>
              <w:top w:val="single" w:sz="8" w:color="0E32E1"/>
            </w:tcBorders>
          </w:tcPr>
          <w:p>
            <w:pPr>
              <w:spacing w:after="0"/>
              <w:rPr>
                <w:sz w:val="13"/>
                <w:szCs w:val="13"/>
                <w:color w:val="auto"/>
              </w:rPr>
            </w:pPr>
          </w:p>
        </w:tc>
        <w:tc>
          <w:tcPr>
            <w:tcW w:w="540" w:type="dxa"/>
            <w:vAlign w:val="bottom"/>
            <w:tcBorders>
              <w:top w:val="single" w:sz="8" w:color="0E32E1"/>
            </w:tcBorders>
          </w:tcPr>
          <w:p>
            <w:pPr>
              <w:spacing w:after="0"/>
              <w:rPr>
                <w:sz w:val="13"/>
                <w:szCs w:val="13"/>
                <w:color w:val="auto"/>
              </w:rPr>
            </w:pPr>
          </w:p>
        </w:tc>
        <w:tc>
          <w:tcPr>
            <w:tcW w:w="160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E32E1"/>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228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Cash Flows for the six months ended June 30, 2022 and June 30, 2021</w:t>
            </w:r>
          </w:p>
        </w:tc>
        <w:tc>
          <w:tcPr>
            <w:tcW w:w="160" w:type="dxa"/>
            <w:vAlign w:val="bottom"/>
            <w:gridSpan w:val="2"/>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60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60" w:type="dxa"/>
            <w:vAlign w:val="bottom"/>
            <w:gridSpan w:val="2"/>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6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5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4"/>
                <w:szCs w:val="24"/>
                <w:color w:val="auto"/>
              </w:rPr>
            </w:pPr>
          </w:p>
        </w:tc>
        <w:tc>
          <w:tcPr>
            <w:tcW w:w="714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4"/>
          </w:tcPr>
          <w:p>
            <w:pPr>
              <w:spacing w:after="0"/>
              <w:rPr>
                <w:sz w:val="24"/>
                <w:szCs w:val="24"/>
                <w:color w:val="auto"/>
              </w:rPr>
            </w:pPr>
          </w:p>
        </w:tc>
        <w:tc>
          <w:tcPr>
            <w:tcW w:w="758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109,511</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86,578</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205,439</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562,195</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182,403</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29,807,038 and 29,546,263 shares issued</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238,687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200,912</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562,195</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67"/>
        </w:trPr>
        <w:tc>
          <w:tcPr>
            <w:tcW w:w="4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331,412</w:t>
            </w: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225,030</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95,337</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79,358</w:t>
            </w: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r>
      <w:tr>
        <w:trPr>
          <w:trHeight w:val="229"/>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3"/>
        </w:trPr>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r>
      <w:tr>
        <w:trPr>
          <w:trHeight w:val="229"/>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(benefit)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175"/>
        </w:trPr>
        <w:tc>
          <w:tcPr>
            <w:tcW w:w="4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 net</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of taxes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29,514</w:t>
            </w:r>
          </w:p>
        </w:tc>
      </w:tr>
      <w:tr>
        <w:trPr>
          <w:trHeight w:val="234"/>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30,039</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70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1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30"/>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2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45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Less: Foreign currency translation adjustments attributable</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noncontrolling interests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6"/>
        </w:trPr>
        <w:tc>
          <w:tcPr>
            <w:tcW w:w="4560" w:type="dxa"/>
            <w:vAlign w:val="bottom"/>
            <w:tcBorders>
              <w:top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Mistras Group,</w:t>
            </w:r>
          </w:p>
        </w:tc>
        <w:tc>
          <w:tcPr>
            <w:tcW w:w="980" w:type="dxa"/>
            <w:vAlign w:val="bottom"/>
            <w:tcBorders>
              <w:top w:val="single" w:sz="8" w:color="auto"/>
            </w:tcBorders>
            <w:vMerge w:val="restart"/>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6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Mistras Group,</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8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4"/>
                <w:szCs w:val="4"/>
                <w:color w:val="auto"/>
              </w:rPr>
            </w:pPr>
          </w:p>
        </w:tc>
        <w:tc>
          <w:tcPr>
            <w:tcW w:w="12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Inc.</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line="20" w:lineRule="exact"/>
              <w:rPr>
                <w:sz w:val="1"/>
                <w:szCs w:val="1"/>
                <w:color w:val="auto"/>
              </w:rPr>
            </w:pPr>
          </w:p>
        </w:tc>
      </w:tr>
      <w:tr>
        <w:trPr>
          <w:trHeight w:val="171"/>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Stockholders’ 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29,720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239,656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196,846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197,085</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4,643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4,666</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1,255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1,255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1,255</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29,807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240,697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(18,708)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(28,287)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193,999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194,261</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29,347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235,413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(27,210)</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191,843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192,044</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5,937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5,945</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2,946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2,946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2,947</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1,202</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1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0" w:type="dxa"/>
            <w:vAlign w:val="bottom"/>
          </w:tcPr>
          <w:p>
            <w:pPr>
              <w:spacing w:after="0"/>
              <w:rPr>
                <w:sz w:val="1"/>
                <w:szCs w:val="1"/>
                <w:color w:val="auto"/>
              </w:rPr>
            </w:pPr>
          </w:p>
        </w:tc>
      </w:tr>
      <w:tr>
        <w:trPr>
          <w:trHeight w:val="200"/>
        </w:trPr>
        <w:tc>
          <w:tcPr>
            <w:tcW w:w="2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29,432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236,125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201,439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201,649</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8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82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20" w:type="dxa"/>
            <w:vAlign w:val="bottom"/>
          </w:tcPr>
          <w:p>
            <w:pPr>
              <w:spacing w:after="0"/>
              <w:rPr>
                <w:sz w:val="4"/>
                <w:szCs w:val="4"/>
                <w:color w:val="auto"/>
              </w:rPr>
            </w:pPr>
          </w:p>
        </w:tc>
        <w:tc>
          <w:tcPr>
            <w:tcW w:w="122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Inc.</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line="20" w:lineRule="exact"/>
              <w:rPr>
                <w:sz w:val="1"/>
                <w:szCs w:val="1"/>
                <w:color w:val="auto"/>
              </w:rPr>
            </w:pPr>
          </w:p>
        </w:tc>
      </w:tr>
      <w:tr>
        <w:trPr>
          <w:trHeight w:val="171"/>
        </w:trPr>
        <w:tc>
          <w:tcPr>
            <w:tcW w:w="20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2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200,912</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(7,976)</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29,807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240,697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(18,708)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(28,287)</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193,999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194,261</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29,234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234,638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(16,061)</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197,021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197,219</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w w:val="97"/>
              </w:rPr>
              <w:t>Other comprehensive income, net of tax</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0" w:type="dxa"/>
            <w:vAlign w:val="bottom"/>
          </w:tcPr>
          <w:p>
            <w:pPr>
              <w:spacing w:after="0"/>
              <w:rPr>
                <w:sz w:val="1"/>
                <w:szCs w:val="1"/>
                <w:color w:val="auto"/>
              </w:rPr>
            </w:pPr>
          </w:p>
        </w:tc>
      </w:tr>
      <w:tr>
        <w:trPr>
          <w:trHeight w:val="200"/>
        </w:trPr>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236,125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201,439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201,649</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0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w:t>
            </w: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16,935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17,197</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2,464</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Fair value adjustments to contingent consideration</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788</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loss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932</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(15,577)</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3,751</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9,053</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 of contingent consideration liability in excess of acquisition-date fair value</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7,809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18,126</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(10,188)</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899</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(10,318)</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(7,957)</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37,000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financing costs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contingent consideration for business acquisitions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(12,970)</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(5,818)</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24,110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25,760</w:t>
            </w:r>
          </w:p>
        </w:tc>
      </w:tr>
      <w:tr>
        <w:trPr>
          <w:trHeight w:val="18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18,609</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19,942</w:t>
            </w:r>
          </w:p>
        </w:tc>
      </w:tr>
      <w:tr>
        <w:trPr>
          <w:trHeight w:val="18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3,525</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5,898</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3,135</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1,623</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Mistras Group, Inc. and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strong commitment to Environmental, Social, and Governance (ESG) initiatives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Issues related to the COVID-19 coronavirus (COVID-19) have subsided significantly, but COVID-19 is still causing some disruption in domestic and international markets although conditions continue to improve during 2022 as compared to 2021. The Russian-Ukrainian conflict is creating disruption in the oil &amp; gas market and the supply chain in general, which is resulting in some disruption to our business operations. With oil prices high, refineries are working at full capacity and are deferring maintenance and inspection work as much as possible, which is impacting our business as well.</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has eliminated substantially all of the cost reduction initiatives undertaken in 2020, including re-installment of the savings plan employer match and increasing wages back to pre-pandemic amounts.</w:t>
      </w:r>
    </w:p>
    <w:p>
      <w:pPr>
        <w:spacing w:after="0" w:line="20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the Russian-Ukrainian conflict may have on its business, results of operations or liquidity or in other ways which the Company cannot yet determine. To date, the Company’s European operations have begun to see increased costs associated with higher energy costs, among others, due in part to the Russian-Ukrainian conflict. The Company will continue to monitor market conditions and respond accordingly.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2021 Annual Report on Form 10-K ("2021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 The results of operations of companies acquired are included from the date of acquisition.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three and six months ended June 30, 2022 and 2021, no customer represented 10% or more of the Company’s revenue.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2021 Annual Report. On an ongoing basis, the Company evaluates its estimates and assumptions, including among other things, those related to revenue recognition, long-lived assets, goodwill and acquisitions. Since the date of the 2021 Annual Report, there have been no material changes to the Company’s significant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management concluded that it is more likely than not that a substantial portion of the Company’s deferred tax assets will be realized.</w:t>
      </w:r>
    </w:p>
    <w:p>
      <w:pPr>
        <w:spacing w:after="0" w:line="239"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37.4% and 27.7% for the three months ended June 30, 2022 and 2021, respectively. The Company’s effective income tax rate was approximately 183.6% and (125.4)% for the six months ended June 30, 2022 and 2021, respectively.</w:t>
      </w:r>
    </w:p>
    <w:p>
      <w:pPr>
        <w:spacing w:after="0" w:line="189" w:lineRule="exact"/>
        <w:rPr>
          <w:sz w:val="20"/>
          <w:szCs w:val="20"/>
          <w:color w:val="auto"/>
        </w:rPr>
      </w:pPr>
    </w:p>
    <w:p>
      <w:pPr>
        <w:ind w:right="66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2022, was higher than the statutory rate primarily due to a $0.7 million valuation allowance recorded on a foreign jurisdiction. The effective income tax rate for the three months ended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was higher than the statutory rate due to earnings in jurisdictions with higher income tax rates than the United States.</w:t>
      </w:r>
    </w:p>
    <w:p>
      <w:pPr>
        <w:spacing w:after="0" w:line="23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valuation allowance of $0.7 million has been recorded to recognize only the portion of the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208"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2022 was higher than the statutory rate due primarily to a $0.7 million valuation allowance recorded during the period which was related to a foreign jurisdiction. The effective income tax rate for the six months ended June 30, 2021 was lower than the statutory rate due to capitalization of certain non-US intercompany balances which resulted in a deductible foreign exchange loss in the 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March 2020 and updated in January 2021, the FASB issued ASU 2020-04 and 2021-01,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applicable contracts and the available expedients provided by the new guidance.</w:t>
      </w: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101,265</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22,444</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229"/>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95,576</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17,854</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14,086</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r>
      <w:tr>
        <w:trPr>
          <w:trHeight w:val="229"/>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177,677</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195,488</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42,514</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r>
      <w:tr>
        <w:trPr>
          <w:trHeight w:val="229"/>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182,788</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33,110</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31,849</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22,357</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24,795</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17,322</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127,545</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22,992</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123,776</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21,729</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177,677</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242,349</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41,792</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53,647</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229,599</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41,788</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56,474</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Revenue recognized during the six months ended June 30, 2022 and 2021 that was included in the contract liability balance at the beginning of such year was $1.4 million and $3.3 million, for each period. Changes in the contract asset and liability balances during these periods were not materially impacted by any other factors. The Company applies a practical expedient to expense incremental costs incurred related to obtaining a contract. The Company’s expenses are expected to be amortized over a period less than one year.</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two equity incentive plans: (i) the 2009 Long-Term Incentive Plan (the "2009 Plan") and (ii) the 2016 Long-Term Incentive Plan (the "2016 Plan"). No further awards may be granted under the 2009 Plan, and the remaining stock option award granted under the 2009 Plan expired during the three months ended March 31, 2022. Awards granted under the 2016 Plan may be in the form of stock options, restricted stock units and other forms of share-based incentives, including performance restricted stock units, stock appreciation rights and deferred stock rights. At the annual shareholders meeting on May 23, 2022, the Company’s shareholders approved an amendment to increase the total number of shares that may be issued under the 2016 Plan by 1.2 million, for a total of 4.9 million shares that are authorized for issuance under the 2016 Plan, of which approximately 1,600,000 shares were available for future grants as of June 30,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each of the three and six months ended June 30, 2022 and 2021, the Company did not recognize any share-based compensation expense related to the stock option award, as the one outstanding stock option award was already fully vested. No unrecognized compensation costs remained related to the stock option award as of June 30, 2022.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weighted-average exercise prices and options outstanding as of June 30, 2022 and 2021:</w:t>
      </w:r>
    </w:p>
    <w:p>
      <w:pPr>
        <w:ind w:left="7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3"/>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16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16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2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0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29"/>
        </w:trPr>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Borders>
              <w:bottom w:val="single" w:sz="8" w:color="CCEEFF"/>
            </w:tcBorders>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22.35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2022 and June 30, 2021, the Company recognized share-based compensation expense related to restricted stock unit awards of $0.9 million and $0.9 million, respectively. For the six months ended June 30, 2022 and 2021, the Company recognized share-based compensation expense related to restricted stock unit awards of $1.9 million and $1.8 million, respectively. As of June 30, 2022, there was $8.6 million of unrecognized compensation costs, net of estimated forfeitures, related to restricted stock unit awards, which is expected to be recognized over a remaining weighted-average period of 2.9 years. Upon vesting, restricted stock units are generally net share-settled to cover the required withholding tax and the remaining amount is converted into an equivalent number of shares of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2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r>
    </w:tbl>
    <w:p>
      <w:pPr>
        <w:spacing w:after="0" w:line="301" w:lineRule="exact"/>
        <w:rPr>
          <w:sz w:val="20"/>
          <w:szCs w:val="20"/>
          <w:color w:val="auto"/>
        </w:rPr>
      </w:pPr>
    </w:p>
    <w:p>
      <w:pPr>
        <w:ind w:right="660"/>
        <w:spacing w:after="0" w:line="270" w:lineRule="auto"/>
        <w:rPr>
          <w:sz w:val="20"/>
          <w:szCs w:val="20"/>
          <w:color w:val="auto"/>
        </w:rPr>
      </w:pPr>
      <w:r>
        <w:rPr>
          <w:rFonts w:ascii="Times New Roman" w:cs="Times New Roman" w:eastAsia="Times New Roman" w:hAnsi="Times New Roman"/>
          <w:sz w:val="18"/>
          <w:szCs w:val="18"/>
          <w:color w:val="auto"/>
        </w:rPr>
        <w:t>A summary of the fully-vested common stock the Company issued to its six non-employee directors, in connection with its non-employee director compensation plan, is as follows:</w:t>
      </w: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9"/>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5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1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2021, the Compensation Committee made changes to the Company’s equity incentive compensation plan for its executive officers and approved the new target awards for 2021. For 2021, the three metrics were:</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net cash provided by operating activities less purchases of property, plant, equipment and intangible assets and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approved by the Compensation Committee.</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Shareholder Return (TSR) </w:t>
      </w:r>
      <w:r>
        <w:rPr>
          <w:rFonts w:ascii="Times New Roman" w:cs="Times New Roman" w:eastAsia="Times New Roman" w:hAnsi="Times New Roman"/>
          <w:sz w:val="18"/>
          <w:szCs w:val="18"/>
          <w:color w:val="auto"/>
        </w:rPr>
        <w:t>measures the total return to shareholders of the Company during 2021 versus the total return to the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2020), compared to the average share price during the 20-trading day 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2"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Expected volatility of the Company’s common stock at the date of grant was estimated based on a historical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rate for the approximate 1-year performance period.</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The dividend yield assumption was based on historical and anticipated dividend payouts (assumed at zero).</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2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assumption was based on observed interest rates consistent with the approximate 1-year performance measurement period.</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the Compensation Committee retained the Company’s prior year equity incentive compensation plan for its executive officers including utilizing the same metrics, as defined above, and approved the new target awards for 2022.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 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4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30"/>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and June 30, 2021, the Compensation Committee approved the final calculation of the award metrics for calendar year 2021 and calendar year 2020, respectively. As a result, the calendar year 2022 PRSUs decreased by approximately 163,000 units during the six months ended June 30, 2022 as a result of the final calculation of the 2021 award and based on forecasted results for 2022 as compared to performance metrics determined by the Compensation Committee.</w:t>
      </w:r>
    </w:p>
    <w:p>
      <w:pPr>
        <w:spacing w:after="0" w:line="2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June 30, 2021, the Company recognized aggregate share-based compensation expense related to the awards described above of approximately $0.3 million and $0.3 million, respectively. For the six months ended June 30, 2022 and June 30, 2021, the Company recognized aggregate share-based compensation expense related to the awards described above of approximately $0.6 million and $0.4 million, respectively. At June 30, 2022, there was $2.0 million of total unrecognized compensation costs related to approximately 549,000 non-vested PRSUs, which is expected to be recognized over a remaining weighted-average period of 2.2 years.</w:t>
      </w:r>
    </w:p>
    <w:p>
      <w:pPr>
        <w:spacing w:after="0" w:line="200" w:lineRule="exact"/>
        <w:rPr>
          <w:sz w:val="20"/>
          <w:szCs w:val="20"/>
          <w:color w:val="auto"/>
        </w:rPr>
      </w:pPr>
    </w:p>
    <w:p>
      <w:pPr>
        <w:spacing w:after="0" w:line="3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outstanding during the period. Diluted earnings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0"/>
        </w:trPr>
        <w:tc>
          <w:tcPr>
            <w:tcW w:w="4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29,602</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29,514</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68"/>
        </w:trPr>
        <w:tc>
          <w:tcPr>
            <w:tcW w:w="48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29,514</w:t>
            </w: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48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w:t>
            </w: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9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ind w:left="180" w:right="20" w:hanging="172"/>
        <w:spacing w:after="0" w:line="231" w:lineRule="auto"/>
        <w:tabs>
          <w:tab w:leader="none" w:pos="183"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six months ended June 30, 2022, 1,412,073 shares related to restricted stock were excluded from the calculation of diluted EPS due to the net loss for the period.</w:t>
      </w:r>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Expense</w:t>
      </w:r>
    </w:p>
    <w:p>
      <w:pPr>
        <w:spacing w:after="0" w:line="2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and six months ended June 30,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6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8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10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June 30, 2022, the Company’s contingent consideration liabilities are included in Accrued expenses and other current liabilities on the Condensed Consolidated Balance Sheets.</w:t>
      </w: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$18.8 million and $11.9 million of unbilled revenue accrued as of June 30, 2022 and December 31, 2021,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recorded a full reserve for this receivable during 2019 and the status of this situation has not changed since 2019. See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for additional details.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3"/>
                <w:szCs w:val="13"/>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3"/>
                <w:szCs w:val="13"/>
                <w:color w:val="auto"/>
              </w:rPr>
            </w:pPr>
          </w:p>
        </w:tc>
        <w:tc>
          <w:tcPr>
            <w:tcW w:w="14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94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250,166</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294,335</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(207,757)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June 30, 2022 and 2021 was approximately $5.8 million and $6.2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six months ended June 30, 2022 and 2021 was $12.3 million and $12.3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14,783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(1,145)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13,638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7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2021 and the Company did not identify any changes in circumstances that would indicate the carrying value of goodwill may not be recoverable. Additionally, through June 30, 2022,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1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0" w:type="dxa"/>
            <w:vAlign w:val="bottom"/>
          </w:tcPr>
          <w:p>
            <w:pPr>
              <w:spacing w:after="0"/>
              <w:rPr>
                <w:sz w:val="1"/>
                <w:szCs w:val="1"/>
                <w:color w:val="auto"/>
              </w:rPr>
            </w:pPr>
          </w:p>
        </w:tc>
      </w:tr>
      <w:tr>
        <w:trPr>
          <w:trHeight w:val="230"/>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Software/Technology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June 30, 2022 and 2021 was approximately $2.3 million and $2.5 million,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six months ended June 30, 2022 and June 30, 2021 was $4.6 million and $4.9 million,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33,816</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25,462</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83,863</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119,500</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$0.1 million and $0.2 million, respectively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76,673</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202,565</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182,403</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a credit agreement with its banking group (as amended, the "Credit Agreement") which provides the Company with a revolving line of credit and a $100 million senior secured term loan A facility with a balance of $68.0 million as of June 30, 2022. Pursuant to the Amendment described below, the revolving line of credit was reduced from $155 million to $150 million on December 31, 2021. Both the revolving line of credit and the term loan A facility under the Credit Agreement have a maturity date of December 12, 2023.</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19, 2021, the Company entered into the Fifth Amendment (the “Amendment”) to the Credit Agreement. The Amendment made the following changes:</w:t>
      </w:r>
    </w:p>
    <w:p>
      <w:pPr>
        <w:spacing w:after="0" w:line="1" w:lineRule="exact"/>
        <w:rPr>
          <w:sz w:val="20"/>
          <w:szCs w:val="20"/>
          <w:color w:val="auto"/>
        </w:rPr>
      </w:pPr>
    </w:p>
    <w:p>
      <w:pPr>
        <w:jc w:val="both"/>
        <w:ind w:left="660" w:hanging="328"/>
        <w:spacing w:after="0" w:line="23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the LIBOR floor of 1.0%, which provided that if LIBOR is below 1.0%, the interest rate will be calculated as if LIBOR is 1.0%. Now the actual LIBOR rate is used to calculate interest, even if LIBOR is below 1.0%. The LIBOR margins and base rate margins are unchanged but are based upon the new Total Consolidated Debt Leverage Ratio (defined below); previously the margin was based upon the Funded Debt Leverage Ratio.</w:t>
      </w:r>
    </w:p>
    <w:p>
      <w:pPr>
        <w:spacing w:after="0" w:line="211" w:lineRule="exact"/>
        <w:rPr>
          <w:rFonts w:ascii="Times New Roman" w:cs="Times New Roman" w:eastAsia="Times New Roman" w:hAnsi="Times New Roman"/>
          <w:sz w:val="18"/>
          <w:szCs w:val="18"/>
          <w:color w:val="auto"/>
        </w:rPr>
      </w:pPr>
    </w:p>
    <w:p>
      <w:pPr>
        <w:ind w:left="660" w:right="20" w:hanging="328"/>
        <w:spacing w:after="0" w:line="24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Company to maintain a Total Consolidated Debt Leverage Ratio not to exceed 4.0 to 1.0 as of the end of each quarter through the quarter ending March 31, 2022, and for each quarter thereafter the ratio shall not exceed 3.5 to 1.0.</w:t>
      </w:r>
    </w:p>
    <w:p>
      <w:pPr>
        <w:ind w:left="1300" w:hanging="320"/>
        <w:spacing w:after="0" w:line="234" w:lineRule="auto"/>
        <w:tabs>
          <w:tab w:leader="none" w:pos="132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quarters.</w:t>
      </w:r>
    </w:p>
    <w:p>
      <w:pPr>
        <w:spacing w:after="0" w:line="1" w:lineRule="exact"/>
        <w:rPr>
          <w:rFonts w:ascii="Times New Roman" w:cs="Times New Roman" w:eastAsia="Times New Roman" w:hAnsi="Times New Roman"/>
          <w:sz w:val="18"/>
          <w:szCs w:val="18"/>
          <w:color w:val="auto"/>
        </w:rPr>
      </w:pPr>
    </w:p>
    <w:p>
      <w:pPr>
        <w:ind w:left="1300" w:hanging="320"/>
        <w:spacing w:after="0" w:line="233" w:lineRule="auto"/>
        <w:tabs>
          <w:tab w:leader="none" w:pos="13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 (with a limited exception).</w:t>
      </w:r>
    </w:p>
    <w:p>
      <w:pPr>
        <w:spacing w:after="0" w:line="21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incurs certain subordinated debt or other permitted indebtedness, then the Company must maintain a Total Consolidated Debt Leverage Ratio not to exceed 4.5 to 1.0 and maintain a ratio of Senior Debt to EBITDA not to exceed 3.5 to 1.0, with Senior Debt being Total Consolidated Debt, less permitted subordinated debt.</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repay loans under the Credit Agreement with the net proceeds from certain dispositions of assets under certain circumstances and limits investments in non-guarantor subsidiaries under certain circumstances if the Company’s Total Consolidated Leverage Ratio is above 3.5 to 1.0.</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increased from $3.75 million to $5.0 million during the quarter ended June 30, 2022 with a final balloon payment at maturity.</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 result of the borrowing capacity reduction on the revolving loan line of credit, the Company expensed $0.1 million in unamortized capitalized debt issuance costs during the year ended December 31, 2021, which was included in selling, general and administrative expenses on the Consolidated Statements of Income (Loss). The Company incurred $0.5 million in financing costs for the Amendment, of which $0.2 million of third party costs were expensed and included in selling, general and administrative expenses on the Consolidated Statements of Income (Loss).</w:t>
      </w:r>
    </w:p>
    <w:p>
      <w:pPr>
        <w:spacing w:after="0" w:line="2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the Credit Agreement, the Company may borrow up to $100 million in non-U.S. Dollar currencies and use up to $20 million of the credit limit for the issuance of letters of credit.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of June 30, 2022, the Company had borrowings of $195.3 million and a total of $3.0 million of letters of credit outstanding under the Credit Agreement. The Company has capitalized costs associated with debt modifications of $0.7 million as of June 30, 2022, which is included in Other assets on the Condensed Consolidated Balance Sheets and will be amortized into interest expense over the remaining term of the Credit Agreement through December 12, 2023.</w:t>
      </w:r>
    </w:p>
    <w:p>
      <w:pPr>
        <w:spacing w:after="0" w:line="204"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As of June 30, 2022, the Company was in compliance with the terms of the Credit Agreement. The Company continuously monitors compliance with the covenants contained in its Credit Agreement. The Company believes that it is probable that the Company will be able to comply with the financial covenants in the Credit Agreement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2022, the Company entered into an agreement for a new Senior Credit Facility. See Note 16-</w:t>
      </w:r>
      <w:r>
        <w:rPr>
          <w:rFonts w:ascii="Times New Roman" w:cs="Times New Roman" w:eastAsia="Times New Roman" w:hAnsi="Times New Roman"/>
          <w:sz w:val="18"/>
          <w:szCs w:val="18"/>
          <w:b w:val="1"/>
          <w:bCs w:val="1"/>
          <w:i w:val="1"/>
          <w:iCs w:val="1"/>
          <w:color w:val="auto"/>
        </w:rPr>
        <w:t>Subsequent Events</w:t>
      </w:r>
      <w:r>
        <w:rPr>
          <w:rFonts w:ascii="Times New Roman" w:cs="Times New Roman" w:eastAsia="Times New Roman" w:hAnsi="Times New Roman"/>
          <w:sz w:val="18"/>
          <w:szCs w:val="18"/>
          <w:color w:val="auto"/>
        </w:rPr>
        <w:t xml:space="preserve"> for additional details.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bank financing provided at the local subsidiary level used to support working capital requirements and fund capital expenditures. At June 30, 2022, there was an aggregate of approximately $5.2 million outstanding, payable at various times through 2030. Monthly payments range from $1.0 thousand to $15.0 thousand and interest rates range from 0.4% to 3.5%.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liability</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approximates their carrying amounts based on anticipated interest rates which management believes would currently be available to the Company for similar issuances of debt.</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Condensed Consolidated Balance Sheets include the following related to right-of-use ("ROU")</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ROU assets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42,451</w:t>
            </w:r>
          </w:p>
        </w:tc>
      </w:tr>
      <w:tr>
        <w:trPr>
          <w:trHeight w:val="37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ROU - current</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r>
      <w:tr>
        <w:trPr>
          <w:trHeight w:val="229"/>
        </w:trPr>
        <w:tc>
          <w:tcPr>
            <w:tcW w:w="4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ROU liability - long-term</w:t>
            </w:r>
          </w:p>
        </w:tc>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34,030</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ROU liabilities</w:t>
            </w:r>
          </w:p>
        </w:tc>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Included within the balance of operating leases is a lease for the Company’s headquarters which is with a related party. The ROU liability for this facility was approximately $2.2 million and $2.9 million as of June 30, 2022 and December 31, 2021, respectively. Total rent payments for this facility were approximately $0.2 million and $0.3 million for the three months ended June 30, 2022 and June 30, 2021, respectively. Total rent payments for this facility were approximately $0.5 million and $0.7 million for the six months ended June 30, 2022 and June 30, 2021, respectively. An agreement was reached with the related party to reduce rental payments by 12.5% for the lease of the Company’s headquarters, effective February 2022 as part of a voluntary reduction.</w:t>
      </w:r>
    </w:p>
    <w:p>
      <w:pPr>
        <w:spacing w:after="0" w:line="178"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18"/>
          <w:szCs w:val="18"/>
          <w:color w:val="auto"/>
        </w:rPr>
        <w:t>The total ROU assets attributable to finance leases were approximately $12.8 million and $13.8 million as of June 30, 2022 and December 31, 2021, respectively, which is included in Property, plant, and equipment, net on the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0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20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2040" w:type="dxa"/>
            <w:vAlign w:val="bottom"/>
          </w:tcPr>
          <w:p>
            <w:pPr>
              <w:spacing w:after="0"/>
              <w:rPr>
                <w:sz w:val="16"/>
                <w:szCs w:val="16"/>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184"/>
        </w:trPr>
        <w:tc>
          <w:tcPr>
            <w:tcW w:w="20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Amortization of ROU</w:t>
            </w:r>
          </w:p>
        </w:tc>
        <w:tc>
          <w:tcPr>
            <w:tcW w:w="350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500" w:type="dxa"/>
            <w:vAlign w:val="bottom"/>
            <w:gridSpan w:val="3"/>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184"/>
        </w:trPr>
        <w:tc>
          <w:tcPr>
            <w:tcW w:w="20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Interest on lease</w:t>
            </w:r>
          </w:p>
        </w:tc>
        <w:tc>
          <w:tcPr>
            <w:tcW w:w="35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184"/>
        </w:trPr>
        <w:tc>
          <w:tcPr>
            <w:tcW w:w="2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lease expense</w:t>
            </w:r>
          </w:p>
        </w:tc>
        <w:tc>
          <w:tcPr>
            <w:tcW w:w="350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revenue; Selling, general &amp;</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040" w:type="dxa"/>
            <w:vAlign w:val="bottom"/>
            <w:shd w:val="clear" w:color="auto" w:fill="CCEEFF"/>
          </w:tcPr>
          <w:p>
            <w:pPr>
              <w:spacing w:after="0"/>
              <w:rPr>
                <w:sz w:val="20"/>
                <w:szCs w:val="20"/>
                <w:color w:val="auto"/>
              </w:rPr>
            </w:pPr>
          </w:p>
        </w:tc>
        <w:tc>
          <w:tcPr>
            <w:tcW w:w="3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r>
      <w:tr>
        <w:trPr>
          <w:trHeight w:val="184"/>
        </w:trPr>
        <w:tc>
          <w:tcPr>
            <w:tcW w:w="2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Short-term lease expense</w:t>
            </w:r>
          </w:p>
        </w:tc>
        <w:tc>
          <w:tcPr>
            <w:tcW w:w="35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revenue; Selling, general &amp;</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2040" w:type="dxa"/>
            <w:vAlign w:val="bottom"/>
          </w:tcPr>
          <w:p>
            <w:pPr>
              <w:spacing w:after="0"/>
              <w:rPr>
                <w:sz w:val="20"/>
                <w:szCs w:val="20"/>
                <w:color w:val="auto"/>
              </w:rPr>
            </w:pPr>
          </w:p>
        </w:tc>
        <w:tc>
          <w:tcPr>
            <w:tcW w:w="3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84"/>
        </w:trPr>
        <w:tc>
          <w:tcPr>
            <w:tcW w:w="2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Variable lease expense</w:t>
            </w:r>
          </w:p>
        </w:tc>
        <w:tc>
          <w:tcPr>
            <w:tcW w:w="350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revenue; Selling, general &amp;</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040" w:type="dxa"/>
            <w:vAlign w:val="bottom"/>
            <w:shd w:val="clear" w:color="auto" w:fill="CCEEFF"/>
          </w:tcPr>
          <w:p>
            <w:pPr>
              <w:spacing w:after="0"/>
              <w:rPr>
                <w:sz w:val="20"/>
                <w:szCs w:val="20"/>
                <w:color w:val="auto"/>
              </w:rPr>
            </w:pPr>
          </w:p>
        </w:tc>
        <w:tc>
          <w:tcPr>
            <w:tcW w:w="3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10,473</w:t>
            </w:r>
          </w:p>
        </w:tc>
      </w:tr>
      <w:tr>
        <w:trPr>
          <w:trHeight w:val="20"/>
        </w:trPr>
        <w:tc>
          <w:tcPr>
            <w:tcW w:w="2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leases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6"/>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finance and operating leases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 financing cash flows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2,050</w:t>
            </w:r>
          </w:p>
        </w:tc>
        <w:tc>
          <w:tcPr>
            <w:tcW w:w="20" w:type="dxa"/>
            <w:vAlign w:val="bottom"/>
          </w:tcPr>
          <w:p>
            <w:pPr>
              <w:spacing w:after="0"/>
              <w:rPr>
                <w:sz w:val="19"/>
                <w:szCs w:val="19"/>
                <w:color w:val="auto"/>
              </w:rPr>
            </w:pPr>
          </w:p>
        </w:tc>
      </w:tr>
      <w:tr>
        <w:trPr>
          <w:trHeight w:val="229"/>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Finance - operating cash flows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9"/>
                <w:szCs w:val="19"/>
                <w:color w:val="auto"/>
              </w:rPr>
            </w:pPr>
          </w:p>
        </w:tc>
      </w:tr>
      <w:tr>
        <w:trPr>
          <w:trHeight w:val="22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 operating cash flows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6,620</w:t>
            </w:r>
          </w:p>
        </w:tc>
        <w:tc>
          <w:tcPr>
            <w:tcW w:w="2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the exchange for lease liabilities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tcPr>
          <w:p>
            <w:pPr>
              <w:spacing w:after="0"/>
              <w:rPr>
                <w:sz w:val="19"/>
                <w:szCs w:val="19"/>
                <w:color w:val="auto"/>
              </w:rPr>
            </w:pPr>
          </w:p>
        </w:tc>
      </w:tr>
      <w:tr>
        <w:trPr>
          <w:trHeight w:val="225"/>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2,828</w:t>
            </w:r>
          </w:p>
        </w:tc>
        <w:tc>
          <w:tcPr>
            <w:tcW w:w="20" w:type="dxa"/>
            <w:vAlign w:val="bottom"/>
          </w:tcPr>
          <w:p>
            <w:pPr>
              <w:spacing w:after="0"/>
              <w:rPr>
                <w:sz w:val="19"/>
                <w:szCs w:val="19"/>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r>
      <w:tr>
        <w:trPr>
          <w:trHeight w:val="225"/>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0" w:type="dxa"/>
            <w:vAlign w:val="bottom"/>
          </w:tcPr>
          <w:p>
            <w:pPr>
              <w:spacing w:after="0"/>
              <w:rPr>
                <w:sz w:val="19"/>
                <w:szCs w:val="19"/>
                <w:color w:val="auto"/>
              </w:rPr>
            </w:pPr>
          </w:p>
        </w:tc>
      </w:tr>
      <w:tr>
        <w:trPr>
          <w:trHeight w:val="234"/>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0" w:type="dxa"/>
            <w:vAlign w:val="bottom"/>
          </w:tcPr>
          <w:p>
            <w:pPr>
              <w:spacing w:after="0"/>
              <w:rPr>
                <w:sz w:val="20"/>
                <w:szCs w:val="20"/>
                <w:color w:val="auto"/>
              </w:rPr>
            </w:pPr>
          </w:p>
        </w:tc>
      </w:tr>
      <w:tr>
        <w:trPr>
          <w:trHeight w:val="83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June 30, 2022 were as follows: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7"/>
                <w:szCs w:val="17"/>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2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2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20" w:type="dxa"/>
            <w:vAlign w:val="bottom"/>
            <w:shd w:val="clear" w:color="auto" w:fill="CCEEFF"/>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0" w:type="dxa"/>
            <w:vAlign w:val="bottom"/>
            <w:shd w:val="clear" w:color="auto" w:fill="CCEEFF"/>
          </w:tcPr>
          <w:p>
            <w:pPr>
              <w:spacing w:after="0"/>
              <w:rPr>
                <w:sz w:val="19"/>
                <w:szCs w:val="19"/>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14,298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20" w:type="dxa"/>
            <w:vAlign w:val="bottom"/>
            <w:shd w:val="clear" w:color="auto" w:fill="CCEEFF"/>
          </w:tcPr>
          <w:p>
            <w:pPr>
              <w:spacing w:after="0"/>
              <w:rPr>
                <w:sz w:val="19"/>
                <w:szCs w:val="19"/>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20" w:type="dxa"/>
            <w:vAlign w:val="bottom"/>
            <w:tcBorders>
              <w:bottom w:val="single" w:sz="8" w:color="auto"/>
            </w:tcBorders>
          </w:tcPr>
          <w:p>
            <w:pPr>
              <w:spacing w:after="0"/>
              <w:rPr>
                <w:sz w:val="19"/>
                <w:szCs w:val="19"/>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13,288</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41,803</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that arise in the ordinary course of business. The Company cannot predict with certainty the ultimate resolution of lawsuits, investigations and claims asserted against it. Except 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contracted to perform inspections of welds on various pipeline projects in Texas for a customer. As of June 30, 2022,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 million of past due receivables were outstanding from this customer. The customer provided the Company with notice in December 2019, alleging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inspection of 66 welds (out of approximately 16,000 welds inspected) were not in compliance with the contract, claimed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million in damages, and requested that the Company pay these damages and any other damages incurred. The Company filed a lawsuit in the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of Bexar County, Texas, 37th Judicial District, in an action captioned Mistras Group, Inc. v. Epic Y-Grade Pipeline LP, to recover the $1.4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amounts due to the Company. The customer filed a counterclaim, alleging breach of contract and seeking recovery of its alleged damages.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believes that any successful claim by the customer regarding the Company’s workmanship will be covered by insurance, subject to payment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deductible. At this time, the Company is unable to determine whether it has any liability in connection with this matter and if so, the amount or range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liability, and accordingly, has not established any accruals for this matter. Accordingly, the Company recorded a reserve in the amount of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during the twelve months ended December 31, 2019 for these past due receivables.</w:t>
      </w:r>
    </w:p>
    <w:p>
      <w:pPr>
        <w:spacing w:after="0" w:line="22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 xml:space="preserve">Two proceedings have been filed in California Superior Court for the County of Los Angeles regarding alleged violations of the California Labor Code. Both cases are captioned </w:t>
      </w:r>
      <w:r>
        <w:rPr>
          <w:rFonts w:ascii="Times New Roman" w:cs="Times New Roman" w:eastAsia="Times New Roman" w:hAnsi="Times New Roman"/>
          <w:sz w:val="17"/>
          <w:szCs w:val="17"/>
          <w:i w:val="1"/>
          <w:iCs w:val="1"/>
          <w:color w:val="auto"/>
        </w:rPr>
        <w:t>Justin Price v. Mistras Group, Inc.</w:t>
      </w:r>
      <w:r>
        <w:rPr>
          <w:rFonts w:ascii="Times New Roman" w:cs="Times New Roman" w:eastAsia="Times New Roman" w:hAnsi="Times New Roman"/>
          <w:sz w:val="17"/>
          <w:szCs w:val="17"/>
          <w:color w:val="auto"/>
        </w:rPr>
        <w:t>, one being a purported class action lawsuit on behalf of current and former Mistras employees in California and the other was filed on behalf of the State of California under the California Private Attorney General Act on the basis of the same alleged violations. The two cases have been consolidated and are requesting payment of all damages, including unpaid wages, and various fines and penalties available under California law. On May 4, 2021, the Company agreed to a settlement of all claims in the cases, which was more formally documented pursuant to a settlement agreement completed October 5, 2021, as amended as of May 3, 2022. Pursuant to the settlement, the Company will pay</w:t>
      </w:r>
    </w:p>
    <w:p>
      <w:pPr>
        <w:spacing w:after="0" w:line="3"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$2.3 million to resolve the allegations in these proceedings and will be responsible for the employer portion of payroll taxes on the amount of the settlement allocated to wages. The settlement received preliminary court approval on May 12, 2022, but is still subject to final court approval and will cover claims for the period from June 2016 through July 31, 2021.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of Company’s subsidiaries had significant reductions in their unionized workers in 2018. The collective bargaining agreements for these employees required contributions for these employees to national multi-employer pension funds. The reduction in employees resulted in a subsidiary incurring a complete withdrawal to one of the pension funds under the Employee Retirement Income Security Act of 1974 ("ERISA"), which was fully satisfied in 2019. The Company has determined that the subsidiary is likely to incur partial or complete withdrawal liability to the other pension fund. The balance of the estimated total amount of this potential liability as of June 30, 2022 is approximately $2.5 million, which were incurred in 2018 and 2019.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labor disputes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June 30, 2022, the Company has approximately $0.1 million of accrued estimated severance payment obligations, which takes into account the Company’s estimate with respect to the employees that have been or will be transitioned to the German subsidiaries' other customers. The $0.1 million of estimated obligations is net of $0.4 million in payments made and $1.0 million in reversals due to employees being transitioned to customer contracts.</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was entitled to indemnification on certain labor claims from the sellers of a company acquired by its Brazilian subsidiary. The Company and the sellers entered into a settlement agreement for approximately $1.0 million, which provided for payment in two installments, the first for approximately 31% of the settlement and the second for the remaining 69%. The first installment in the amount of approximately $0.3 million was paid by the sellers in December 2020 and the Company recognized that amount as a gain in selling, general and administrative expenses in the same period. The remaining payment for $0.6 million was received in the first quarter of 2021 and the Company recognized that amount as a gain in selling, general and administrative expenses in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disposition related contingencies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liable for contingent consideration in connection with certain of its acquisitions. As of June 30, 2022, total potential acquisition-related contingent consideration ranged from zero to approximately $1.9 million and would be payable upon the achievement of specific performance metrics by certain of the acquired companies over the next three months.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2018, the Company sold a subsidiary in the Products and Systems segment. As part of the sale, the Company entered into a three-year agreement to purchase products from the buyer, with a cumulative commitment of $2.3 million, of which $0.8 million is remaining as of June 30, 2022. The agreement is based on third-party pricing and the Company's planned purchase requirements over the three-year purchase period to meet the minimum contractual</w:t>
      </w:r>
    </w:p>
    <w:p>
      <w:pPr>
        <w:spacing w:after="0" w:line="2"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8"/>
          <w:szCs w:val="18"/>
          <w:color w:val="auto"/>
        </w:rPr>
        <w:t>purchases. On August 3, 2021, the Company entered into an agreement and extended the period by twelve months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of June 30, 2022, approximately $0.8 million is remaining on the amended purchase commitment. The agreement is based on third party pricing and the Company’s planned purchase requirements over the duration of the extension to meet the minimum contractual purchases.</w:t>
      </w:r>
    </w:p>
    <w:p>
      <w:pPr>
        <w:spacing w:after="0" w:line="200" w:lineRule="exact"/>
        <w:rPr>
          <w:sz w:val="20"/>
          <w:szCs w:val="20"/>
          <w:color w:val="auto"/>
        </w:rPr>
      </w:pPr>
    </w:p>
    <w:p>
      <w:pPr>
        <w:spacing w:after="0" w:line="23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900" w:right="20" w:hanging="244"/>
        <w:spacing w:after="0" w:line="261" w:lineRule="auto"/>
        <w:tabs>
          <w:tab w:leader="none" w:pos="89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During the first quarter of 2022 the Company finalized a transfer pricing study which resulted in additional costs being allocated from Corporate to the operating segments with the majority of the costs allocated to the Services segment. These costs are reflected in operating income (loss) of each segment.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210" w:lineRule="exact"/>
        <w:rPr>
          <w:sz w:val="20"/>
          <w:szCs w:val="20"/>
          <w:color w:val="auto"/>
        </w:rPr>
      </w:pPr>
    </w:p>
    <w:p>
      <w:pPr>
        <w:ind w:firstLine="42"/>
        <w:spacing w:after="0" w:line="256"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tbl>
      <w:tblPr>
        <w:tblLayout w:type="fixed"/>
        <w:tblInd w:w="4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6"/>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760" w:type="dxa"/>
            <w:vAlign w:val="bottom"/>
            <w:gridSpan w:val="6"/>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r>
      <w:tr>
        <w:trPr>
          <w:trHeight w:val="216"/>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144,977</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269,275</w:t>
            </w:r>
          </w:p>
        </w:tc>
        <w:tc>
          <w:tcPr>
            <w:tcW w:w="40" w:type="dxa"/>
            <w:vAlign w:val="bottom"/>
          </w:tcPr>
          <w:p>
            <w:pPr>
              <w:spacing w:after="0"/>
              <w:rPr>
                <w:sz w:val="19"/>
                <w:szCs w:val="19"/>
                <w:color w:val="auto"/>
              </w:rPr>
            </w:pPr>
          </w:p>
        </w:tc>
      </w:tr>
      <w:tr>
        <w:trPr>
          <w:trHeight w:val="230"/>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31,951</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40" w:type="dxa"/>
            <w:vAlign w:val="bottom"/>
          </w:tcPr>
          <w:p>
            <w:pPr>
              <w:spacing w:after="0"/>
              <w:rPr>
                <w:sz w:val="19"/>
                <w:szCs w:val="19"/>
                <w:color w:val="auto"/>
              </w:rPr>
            </w:pPr>
          </w:p>
        </w:tc>
      </w:tr>
      <w:tr>
        <w:trPr>
          <w:trHeight w:val="229"/>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40" w:type="dxa"/>
            <w:vAlign w:val="bottom"/>
          </w:tcPr>
          <w:p>
            <w:pPr>
              <w:spacing w:after="0"/>
              <w:rPr>
                <w:sz w:val="19"/>
                <w:szCs w:val="19"/>
                <w:color w:val="auto"/>
              </w:rPr>
            </w:pPr>
          </w:p>
        </w:tc>
      </w:tr>
      <w:tr>
        <w:trPr>
          <w:trHeight w:val="230"/>
        </w:trPr>
        <w:tc>
          <w:tcPr>
            <w:tcW w:w="4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40" w:type="dxa"/>
            <w:vAlign w:val="bottom"/>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331,412</w:t>
            </w:r>
          </w:p>
        </w:tc>
        <w:tc>
          <w:tcPr>
            <w:tcW w:w="40" w:type="dxa"/>
            <w:vAlign w:val="bottom"/>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6"/>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24"/>
                <w:szCs w:val="24"/>
                <w:color w:val="auto"/>
              </w:rPr>
            </w:pPr>
          </w:p>
        </w:tc>
        <w:tc>
          <w:tcPr>
            <w:tcW w:w="2760" w:type="dxa"/>
            <w:vAlign w:val="bottom"/>
            <w:gridSpan w:val="6"/>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24"/>
                <w:szCs w:val="24"/>
                <w:color w:val="auto"/>
              </w:rPr>
            </w:pPr>
          </w:p>
        </w:tc>
      </w:tr>
      <w:tr>
        <w:trPr>
          <w:trHeight w:val="23"/>
        </w:trPr>
        <w:tc>
          <w:tcPr>
            <w:tcW w:w="4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9"/>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r>
      <w:tr>
        <w:trPr>
          <w:trHeight w:val="216"/>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74,837</w:t>
            </w:r>
          </w:p>
        </w:tc>
        <w:tc>
          <w:tcPr>
            <w:tcW w:w="40" w:type="dxa"/>
            <w:vAlign w:val="bottom"/>
            <w:shd w:val="clear" w:color="auto" w:fill="CCEEFF"/>
          </w:tcPr>
          <w:p>
            <w:pPr>
              <w:spacing w:after="0"/>
              <w:rPr>
                <w:sz w:val="19"/>
                <w:szCs w:val="19"/>
                <w:color w:val="auto"/>
              </w:rPr>
            </w:pPr>
          </w:p>
        </w:tc>
      </w:tr>
      <w:tr>
        <w:trPr>
          <w:trHeight w:val="229"/>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40" w:type="dxa"/>
            <w:vAlign w:val="bottom"/>
          </w:tcPr>
          <w:p>
            <w:pPr>
              <w:spacing w:after="0"/>
              <w:rPr>
                <w:sz w:val="19"/>
                <w:szCs w:val="19"/>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40" w:type="dxa"/>
            <w:vAlign w:val="bottom"/>
            <w:shd w:val="clear" w:color="auto" w:fill="CCEEFF"/>
          </w:tcPr>
          <w:p>
            <w:pPr>
              <w:spacing w:after="0"/>
              <w:rPr>
                <w:sz w:val="19"/>
                <w:szCs w:val="19"/>
                <w:color w:val="auto"/>
              </w:rPr>
            </w:pPr>
          </w:p>
        </w:tc>
      </w:tr>
      <w:tr>
        <w:trPr>
          <w:trHeight w:val="229"/>
        </w:trPr>
        <w:tc>
          <w:tcPr>
            <w:tcW w:w="4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auto"/>
            </w:tcBorders>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95,337</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 by operating segment includes intercompany transactions, which are eliminated in Corporate and eliminations.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gridSpan w:val="6"/>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6"/>
                <w:szCs w:val="16"/>
                <w:color w:val="auto"/>
              </w:rPr>
            </w:pPr>
          </w:p>
        </w:tc>
      </w:tr>
      <w:tr>
        <w:trPr>
          <w:trHeight w:val="23"/>
        </w:trPr>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r>
      <w:tr>
        <w:trPr>
          <w:trHeight w:val="21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960" w:type="dxa"/>
            <w:vAlign w:val="bottom"/>
            <w:gridSpan w:val="2"/>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w:t>
            </w:r>
          </w:p>
        </w:tc>
        <w:tc>
          <w:tcPr>
            <w:tcW w:w="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tcPr>
          <w:p>
            <w:pPr>
              <w:spacing w:after="0"/>
              <w:rPr>
                <w:sz w:val="19"/>
                <w:szCs w:val="19"/>
                <w:color w:val="auto"/>
              </w:rPr>
            </w:pPr>
          </w:p>
        </w:tc>
      </w:tr>
      <w:tr>
        <w:trPr>
          <w:trHeight w:val="230"/>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Pr>
          <w:p>
            <w:pPr>
              <w:spacing w:after="0"/>
              <w:rPr>
                <w:sz w:val="19"/>
                <w:szCs w:val="19"/>
                <w:color w:val="auto"/>
              </w:rPr>
            </w:pPr>
          </w:p>
        </w:tc>
      </w:tr>
      <w:tr>
        <w:trPr>
          <w:trHeight w:val="230"/>
        </w:trPr>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(6,439)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40" w:type="dxa"/>
            <w:vAlign w:val="bottom"/>
          </w:tcPr>
          <w:p>
            <w:pPr>
              <w:spacing w:after="0"/>
              <w:rPr>
                <w:sz w:val="19"/>
                <w:szCs w:val="19"/>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40" w:type="dxa"/>
            <w:vAlign w:val="bottom"/>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780" w:type="dxa"/>
            <w:vAlign w:val="bottom"/>
            <w:gridSpan w:val="6"/>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23"/>
                <w:szCs w:val="23"/>
                <w:color w:val="auto"/>
              </w:rPr>
            </w:pPr>
          </w:p>
        </w:tc>
      </w:tr>
      <w:tr>
        <w:trPr>
          <w:trHeight w:val="23"/>
        </w:trPr>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tcBorders>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96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4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4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Borders>
              <w:bottom w:val="single" w:sz="8" w:color="auto"/>
            </w:tcBorders>
          </w:tcPr>
          <w:p>
            <w:pPr>
              <w:spacing w:after="0"/>
              <w:rPr>
                <w:sz w:val="19"/>
                <w:szCs w:val="19"/>
                <w:color w:val="auto"/>
              </w:rPr>
            </w:pPr>
          </w:p>
        </w:tc>
      </w:tr>
      <w:tr>
        <w:trPr>
          <w:trHeight w:val="248"/>
        </w:trPr>
        <w:tc>
          <w:tcPr>
            <w:tcW w:w="1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51,862</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4"/>
                <w:szCs w:val="24"/>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424,058</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562,195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and six months ended June 30, 2022 and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5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On August 1, 2022 Mistras Group, Inc. entered into a credit agreement (the "Credit Agreement") with JPMorgan Chase Bank N.A., as administrative agent for the lenders and a lender, BofA Securities as Syndication Agent and a lender, and the other lenders set forth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was filed as Exhibit 10.1 to the Company's Form 8-K filed with the SEC on August 2, 2022.</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Credit Agreement, among other things, provides the Company with a $190 million 5-year committed revolving credit facility and a $125 million term loan. The Credit Agreement has a maturity date of July 30, 2027 and permits the Company to borrow up to $100 million in non-US dollar currencies and to use up to $20 million of the credit limit for the issuance of letters of credit. Borrowings bear interest at Secured Overnight Financing Rate ("SOFR") plus a credit spread adjustment and applicable SOFR margin ranging from 1.25% to 2.75%, based upon our Total Consolidated Debt Leverage Ratio. We have the benefit of the lowest SOFR margin if our Total Consolidated Debt Leverage Ratio is equal to or less than 1.25 to 1, and the margin increases as the ratio increases, to the maximum margin if the ratio is greater than 3.75 to 1. The Credit Agreement is secured by liens on substantially all the assets of the Company and certain of its U.S subsidiaries and is guaranteed by those U.S. subsidiaries.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and six months ended June 30, 2022 and 2021.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2021, filed with the Securities and Exchange Commission on March 14, 2022 (“2021 Annual Report”). Unless otherwise specified or the context otherwise requires, “Mistras,” “the Company,” “we,” “us” and “our” refer to Mistras Group, Inc. and its consolidated subsidiaries. The MD&amp;A includes the following sections:</w:t>
      </w:r>
    </w:p>
    <w:p>
      <w:pPr>
        <w:spacing w:after="0" w:line="18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2021 Annual Report as well as those discussed in this Quarterly Report on Form 10-Q and in our other filings with the SEC.</w:t>
      </w:r>
    </w:p>
    <w:p>
      <w:pPr>
        <w:spacing w:after="0" w:line="20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At the time of this report, the COVID-19 pandemic is continuing to have a negative impact on us and our key markets and is causing significant economic disruption worldwide, although the Company has nevertheless begun approaching pre-pandemic levels of activity in certain end markets, particularly oil and gas. Our discussion below is qualified by the unknown impact that the COVID-19 pandemic will continue to have on our business and the economy in general, including the duration of the health risk the COVID-19 pandemic will cause and the resulting economic disruption.</w:t>
      </w:r>
    </w:p>
    <w:p>
      <w:pPr>
        <w:spacing w:after="0" w:line="208"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the Russian-Ukrainian conflict may have on its business, results of operations or liquidity or in other ways which the Company cannot yet determine. To date, the Company’s European operations have begun to see increased costs associated with higher energy costs, among others, due in part to the on-going conflict. The Company will continue to monitor market conditions and respond accordingly.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strong commitment to Environmental, Social, and Governance (ESG) initiatives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18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Services, International, and Products and Systems.</w:t>
      </w:r>
    </w:p>
    <w:p>
      <w:pPr>
        <w:spacing w:after="0" w:line="61" w:lineRule="exact"/>
        <w:rPr>
          <w:sz w:val="20"/>
          <w:szCs w:val="20"/>
          <w:color w:val="auto"/>
        </w:rPr>
      </w:pPr>
    </w:p>
    <w:p>
      <w:pPr>
        <w:ind w:left="660" w:right="340" w:hanging="328"/>
        <w:spacing w:after="0" w:line="25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11" w:lineRule="exact"/>
        <w:rPr>
          <w:rFonts w:ascii="Times New Roman" w:cs="Times New Roman" w:eastAsia="Times New Roman" w:hAnsi="Times New Roman"/>
          <w:sz w:val="18"/>
          <w:szCs w:val="18"/>
          <w:i w:val="1"/>
          <w:iCs w:val="1"/>
          <w:color w:val="auto"/>
        </w:rPr>
      </w:pPr>
    </w:p>
    <w:p>
      <w:pPr>
        <w:ind w:left="660" w:right="4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 w:lineRule="exact"/>
        <w:rPr>
          <w:rFonts w:ascii="Times New Roman" w:cs="Times New Roman" w:eastAsia="Times New Roman" w:hAnsi="Times New Roman"/>
          <w:sz w:val="18"/>
          <w:szCs w:val="18"/>
          <w:color w:val="auto"/>
        </w:rPr>
      </w:pPr>
    </w:p>
    <w:p>
      <w:pPr>
        <w:ind w:left="660" w:right="78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all of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85 plus applications being offered on one centralized platform.</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continued to develop new technologies to provide monitoring of wind blade integrity through our Sensoria™ tool. Sensoria helps provide real-time monitoring and damage detection of wind turbine blades and allows our customers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maximize uptime, performance and safety of wind turbine blades. This tool provides additional growth and expansion of our capabilities to serve both new and existing wind turbines and greatly enhances our product offerings within the renewable energy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COVID-19 coronavirus (COVID-19) pandemic has continued to cause disruption and volatility in domestic and international markets although conditions continue to improve during 2022 as compared to 2021. The Company’s businesses have been classified as non-healthcare critical infrastructure as defined by the U.S. Centers for Disease Control and Prevention (CDC). Our facilities, and the Company’s customers facilities as well, have remained open with staffing modifications and precautionary procedures taken as necessary.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we have taken actions to help ensure the health and safety of our employees and those of our customers and suppliers; maintain business continuity and financial strength and stability; and serve our customers as they provide essential products and services to the world.</w:t>
      </w:r>
    </w:p>
    <w:p>
      <w:pPr>
        <w:spacing w:after="0" w:line="17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 COVID-19 pandemic uncertainty, significant volatility in oil prices and decreased traffic in the aerospace industry have adversely affected our workforce and operations, as well as the operations of our customers, suppliers and contractors beginning in 2020. These negative factors continue to cause volatility and uncertainty in the markets in which we operate, although we have nevertheless begun approaching pre-pandemic levels of activity in certain end markets, particularly oil and gas where crude oil prices have exceeded pre-pandemic levels.</w:t>
      </w:r>
    </w:p>
    <w:p>
      <w:pPr>
        <w:spacing w:after="0" w:line="266"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 Company has eliminated substantially all of the cost reduction initiatives undertaken in 2020, including re-installment of the savings plan employer match and increasing wages back to pre-pandemic amounts. Our cash position and liquidity remains strong. As of June 30, 2022, the cash balance was approximately $18.6 million.</w:t>
      </w:r>
    </w:p>
    <w:p>
      <w:pPr>
        <w:spacing w:after="0" w:line="20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1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are currently unable to predict the overall impact that the COVID-19 pandemic uncertainty, volatility in oil prices and climate change initiatives to reduce the use of fossil fuels may have on our business, results of operations, liquidity or in other ways which we cannot yet determine.</w:t>
      </w:r>
    </w:p>
    <w:p>
      <w:pPr>
        <w:spacing w:after="0" w:line="20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The Company is currently unable to predict with certainty the overall impact that the factors discussed above and the effect of the Russian-Ukrainian conflict may have on its business, results of operations or liquidity or in other ways which the Company cannot yet determine. To date, the Company’s European operations have begun to see increased costs associated with higher energy costs, among others, due in part to the Russian-Ukrainian conflict. The Company will continue to monitor market conditions and respond accordingly. Refer to Item 1A. Risk Factors in Part I of our 2021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GAAP. In this MD&amp;A under the heading "Income (loss) from Operations", the non-GAAP financial performance measure "Income (loss)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and six months ended June 30, 2022 and 2021 were as follows: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179,031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177,677</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340,693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331,412</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55,336</w:t>
            </w: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93,450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95,337</w:t>
            </w: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31.1 %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11,374</w:t>
            </w: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6,628</w:t>
            </w: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6.4 %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(benefit) for income taxes</w:t>
            </w: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8,219</w:t>
            </w: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5,945</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586</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5,937</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575</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Revenue was $179.0 million for the three months ended June 30, 2022, an increase of $1.4 million, or 0.8%, compared with the three months ended June 30, 2021. Revenue for the six months ended June 30, 2022 was $340.7 million, an increase of $9.3 million, or 2.8%, compared with the six months ended June 30,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and six months ended June 30, 2022 and 2021 was as follows: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7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144,977</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269,275</w:t>
            </w:r>
          </w:p>
        </w:tc>
      </w:tr>
      <w:tr>
        <w:trPr>
          <w:trHeight w:val="230"/>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59,599</w:t>
            </w:r>
          </w:p>
        </w:tc>
      </w:tr>
      <w:tr>
        <w:trPr>
          <w:trHeight w:val="23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r>
      <w:tr>
        <w:trPr>
          <w:trHeight w:val="229"/>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177,677</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In the three months ended June 30, 2022, total revenue increased 0.8% versus the prior year comparable period due predominantly to a low single-digit organic increase. Services segment revenue increased 3.1% due to single-digit organic growth and International segment revenue decreased (7.3)%, due predominantly to low double-digit unfavorable impact of foreign exchange rates which was offset by low single-digit organic growth. Products and Systems segment revenue decreased by $0.6 million, due to decreased sales volume as compared to the prior period.</w:t>
      </w:r>
    </w:p>
    <w:p>
      <w:pPr>
        <w:spacing w:after="0" w:line="2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57% and 54% of total revenue for the three months ended June 30, 2022 and 2021, respectively. Aerospace and defense customer revenue comprised approximately 13% and 10% of total revenue for the three months ended June 30, 2022 and 2021, respectively. The Company’s top ten customers comprised approximately 33% of total revenue for the three months ended June 30, 2022, as compared to 35% for the three months ended June 30, 2021, with no customer accounting for 10% or more of total revenue in either three-month period.</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4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the six months ended June 30, 2022, total revenue increased 2.8% versus the comparable prior period. The increase was due to organic growth in our core business as our end markets recover from the effects of COVID-19. In addition, the Company realized a low single-digit unfavorable revenue impact from foreign exchange rates. Our Services segment revenue increased 4.9% due predominantly to organic growth in end-markets. International segment revenue decreased (3.1)% due to a high single-digit unfavorable revenue impact from foreign exchange rates which was partially offset by mid single-digit favorable organic growth.</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57% and 55% of total revenue for the six months ended June 30, 2022 and 2021, respectively. Aerospace and defense customer revenue comprised approximately 12% and 10% of total revenue for the six months ended June 30, 2022 and 2021, respectively. The Company’s top ten customers comprised approximately 33% of total revenue for the six months ended June 30, 2022, as compared to 35% for the six months ended June 30, 2021, with no customer accounting for 10% or more of total revenue in either six-month period.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70,131</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52,235</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60,422</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95,576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182,788</w:t>
            </w:r>
          </w:p>
        </w:tc>
      </w:tr>
      <w:tr>
        <w:trPr>
          <w:trHeight w:val="21"/>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Oil and gas upstream customer revenue increased approximately $11.0 million, or 16%, for the six months ended June 30, 2022 as compared to the six months ended June 30, 2021, and $3.2 million, or 9% for the three months ended June 30, 2022 as compared to the three months ended June 30, 2021 due to continued market share gains and expanded exploration operations compared to the prior period.</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Midstream customer revenues increased approximately $5.6 million, or 11%, for the six months ended June 30, 2022 as compared to the six months ended June 30, 2021, and $3.2 million, or 11% for the three months ended June 30, 2022 as compared to the three months ended June 30, 2021 due to increased pipe inspection services performed as compared to the prior year.</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Downstream customer revenue decreased $(3.9) million, or (6)%, for the six months ended June 30, 2022 as compared to the six months ended June 30, 2021, and $(0.7) million, or (2)% for the three months ended June 30, 2022 as compared to the three months ended June 30, 2021 primarily due to delays in timing associated with customer turnarounds.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Gross profit decreased by $(1.8) million, or 3.2%, in the three months ended June 30, 2022 versus the prior year comparable period, on an increase in revenue of 0.8%.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by $(1.9) million, or 2.0%, in the six months ended June 30, 2022 on an increase in revenue of 2.8%.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and six months ended June 30, 2022 and 2021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4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42,954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43,761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74,837</w:t>
            </w:r>
          </w:p>
        </w:tc>
      </w:tr>
      <w:tr>
        <w:trPr>
          <w:trHeight w:val="22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30.2 %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27.8 %</w:t>
            </w: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9,615</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17,240</w:t>
            </w:r>
          </w:p>
        </w:tc>
      </w:tr>
      <w:tr>
        <w:trPr>
          <w:trHeight w:val="230"/>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30.1 %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28.9 %</w:t>
            </w: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3,233</w:t>
            </w:r>
          </w:p>
        </w:tc>
      </w:tr>
      <w:tr>
        <w:trPr>
          <w:trHeight w:val="22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60.9 %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52.2 %</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4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53,558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55,336</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93,450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95,337</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31.1 %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28.8 %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Gross profit margin was 29.9% and 31.1% for the three-month periods ended June 30, 2022 and 2021, respectively. Services segment realized a 1.5% reduction in gross profit margin to 28.7% during the three months ended June 30, 2022. This was primarily due to higher benefit costs in the US and the end of government wage subsidies received in Canada, both as compared to the prior year period. International segment realized a 1.8% increase in gross profit margin to 31.9% during the three months ended June 30, 2022 due primarily to continued recovery and sales within the aerospace end market. Products and Systems segment gross margin decreased 17.3% to 43.6% during the three months ended June, 2022 due to unfavorable sales mix.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Gross profit margin was 27.4% and 28.8% for the six months ended June 30, 2022 and 2021, respectively. Gross profit margin decreased primarily due to higher benefit costs and the end of government wage subsidies received in Canada within the Services segment, partially offset by continued recovery and sales within the aerospace end market within the International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and six months ended June 30, 2022 and 2021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0" w:type="dxa"/>
            <w:vAlign w:val="bottom"/>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3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40,676</w:t>
            </w:r>
          </w:p>
        </w:tc>
        <w:tc>
          <w:tcPr>
            <w:tcW w:w="98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39,719</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82,712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79,358</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9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289</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2,635</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5,430</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4"/>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Total operating expenses were flat for the three months ended June 30, 2022 compared to the three months ended June 30, 2021. Selling, general and administrative expenses increased $1.0 million during the three months ended June 30, 2022 compared to the three months ended June 30, 2021, due to the reversal of remaining COVID-19 temporary cost reductions in August 2021, which had been initially implemented in 2020. Depreciation and amortization decreased $(0.4) million during the</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three months ended June 30, 2022 compared to the three months ended June 30, 2021. During the three months ended June 30, 2022 a $0.2 million insurance recovery was recorded.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Operating expenses decreased $(0.1) million, for the six months ended June 30, 2022 compared to the six months ended June 30, 2021. Selling, general, and administrative expenses increased $3.4 million during the six months ended June 30, 2022 compared to the six months ended June 30, 2021 primarily due to the reversal of remaining COVID-19 temporary cost reductions in August 2021, which had been initially implemented in 2020, and wage subsidies received in 2021. Legal settlements, net of insurance recoveries for the six months ended June 30, 2022 compared to the six months ended June 30, 2021 decreased $2.6 million due primarily to insurance recoveries received in the first quarter of 2022. Depreciation and amortization decreased $(0.7) million during the six months ended June 30, 2022 compared to the six months ended June 30, 2021. Acquisition-related expense decreased $(0.8) million for the six months ended June 30, 2022 compared to the six months ended June 30, 2021 due to remeasurement of acquisition related contingent consideration which occurred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the income (loss) from operations to income (loss) before special items for each of our three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Eliminations and the Company in total: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tcPr>
          <w:p>
            <w:pPr>
              <w:spacing w:after="0"/>
              <w:rPr>
                <w:sz w:val="19"/>
                <w:szCs w:val="19"/>
                <w:color w:val="auto"/>
              </w:rPr>
            </w:pP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22,906</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Bad debt provision for troubled customers, net of</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156"/>
        </w:trPr>
        <w:tc>
          <w:tcPr>
            <w:tcW w:w="420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56"/>
        </w:trPr>
        <w:tc>
          <w:tcPr>
            <w:tcW w:w="42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Pr>
          <w:p>
            <w:pPr>
              <w:spacing w:after="0"/>
              <w:rPr>
                <w:sz w:val="19"/>
                <w:szCs w:val="19"/>
                <w:color w:val="auto"/>
              </w:rPr>
            </w:pP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19"/>
                <w:szCs w:val="19"/>
                <w:color w:val="auto"/>
              </w:rPr>
            </w:pP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Bad debt provision for troubled customers, net of</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155"/>
        </w:trPr>
        <w:tc>
          <w:tcPr>
            <w:tcW w:w="42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20" w:type="dxa"/>
            <w:vAlign w:val="bottom"/>
            <w:vMerge w:val="restart"/>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tcPr>
          <w:p>
            <w:pPr>
              <w:spacing w:after="0"/>
              <w:rPr>
                <w:sz w:val="13"/>
                <w:szCs w:val="13"/>
                <w:color w:val="auto"/>
              </w:rPr>
            </w:pPr>
          </w:p>
        </w:tc>
        <w:tc>
          <w:tcPr>
            <w:tcW w:w="940" w:type="dxa"/>
            <w:vAlign w:val="bottom"/>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0" w:type="dxa"/>
            <w:vAlign w:val="bottom"/>
          </w:tcPr>
          <w:p>
            <w:pPr>
              <w:spacing w:after="0"/>
              <w:rPr>
                <w:sz w:val="1"/>
                <w:szCs w:val="1"/>
                <w:color w:val="auto"/>
              </w:rPr>
            </w:pPr>
          </w:p>
        </w:tc>
      </w:tr>
      <w:tr>
        <w:trPr>
          <w:trHeight w:val="221"/>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report for an explanation of the use of non-GAAP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income from operations (GAAP) decreased $(1.8) million, compared with the three months ended June 30, 2021, while income before special items (non-GAAP) decreased $(2.7) million. As a percentage of revenue, income before special items decreased by 160 basis points to 5.3% in the three months ended June 30, 2022 from 6.9% in the three months ended June 30,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41"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For the six months ended June 30, 2022, income (loss) from operations (GAAP) decreased $(1.8) million, compared with the six months ended June 30, 2021, while income (loss) from operations before special items (non-GAAP) decreased $(4.8) million. As a percentage of revenue, income (loss) from operations before special items decreased by 150 basis points to 1.2% in the six months ended June 30, 2022 from 2.7% in the six months ended June 30, 2021. During the six months ended June 30, 2022, the Company experienced overall organic growth offset by foreign currency headwinds.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1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Interest expense was approximately $2.1 million and $3.2 million for the three months ended June 30, 2022 and 2021, respectively. Interest expense was approximately $4.1 million and $6.4 million for the six months ended June 30, 2022 and 2021, respectively. The decrease for both periods was a result of a change in the effective interest rate, due to a lower leverage ratio and the elimination of the minimum LIBOR floor in the May 2021 amendment to our credit agreement.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amendment in May 2021 to our Credit Agreement removed the LIBOR floor of 1.0%, which provided that if LIBOR is below 1.0%, the interest rate will be calculated as if LIBOR is 1.0%. Now the actual LIBOR rate is used to calculate interest, even if LIBOR is below 1.0%. This will reduce our interest rate, when LIBOR is below 1.0%.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approximately 37.4% and 27.7% for the three months ended June 30, 2022 and 2021, respectively. Our effective income tax rate was approximately 183.6% and (125.4)% for the six months ended June 30, 2022 and 2021, respectively.</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2022 was higher than the statutory rate primarily due to a $0.7 million valuation allowance recorded on a foreign jurisdiction. The effective income tax rate for the three months ended June 30, 2021 was higher than the statutory rate due to earnings in jurisdictions with higher income tax rates than the United States.</w:t>
      </w:r>
    </w:p>
    <w:p>
      <w:pPr>
        <w:spacing w:after="0" w:line="20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valuation allowance of $0.7 million has been recorded to recognize only the portion of the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20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2022 was higher than the statutory rate due primarily to a $0.7 million valuation allowance recorded during the period which was related to a foreign jurisdiction. The effective income tax rate for the six months ended June 30, 2021 was lower than the statutory rate due to capitalization of certain non-US intercompany balances which resulted in a deductible foreign exchange loss in the US.</w:t>
      </w:r>
    </w:p>
    <w:p>
      <w:pPr>
        <w:spacing w:after="0" w:line="2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evaluated the impact of this guidance on our consolidated financial position, results of operations, and cash flows, and it will not have a material impact.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140" w:type="dxa"/>
            <w:vAlign w:val="bottom"/>
            <w:gridSpan w:val="5"/>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cash provided by operating activities was $7.8 million, representing a year-on-year decrease of $(10.3) million, or 57%. The decrease was primarily attributable to a net working capital increase in the course of normal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cash used in investing activities was $6.5 million primarily attributable to a reduction in capital expenditures during the current period as compared to the prior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$5.1 million for the six months ended June 30, 2022, compared to net cash used in financing activities of $13.0 million for the six months ended June 30, 2021. During the six months ended June 30, 2022, net repayments of debt were approximately $6.6 million lower as compared to 2021 as cash flows were used to support operating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 decrease of $(1.8) million in the six months ended June 30, 2022, compared to a decrease of $(0.7) million for the six months ended June 30, 2021. The primary driver of the change was foreign currency fluctuations during the quarter related to the Euro and the US Dollar.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of June 30, 2022, we had cash and cash equivalents totaling $18.6 million and $11.7 million of unused commitments under our Credit Agreement with borrowings of $195.3 million and $3.0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7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June 30, 2022, we were in compliance with the terms of the Credit Agreement and will continuously monitor our compliance with the covenants contained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payments on the term loan increased to $5.0 million for each quarterly payment after March 31, 2022, with a final balloon payment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terms of our Credit Agreement are described in Note 11-</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 xml:space="preserve">" and in Note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Subsequent Events</w:t>
      </w:r>
      <w:r>
        <w:rPr>
          <w:rFonts w:ascii="Times New Roman" w:cs="Times New Roman" w:eastAsia="Times New Roman" w:hAnsi="Times New Roman"/>
          <w:sz w:val="18"/>
          <w:szCs w:val="18"/>
          <w:color w:val="auto"/>
        </w:rPr>
        <w:t xml:space="preserve"> of the Notes.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contractual obligations and outstanding indebtedness as disclosed in the 2021 Annual Report except as noted in Note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Subsequent Events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2021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2021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June 30, 2022,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2021 Annual Report, except as disclosed in such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2021 Annual Report. Except as described below, there have been no material changes to the risk factors previously disclosed in the 2021 Annual Report.</w:t>
      </w: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tbl>
      <w:tblPr>
        <w:tblLayout w:type="fixed"/>
        <w:tblInd w:w="40" w:type="dxa"/>
        <w:tblCellMar>
          <w:top w:w="0" w:type="dxa"/>
          <w:left w:w="0" w:type="dxa"/>
          <w:bottom w:w="0" w:type="dxa"/>
          <w:right w:w="0" w:type="dxa"/>
        </w:tblCellMar>
      </w:tblPr>
      <w:tr>
        <w:trPr>
          <w:trHeight w:val="149"/>
        </w:trPr>
        <w:tc>
          <w:tcPr>
            <w:tcW w:w="1680" w:type="dxa"/>
            <w:vAlign w:val="bottom"/>
          </w:tcPr>
          <w:p>
            <w:pPr>
              <w:spacing w:after="0"/>
              <w:rPr>
                <w:sz w:val="12"/>
                <w:szCs w:val="12"/>
                <w:color w:val="auto"/>
              </w:rPr>
            </w:pPr>
          </w:p>
        </w:tc>
        <w:tc>
          <w:tcPr>
            <w:tcW w:w="2660" w:type="dxa"/>
            <w:vAlign w:val="bottom"/>
            <w:gridSpan w:val="2"/>
            <w:vMerge w:val="restart"/>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240" w:type="dxa"/>
            <w:vAlign w:val="bottom"/>
          </w:tcPr>
          <w:p>
            <w:pPr>
              <w:spacing w:after="0"/>
              <w:rPr>
                <w:sz w:val="12"/>
                <w:szCs w:val="12"/>
                <w:color w:val="auto"/>
              </w:rPr>
            </w:pPr>
          </w:p>
        </w:tc>
        <w:tc>
          <w:tcPr>
            <w:tcW w:w="19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20" w:type="dxa"/>
            <w:vAlign w:val="bottom"/>
          </w:tcPr>
          <w:p>
            <w:pPr>
              <w:spacing w:after="0"/>
              <w:rPr>
                <w:sz w:val="12"/>
                <w:szCs w:val="12"/>
                <w:color w:val="auto"/>
              </w:rPr>
            </w:pPr>
          </w:p>
        </w:tc>
        <w:tc>
          <w:tcPr>
            <w:tcW w:w="20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2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98"/>
        </w:trPr>
        <w:tc>
          <w:tcPr>
            <w:tcW w:w="1680" w:type="dxa"/>
            <w:vAlign w:val="bottom"/>
            <w:vMerge w:val="continue"/>
          </w:tcPr>
          <w:p>
            <w:pPr>
              <w:spacing w:after="0"/>
              <w:rPr>
                <w:sz w:val="17"/>
                <w:szCs w:val="17"/>
                <w:color w:val="auto"/>
              </w:rPr>
            </w:pPr>
          </w:p>
        </w:tc>
        <w:tc>
          <w:tcPr>
            <w:tcW w:w="2660" w:type="dxa"/>
            <w:vAlign w:val="bottom"/>
            <w:gridSpan w:val="2"/>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240" w:type="dxa"/>
            <w:vAlign w:val="bottom"/>
          </w:tcPr>
          <w:p>
            <w:pPr>
              <w:spacing w:after="0"/>
              <w:rPr>
                <w:sz w:val="17"/>
                <w:szCs w:val="17"/>
                <w:color w:val="auto"/>
              </w:rPr>
            </w:pPr>
          </w:p>
        </w:tc>
        <w:tc>
          <w:tcPr>
            <w:tcW w:w="190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0" w:type="dxa"/>
            <w:vAlign w:val="bottom"/>
          </w:tcPr>
          <w:p>
            <w:pPr>
              <w:spacing w:after="0"/>
              <w:rPr>
                <w:sz w:val="17"/>
                <w:szCs w:val="17"/>
                <w:color w:val="auto"/>
              </w:rPr>
            </w:pPr>
          </w:p>
        </w:tc>
        <w:tc>
          <w:tcPr>
            <w:tcW w:w="20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30, 2022</w:t>
            </w: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6.66</w:t>
            </w:r>
          </w:p>
        </w:tc>
        <w:tc>
          <w:tcPr>
            <w:tcW w:w="2340" w:type="dxa"/>
            <w:vAlign w:val="bottom"/>
            <w:tcBorders>
              <w:top w:val="single" w:sz="8" w:color="auto"/>
            </w:tcBorders>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31, 2022</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5.42</w:t>
            </w:r>
          </w:p>
        </w:tc>
        <w:tc>
          <w:tcPr>
            <w:tcW w:w="23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2022</w:t>
            </w:r>
          </w:p>
        </w:tc>
        <w:tc>
          <w:tcPr>
            <w:tcW w:w="2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380" w:type="dxa"/>
            <w:vAlign w:val="bottom"/>
            <w:gridSpan w:val="6"/>
          </w:tcPr>
          <w:p>
            <w:pPr>
              <w:ind w:left="2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2"/>
        </w:trPr>
        <w:tc>
          <w:tcPr>
            <w:tcW w:w="3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Settlement Agreement, amended May 3, 2022, regarding the settlement of the two legal proceedings captioned Price v.</w:t>
            </w: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Mistras Group, Inc</w:t>
            </w:r>
          </w:p>
        </w:tc>
        <w:tc>
          <w:tcPr>
            <w:tcW w:w="7180" w:type="dxa"/>
            <w:vAlign w:val="bottom"/>
            <w:tcBorders>
              <w:top w:val="single" w:sz="8" w:color="0000FF"/>
            </w:tcBorders>
            <w:gridSpan w:val="5"/>
          </w:tcPr>
          <w:p>
            <w:pPr>
              <w:spacing w:after="0"/>
              <w:rPr>
                <w:sz w:val="13"/>
                <w:szCs w:val="13"/>
                <w:color w:val="auto"/>
              </w:rPr>
            </w:pPr>
          </w:p>
        </w:tc>
        <w:tc>
          <w:tcPr>
            <w:tcW w:w="200" w:type="dxa"/>
            <w:vAlign w:val="bottom"/>
          </w:tcPr>
          <w:p>
            <w:pPr>
              <w:spacing w:after="0"/>
              <w:rPr>
                <w:sz w:val="13"/>
                <w:szCs w:val="13"/>
                <w:color w:val="auto"/>
              </w:rPr>
            </w:pPr>
          </w:p>
        </w:tc>
      </w:tr>
      <w:tr>
        <w:trPr>
          <w:trHeight w:val="493"/>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Third Amendment to Mistras Group, Inc. 2016 Long-Term Incentive Plan</w:t>
            </w:r>
          </w:p>
        </w:tc>
        <w:tc>
          <w:tcPr>
            <w:tcW w:w="3420" w:type="dxa"/>
            <w:vAlign w:val="bottom"/>
            <w:gridSpan w:val="4"/>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r>
      <w:tr>
        <w:trPr>
          <w:trHeight w:val="439"/>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720" w:type="dxa"/>
            <w:vAlign w:val="bottom"/>
            <w:gridSpan w:val="2"/>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Borders>
              <w:bottom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3480" w:type="dxa"/>
            <w:vAlign w:val="bottom"/>
            <w:gridSpan w:val="5"/>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3" w:name="page44"/>
    <w:bookmarkEnd w:id="4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2022</w:t>
      </w:r>
    </w:p>
    <w:p>
      <w:pPr>
        <w:sectPr>
          <w:pgSz w:w="11900" w:h="16838" w:orient="portrait"/>
          <w:cols w:equalWidth="0" w:num="1">
            <w:col w:w="10920"/>
          </w:cols>
          <w:pgMar w:left="320" w:top="117" w:right="6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FIRST AMENDED CLASS ACTION SETTLEMENT AGREEMENT</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First Amended Class Action Settlement Agreement (“Agreement”) is made by and between plaintiffs Brenda Price and Justin Price (“Plaintiffs”) and defendant Mistras Group, Inc. (“Defendant”). Plaintiffs and Defendant collectively are referred to in this Agreement as the “Parties.”</w:t>
      </w:r>
    </w:p>
    <w:p>
      <w:pPr>
        <w:spacing w:after="0" w:line="148"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to other terms defined in this Agreement, the terms below have the following meaning in this Agreement:</w:t>
      </w:r>
    </w:p>
    <w:p>
      <w:pPr>
        <w:spacing w:after="0" w:line="179" w:lineRule="exact"/>
        <w:rPr>
          <w:rFonts w:ascii="Times New Roman" w:cs="Times New Roman" w:eastAsia="Times New Roman" w:hAnsi="Times New Roman"/>
          <w:sz w:val="22"/>
          <w:szCs w:val="22"/>
          <w:b w:val="1"/>
          <w:bCs w:val="1"/>
          <w:color w:val="auto"/>
        </w:rPr>
      </w:pPr>
    </w:p>
    <w:p>
      <w:pPr>
        <w:jc w:val="both"/>
        <w:ind w:left="1300" w:hanging="644"/>
        <w:spacing w:after="0" w:line="217"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“Actions” means the Class Action that was filed in California state court and any amendments thereto, which is captioned </w:t>
      </w:r>
      <w:r>
        <w:rPr>
          <w:rFonts w:ascii="Times New Roman" w:cs="Times New Roman" w:eastAsia="Times New Roman" w:hAnsi="Times New Roman"/>
          <w:sz w:val="22"/>
          <w:szCs w:val="22"/>
          <w:i w:val="1"/>
          <w:iCs w:val="1"/>
          <w:color w:val="auto"/>
        </w:rPr>
        <w:t>Price, et al. v. Mistras Group, Inc., et al,</w:t>
      </w:r>
      <w:r>
        <w:rPr>
          <w:rFonts w:ascii="Times New Roman" w:cs="Times New Roman" w:eastAsia="Times New Roman" w:hAnsi="Times New Roman"/>
          <w:sz w:val="22"/>
          <w:szCs w:val="22"/>
          <w:color w:val="auto"/>
        </w:rPr>
        <w:t xml:space="preserve"> Case No. 20STCV22485, pending in Superior Court of the State of California, County of Los Angeles and the PAGA Action that was filed in California state court and any amendments thereto, which is captioned </w:t>
      </w:r>
      <w:r>
        <w:rPr>
          <w:rFonts w:ascii="Times New Roman" w:cs="Times New Roman" w:eastAsia="Times New Roman" w:hAnsi="Times New Roman"/>
          <w:sz w:val="22"/>
          <w:szCs w:val="22"/>
          <w:i w:val="1"/>
          <w:iCs w:val="1"/>
          <w:color w:val="auto"/>
        </w:rPr>
        <w:t>Price, et al. v. Mistras Group, Inc., et al</w:t>
      </w:r>
      <w:r>
        <w:rPr>
          <w:rFonts w:ascii="Times New Roman" w:cs="Times New Roman" w:eastAsia="Times New Roman" w:hAnsi="Times New Roman"/>
          <w:sz w:val="22"/>
          <w:szCs w:val="22"/>
          <w:color w:val="auto"/>
        </w:rPr>
        <w:t>., Case No. 20LBCV00408, pending in Superior Court of the State of California, County of Los Angeles.</w:t>
      </w:r>
    </w:p>
    <w:p>
      <w:pPr>
        <w:spacing w:after="0" w:line="152" w:lineRule="exact"/>
        <w:rPr>
          <w:rFonts w:ascii="Times New Roman" w:cs="Times New Roman" w:eastAsia="Times New Roman" w:hAnsi="Times New Roman"/>
          <w:sz w:val="22"/>
          <w:szCs w:val="22"/>
          <w:color w:val="auto"/>
        </w:rPr>
      </w:pPr>
    </w:p>
    <w:p>
      <w:pPr>
        <w:ind w:left="1300" w:hanging="644"/>
        <w:spacing w:after="0" w:line="255" w:lineRule="auto"/>
        <w:tabs>
          <w:tab w:leader="none" w:pos="130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“Aggrieved Employees” means all individuals who are or previously were employed by Defendant Mistras Group, Inc. in California and who were classified as non-exempt employees at any time during the PAGA Period.</w:t>
      </w:r>
    </w:p>
    <w:p>
      <w:pPr>
        <w:spacing w:after="0" w:line="134" w:lineRule="exact"/>
        <w:rPr>
          <w:rFonts w:ascii="Times New Roman" w:cs="Times New Roman" w:eastAsia="Times New Roman" w:hAnsi="Times New Roman"/>
          <w:sz w:val="21"/>
          <w:szCs w:val="21"/>
          <w:color w:val="auto"/>
        </w:rPr>
      </w:pPr>
    </w:p>
    <w:p>
      <w:pPr>
        <w:ind w:left="1300" w:hanging="644"/>
        <w:spacing w:after="0" w:line="236"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means all individuals who are or previously were employed by Defendant Mistras Group, Inc. in California and who were classified as non-exempt employees at any time during the Class Period.</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means Norman B. Blumenthal, Kyle R. Nordrehaug, and Aparajit Bhowmik of Blumenthal Nordrehaug Bhowmik De Blouw LLP.</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Fees Payment” and “Class Counsel Litigation Expenses Payment” mean the amounts to be paid to Class Counsel for fees and expenses, respectively, as approved by the Court, to compensate Class Counsel for their legal work in connection with the Actions, including their pre-filing investigation, their filing of the Actions, all related litigation activities, all Settlement work, all post-Settlement compliance procedures, and related litigation expenses billed in connection with the Actions.</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“Class Data” means, for each Class Member, his or her name; last-known mailing address; Social Security number; his or her employee identification number; his or her email address (if known); and his or her dates of employment or weeks worked during the Class Period as a Class Member and pay periods worked during the PAGA Period. The workweeks allotted to the Class Members will exclude workweeks through February 17, 2017 for any Class Members who were also members of California settlement class of </w:t>
      </w:r>
      <w:r>
        <w:rPr>
          <w:rFonts w:ascii="Times New Roman" w:cs="Times New Roman" w:eastAsia="Times New Roman" w:hAnsi="Times New Roman"/>
          <w:sz w:val="22"/>
          <w:szCs w:val="22"/>
          <w:i w:val="1"/>
          <w:iCs w:val="1"/>
          <w:color w:val="auto"/>
        </w:rPr>
        <w:t>Viceral and Krueger, et al.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Mistras Group, Inc.</w:t>
      </w:r>
      <w:r>
        <w:rPr>
          <w:rFonts w:ascii="Times New Roman" w:cs="Times New Roman" w:eastAsia="Times New Roman" w:hAnsi="Times New Roman"/>
          <w:sz w:val="22"/>
          <w:szCs w:val="22"/>
          <w:color w:val="auto"/>
        </w:rPr>
        <w:t>, et al., N.D. Cal. Case No. 3-15-cv-02198-EMC (“Viceral”).</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Member” is a member of the Class.</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Notice” means the Notice of Proposed Settlement of Class Action and Hearing Date for Final Court Approval substantively in the form attached hereto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91"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and incorporated by reference into this Agreement.</w:t>
      </w:r>
    </w:p>
    <w:p>
      <w:pPr>
        <w:spacing w:after="0" w:line="179" w:lineRule="exact"/>
        <w:rPr>
          <w:sz w:val="20"/>
          <w:szCs w:val="20"/>
          <w:color w:val="auto"/>
        </w:rPr>
      </w:pPr>
    </w:p>
    <w:p>
      <w:pPr>
        <w:jc w:val="both"/>
        <w:ind w:left="644" w:hanging="644"/>
        <w:spacing w:after="0" w:line="225" w:lineRule="auto"/>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“Class Notice Packet” means the Class Notice to be provided to the Class Members by the Settlement Administrator in the form set forth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(other than formatting changes to facilitate printing by the Settlement Administrator).</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20" w:lineRule="auto"/>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“Class Period” means the period of time from June 10, 2016 through July 31, 2021, with the exception of any Class members who were part of the California settlement class of </w:t>
      </w:r>
      <w:r>
        <w:rPr>
          <w:rFonts w:ascii="Times New Roman" w:cs="Times New Roman" w:eastAsia="Times New Roman" w:hAnsi="Times New Roman"/>
          <w:sz w:val="22"/>
          <w:szCs w:val="22"/>
          <w:i w:val="1"/>
          <w:iCs w:val="1"/>
          <w:color w:val="auto"/>
        </w:rPr>
        <w:t>Viceral and Krueger, et al. v. Mistras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 et al.</w:t>
      </w:r>
      <w:r>
        <w:rPr>
          <w:rFonts w:ascii="Times New Roman" w:cs="Times New Roman" w:eastAsia="Times New Roman" w:hAnsi="Times New Roman"/>
          <w:sz w:val="22"/>
          <w:szCs w:val="22"/>
          <w:color w:val="auto"/>
        </w:rPr>
        <w:t>, N.D. Cal. Case No. 3:15-cv-02198-EMC (“</w:t>
      </w:r>
      <w:r>
        <w:rPr>
          <w:rFonts w:ascii="Times New Roman" w:cs="Times New Roman" w:eastAsia="Times New Roman" w:hAnsi="Times New Roman"/>
          <w:sz w:val="22"/>
          <w:szCs w:val="22"/>
          <w:i w:val="1"/>
          <w:iCs w:val="1"/>
          <w:color w:val="auto"/>
        </w:rPr>
        <w:t>Viceral</w:t>
      </w:r>
      <w:r>
        <w:rPr>
          <w:rFonts w:ascii="Times New Roman" w:cs="Times New Roman" w:eastAsia="Times New Roman" w:hAnsi="Times New Roman"/>
          <w:sz w:val="22"/>
          <w:szCs w:val="22"/>
          <w:color w:val="auto"/>
        </w:rPr>
        <w:t>”) whose Class Period is limited to February 18,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2017 through July 31, 2021.</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20" w:lineRule="auto"/>
        <w:tabs>
          <w:tab w:leader="none" w:pos="6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Representative Service Payment” means the service payment made to each of the Plaintiffs in their capacity as Class Representative in order to compensate them for initiating the Actions, performing work in support of the Actions, undertaking the risk of liability for Defendant’s expenses in the event Plaintiffs were unsuccessful in the prosecution of the Actions, and for the general release of all claims by the Plaintiffs.</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“Court” means the Superior Court of California, County of Los Angeles.</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 means Mistras Group, Inc.</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Counsel” means Christina T. Tellado, and Samuel J. Stone of Holland &amp; Knight LLP.</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means the date by which all of the following have occurred:</w:t>
      </w:r>
    </w:p>
    <w:p>
      <w:pPr>
        <w:spacing w:after="0" w:line="179"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approved by the Court; and</w:t>
      </w:r>
    </w:p>
    <w:p>
      <w:pPr>
        <w:spacing w:after="0" w:line="179"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Judgment becomes Final as defined in Section I(Q) of this Agreement.</w:t>
      </w:r>
    </w:p>
    <w:p>
      <w:pPr>
        <w:spacing w:after="0" w:line="179" w:lineRule="exact"/>
        <w:rPr>
          <w:rFonts w:ascii="Times New Roman" w:cs="Times New Roman" w:eastAsia="Times New Roman" w:hAnsi="Times New Roman"/>
          <w:sz w:val="22"/>
          <w:szCs w:val="22"/>
          <w:color w:val="auto"/>
        </w:rPr>
      </w:pPr>
    </w:p>
    <w:p>
      <w:pPr>
        <w:ind w:left="644" w:hanging="644"/>
        <w:spacing w:after="0" w:line="236" w:lineRule="auto"/>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 Not to Participate in Settlement” means the written request by a Class Member to exclude himself or herself from the Settlement submitted in accordance with the instructions in the Class Notice.</w:t>
      </w:r>
    </w:p>
    <w:p>
      <w:pPr>
        <w:spacing w:after="0" w:line="15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means the last of the following dates, as applicable:</w:t>
      </w:r>
    </w:p>
    <w:p>
      <w:pPr>
        <w:spacing w:after="0" w:line="179"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objection to the Settlement is made, the date the Judgment is entered.</w:t>
      </w:r>
    </w:p>
    <w:p>
      <w:pPr>
        <w:spacing w:after="0" w:line="179" w:lineRule="exact"/>
        <w:rPr>
          <w:rFonts w:ascii="Times New Roman" w:cs="Times New Roman" w:eastAsia="Times New Roman" w:hAnsi="Times New Roman"/>
          <w:sz w:val="22"/>
          <w:szCs w:val="22"/>
          <w:color w:val="auto"/>
        </w:rPr>
      </w:pPr>
    </w:p>
    <w:p>
      <w:pPr>
        <w:ind w:left="1304" w:hanging="656"/>
        <w:spacing w:after="0" w:line="236" w:lineRule="auto"/>
        <w:tabs>
          <w:tab w:leader="none" w:pos="130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objection to the Settlement is made and Judgment is entered, but no appeal is filed, the last date on which a notice of appeal from the Judgment may be filed and none is filed.</w:t>
      </w:r>
    </w:p>
    <w:p>
      <w:pPr>
        <w:spacing w:after="0" w:line="150" w:lineRule="exact"/>
        <w:rPr>
          <w:rFonts w:ascii="Times New Roman" w:cs="Times New Roman" w:eastAsia="Times New Roman" w:hAnsi="Times New Roman"/>
          <w:sz w:val="22"/>
          <w:szCs w:val="22"/>
          <w:color w:val="auto"/>
        </w:rPr>
      </w:pPr>
    </w:p>
    <w:p>
      <w:pPr>
        <w:ind w:left="1304" w:hanging="656"/>
        <w:spacing w:after="0" w:line="236" w:lineRule="auto"/>
        <w:tabs>
          <w:tab w:leader="none" w:pos="130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Judgment is entered and a timely appeal from the Judgment is filed, the date the Judgment is affirmed and is no longer subject to appeal.</w:t>
      </w:r>
    </w:p>
    <w:p>
      <w:pPr>
        <w:spacing w:after="0" w:line="150" w:lineRule="exact"/>
        <w:rPr>
          <w:rFonts w:ascii="Times New Roman" w:cs="Times New Roman" w:eastAsia="Times New Roman" w:hAnsi="Times New Roman"/>
          <w:sz w:val="22"/>
          <w:szCs w:val="22"/>
          <w:color w:val="auto"/>
        </w:rPr>
      </w:pPr>
    </w:p>
    <w:p>
      <w:pPr>
        <w:ind w:left="644" w:hanging="644"/>
        <w:spacing w:after="0" w:line="236" w:lineRule="auto"/>
        <w:tabs>
          <w:tab w:leader="none" w:pos="6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Approval Hearing” means the hearing to be conducted by the Court to determine whether to approve finally and implement the terms of this Agreement and enter the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44" w:hanging="644"/>
        <w:spacing w:after="0" w:line="222" w:lineRule="auto"/>
        <w:tabs>
          <w:tab w:leader="none" w:pos="64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Settlement Amount” means Two Million Three Hundred Thousand Dollars ($2,300,000) to be paid by Defendant as provided by this Agreement. This Gross Settlement Amount is an all-in amount without any reversion to Defendant and shall be inclusive of all payments of Settlement Shares to the Participating Class Members, Settlement Administration Expenses, Class Counsel Fees Payment, Class Counsel Litigation Expenses Payment, Class Representative Service Payments, and the PAGA Payment, and excluding any employer payroll taxes, if any, due on the portion of the Settlement Shares allocated to wages which shall not be paid from the Gross Settlement and shall be the separate additional obligation of Defendant. The Gross Settlement Amount is all in with no reversion to Defendant and shall be paid without the need to submit a claim form.</w:t>
      </w:r>
    </w:p>
    <w:p>
      <w:pPr>
        <w:spacing w:after="0" w:line="157" w:lineRule="exact"/>
        <w:rPr>
          <w:rFonts w:ascii="Times New Roman" w:cs="Times New Roman" w:eastAsia="Times New Roman" w:hAnsi="Times New Roman"/>
          <w:sz w:val="21"/>
          <w:szCs w:val="21"/>
          <w:color w:val="auto"/>
        </w:rPr>
      </w:pPr>
    </w:p>
    <w:p>
      <w:pPr>
        <w:ind w:left="644" w:right="20" w:hanging="644"/>
        <w:spacing w:after="0" w:line="236"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means the Final Approval Order and Judgment entered by the Court substantially in the forms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to this Agreement and incorporated by reference into this Agreement.</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Settlement Amount” means the Gross Settlement Amount less the Court-approved amounts for the Class Representative Service Payments, the Class Counsel Fees Payment, Class Counsel Litigation Expenses Payment, the PAGA Payment, and the Settlement Administration Expenses.</w:t>
      </w:r>
    </w:p>
    <w:p>
      <w:pPr>
        <w:spacing w:after="0" w:line="152" w:lineRule="exact"/>
        <w:rPr>
          <w:rFonts w:ascii="Times New Roman" w:cs="Times New Roman" w:eastAsia="Times New Roman" w:hAnsi="Times New Roman"/>
          <w:sz w:val="22"/>
          <w:szCs w:val="22"/>
          <w:color w:val="auto"/>
        </w:rPr>
      </w:pPr>
    </w:p>
    <w:p>
      <w:pPr>
        <w:ind w:left="644" w:hanging="644"/>
        <w:spacing w:after="0" w:line="236"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“Non-Participating Class Member” means a Class Member who submits a valid and timely Election Not to Participate in Settlement.</w:t>
      </w:r>
    </w:p>
    <w:p>
      <w:pPr>
        <w:spacing w:after="0" w:line="15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“PAGA Period” means the period of time from June 1, 2019 through July 31, 2021.</w:t>
      </w:r>
    </w:p>
    <w:p>
      <w:pPr>
        <w:spacing w:after="0" w:line="179" w:lineRule="exact"/>
        <w:rPr>
          <w:rFonts w:ascii="Times New Roman" w:cs="Times New Roman" w:eastAsia="Times New Roman" w:hAnsi="Times New Roman"/>
          <w:sz w:val="22"/>
          <w:szCs w:val="22"/>
          <w:color w:val="auto"/>
        </w:rPr>
      </w:pPr>
    </w:p>
    <w:p>
      <w:pPr>
        <w:ind w:left="644" w:hanging="644"/>
        <w:spacing w:after="0" w:line="236"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“Participating Class Member” means a Class Member who does not submit a valid and timely Election Not to Participate in Settlement.</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“Preliminary Approval of the Settlement” means the Court’s Order Granting Preliminary Approval of the Settlement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Agreement and incorporated by this reference herein.</w:t>
      </w:r>
    </w:p>
    <w:p>
      <w:pPr>
        <w:spacing w:after="0" w:line="152" w:lineRule="exact"/>
        <w:rPr>
          <w:rFonts w:ascii="Times New Roman" w:cs="Times New Roman" w:eastAsia="Times New Roman" w:hAnsi="Times New Roman"/>
          <w:sz w:val="22"/>
          <w:szCs w:val="22"/>
          <w:color w:val="auto"/>
        </w:rPr>
      </w:pPr>
    </w:p>
    <w:p>
      <w:pPr>
        <w:ind w:left="644" w:right="20" w:hanging="644"/>
        <w:spacing w:after="0" w:line="236"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“Qualifying Workweeks” means the total number of calendar weeks that each member of the Class was employed by Defendant in California as a non-exempt employee during the Class Period.</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“Released Parties” collectively mean: Defendant, Defendant’s past and present corporate affiliates, subsidiaries, divisions, related entities, divested businesses and business units, and the board members, officers, employees, agents, representatives, insurers and attorneys of any of the same.</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means the disposition of the Actions and all related claims effectuated by this Agreement.</w:t>
      </w:r>
    </w:p>
    <w:p>
      <w:pPr>
        <w:spacing w:after="0" w:line="179" w:lineRule="exact"/>
        <w:rPr>
          <w:rFonts w:ascii="Times New Roman" w:cs="Times New Roman" w:eastAsia="Times New Roman" w:hAnsi="Times New Roman"/>
          <w:sz w:val="22"/>
          <w:szCs w:val="22"/>
          <w:color w:val="auto"/>
        </w:rPr>
      </w:pPr>
    </w:p>
    <w:p>
      <w:pPr>
        <w:ind w:left="644" w:hanging="644"/>
        <w:spacing w:after="0" w:line="236"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Administrator” means the third party settlement administrator proposed by the Parties, as approved by the Court.</w:t>
      </w:r>
    </w:p>
    <w:p>
      <w:pPr>
        <w:spacing w:after="0" w:line="150" w:lineRule="exact"/>
        <w:rPr>
          <w:rFonts w:ascii="Times New Roman" w:cs="Times New Roman" w:eastAsia="Times New Roman" w:hAnsi="Times New Roman"/>
          <w:sz w:val="22"/>
          <w:szCs w:val="22"/>
          <w:color w:val="auto"/>
        </w:rPr>
      </w:pPr>
    </w:p>
    <w:p>
      <w:pPr>
        <w:ind w:left="644" w:hanging="644"/>
        <w:spacing w:after="0" w:line="236" w:lineRule="auto"/>
        <w:tabs>
          <w:tab w:leader="none" w:pos="6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Share” means each Participating Class Member’s share of the Net Settlement Amount as provided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1440" w:right="339" w:bottom="1440" w:gutter="0" w:footer="0" w:header="0"/>
        </w:sectPr>
      </w:pPr>
    </w:p>
    <w:bookmarkStart w:id="47" w:name="page48"/>
    <w:bookmarkEnd w:id="47"/>
    <w:p>
      <w:pPr>
        <w:spacing w:after="0" w:line="200" w:lineRule="exact"/>
        <w:rPr>
          <w:sz w:val="20"/>
          <w:szCs w:val="20"/>
          <w:color w:val="auto"/>
        </w:rPr>
      </w:pPr>
    </w:p>
    <w:p>
      <w:pPr>
        <w:spacing w:after="0" w:line="399"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RECITALS</w:t>
      </w:r>
    </w:p>
    <w:p>
      <w:pPr>
        <w:spacing w:after="0" w:line="183" w:lineRule="exact"/>
        <w:rPr>
          <w:rFonts w:ascii="Times New Roman" w:cs="Times New Roman" w:eastAsia="Times New Roman" w:hAnsi="Times New Roman"/>
          <w:sz w:val="22"/>
          <w:szCs w:val="22"/>
          <w:b w:val="1"/>
          <w:bCs w:val="1"/>
          <w:color w:val="auto"/>
        </w:rPr>
      </w:pPr>
    </w:p>
    <w:p>
      <w:pPr>
        <w:ind w:left="1300" w:right="20" w:hanging="644"/>
        <w:spacing w:after="0" w:line="236" w:lineRule="auto"/>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June 10, 2020, plaintiff Justin Price filed a Complaint against Defendant in the Superior Court of the State of California, County of Los Angeles (“Class Action”). Plaintiff Justin Price asserted claims that Defendant:</w:t>
      </w:r>
    </w:p>
    <w:p>
      <w:pPr>
        <w:spacing w:after="0" w:line="1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Violated California Business and Professions Code § 17200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Failed to Pay Minimum Wages in Violation of Cal. Lab. Code §§ 1194, 1197 &amp; 1197.1’</w:t>
      </w:r>
    </w:p>
    <w:p>
      <w:pPr>
        <w:spacing w:after="0" w:line="17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Failed to pay overtime wages in violation of California Labor Code § 510,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960" w:hanging="656"/>
        <w:spacing w:after="0" w:line="236" w:lineRule="auto"/>
        <w:tabs>
          <w:tab w:leader="none" w:pos="1951"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Failed to provide required meal periods in violation of California Labor Code §§ 226.7 &amp; 512 and the applicable IWC Wage Order;</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52"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Failed to provide required rest periods in violation of California Labor Code §§ 226.7 &amp; 512 and the applicable IWC Wage Order;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Failed to provide accurate itemized wage statements in violation of California Labor Code § 226;</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Failed to reimburse employees for required expenses in violation of California Labor Code § 2802;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Failed to provide wages when due in violation of California Labor Code §§ 201, 202 and 203.</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September 18, 2020, plaintiff Justin Price filed a Complaint against Defendant in the Superior Court of the State of California, County of Los Angeles (“PAGA Action”). Plaintiff Justin Price asserted a single cause of action seeking Civil Penalties Pursuant to Labor Code § 2699, et seq. for violations of Labor Code §§ 201, 202, 203, 204 et seq., 210, 226(a), 226.7, 351, 510, 512, 558(a)(1)(2), 1194, 1197, 1197.1, 1198, 2802, California Code of Regulations, Title 8, Section 11040, Subdivision 5(A)-(B).</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September 24, 2020, plaintiff Justin Price filed a First Amended Complaint in the PAGA Action</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March 15, 2021, Plaintiffs filed a First Amended Complaint in the Class Action adding plaintiff Brenda Price.</w:t>
      </w:r>
    </w:p>
    <w:p>
      <w:pPr>
        <w:spacing w:after="0" w:line="190" w:lineRule="exact"/>
        <w:rPr>
          <w:rFonts w:ascii="Times New Roman" w:cs="Times New Roman" w:eastAsia="Times New Roman" w:hAnsi="Times New Roman"/>
          <w:sz w:val="21"/>
          <w:szCs w:val="21"/>
          <w:color w:val="auto"/>
        </w:rPr>
      </w:pPr>
    </w:p>
    <w:p>
      <w:pPr>
        <w:jc w:val="both"/>
        <w:ind w:left="1300" w:hanging="644"/>
        <w:spacing w:after="0" w:line="227" w:lineRule="auto"/>
        <w:tabs>
          <w:tab w:leader="none" w:pos="130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February 16, 2021, the Parties participated in an all-day mediation presided over by Jeffrey Krivis, a respected mediator of wage and hour representative and class actions. Following the mediation, each side, represented by its respective counsel, were able to agree to settle the Actions based upon a mediator’s proposal which was memorialized in the form of a Memorandum of Understanding. This Agreement replaces and supersedes the Memorandum of Understanding and any other agreements, understandings, or representations between the Parties.</w:t>
      </w:r>
    </w:p>
    <w:p>
      <w:pPr>
        <w:spacing w:after="0" w:line="153" w:lineRule="exact"/>
        <w:rPr>
          <w:rFonts w:ascii="Times New Roman" w:cs="Times New Roman" w:eastAsia="Times New Roman" w:hAnsi="Times New Roman"/>
          <w:sz w:val="21"/>
          <w:szCs w:val="21"/>
          <w:color w:val="auto"/>
        </w:rPr>
      </w:pPr>
    </w:p>
    <w:p>
      <w:pPr>
        <w:ind w:left="1300" w:hanging="644"/>
        <w:spacing w:after="0" w:line="236" w:lineRule="auto"/>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represents a compromise and settlement of highly disputed claims. Nothing in this Agreement is intended or will be construed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0"/>
        <w:spacing w:after="0" w:line="227" w:lineRule="auto"/>
        <w:rPr>
          <w:sz w:val="20"/>
          <w:szCs w:val="20"/>
          <w:color w:val="auto"/>
        </w:rPr>
      </w:pPr>
      <w:r>
        <w:rPr>
          <w:rFonts w:ascii="Times New Roman" w:cs="Times New Roman" w:eastAsia="Times New Roman" w:hAnsi="Times New Roman"/>
          <w:sz w:val="21"/>
          <w:szCs w:val="21"/>
          <w:color w:val="auto"/>
        </w:rPr>
        <w:t>admission by Defendant that the claims in the Actions of Plaintiffs or the Class have merit or that Defendant bears any liability to Plaintiffs or the Class on those claims or any other claims, or as an admission by Plaintiffs that Defendant’s defenses in the Actions have merit. The Parties agree to certification of the Class for purposes of this Settlement only. If for any reason the settlement does not become effective, Defendant reserves the right to contest certification of any class for any reason and reserves all available defenses to the claims in the Actions.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Based on these Recitals that are a part of this Agreement, the Parties agree as follows:</w:t>
      </w:r>
    </w:p>
    <w:p>
      <w:pPr>
        <w:spacing w:after="0" w:line="17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TERMS AND CONDITIONS</w:t>
      </w:r>
    </w:p>
    <w:p>
      <w:pPr>
        <w:spacing w:after="0" w:line="179" w:lineRule="exact"/>
        <w:rPr>
          <w:rFonts w:ascii="Times New Roman" w:cs="Times New Roman" w:eastAsia="Times New Roman" w:hAnsi="Times New Roman"/>
          <w:sz w:val="22"/>
          <w:szCs w:val="22"/>
          <w:b w:val="1"/>
          <w:bCs w:val="1"/>
          <w:color w:val="auto"/>
        </w:rPr>
      </w:pPr>
    </w:p>
    <w:p>
      <w:pPr>
        <w:jc w:val="both"/>
        <w:ind w:left="1300" w:hanging="644"/>
        <w:spacing w:after="0" w:line="227" w:lineRule="auto"/>
        <w:tabs>
          <w:tab w:leader="none" w:pos="13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Consolidation of Actions</w:t>
      </w:r>
      <w:r>
        <w:rPr>
          <w:rFonts w:ascii="Times New Roman" w:cs="Times New Roman" w:eastAsia="Times New Roman" w:hAnsi="Times New Roman"/>
          <w:sz w:val="22"/>
          <w:szCs w:val="22"/>
          <w:color w:val="auto"/>
        </w:rPr>
        <w:t>. Upon the execution of this Agreement, the Parties hereto by and through their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authorized to stipulate to and obtain an order for the consolidation of both complaints filed in the Actions into one complaint in the first filed Class Action.</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26"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Gross Settlement Amount. </w:t>
      </w:r>
      <w:r>
        <w:rPr>
          <w:rFonts w:ascii="Times New Roman" w:cs="Times New Roman" w:eastAsia="Times New Roman" w:hAnsi="Times New Roman"/>
          <w:sz w:val="21"/>
          <w:szCs w:val="21"/>
          <w:color w:val="auto"/>
        </w:rPr>
        <w:t>Subject to the terms and conditions of this Agreement, the Gross Settlement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Defendant will pay under this Settlement is Two Million Three Hundred Thousand Dollars ($2,300,000). This amount is all-inclusive of all payments contemplated in this resolution, excluding any employer-side payroll taxes on the portion of the Settlement Shares allocated to wages which shall be separately paid by Defendant to the Settlement Administrator. All of the Gross Settlement Amount will be disbursed pursuant to this Agreement without the need to submit a claim form and none of the Gross Settlement Amount will revert to Defendant.</w:t>
      </w:r>
    </w:p>
    <w:p>
      <w:pPr>
        <w:spacing w:after="0" w:line="147" w:lineRule="exact"/>
        <w:rPr>
          <w:rFonts w:ascii="Times New Roman" w:cs="Times New Roman" w:eastAsia="Times New Roman" w:hAnsi="Times New Roman"/>
          <w:sz w:val="21"/>
          <w:szCs w:val="21"/>
          <w:color w:val="auto"/>
        </w:rPr>
      </w:pPr>
    </w:p>
    <w:p>
      <w:pPr>
        <w:ind w:left="1300" w:hanging="644"/>
        <w:spacing w:after="0" w:line="238" w:lineRule="auto"/>
        <w:tabs>
          <w:tab w:leader="none" w:pos="13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Payments from the Gross Settlement Amount. </w:t>
      </w:r>
      <w:r>
        <w:rPr>
          <w:rFonts w:ascii="Times New Roman" w:cs="Times New Roman" w:eastAsia="Times New Roman" w:hAnsi="Times New Roman"/>
          <w:sz w:val="22"/>
          <w:szCs w:val="22"/>
          <w:color w:val="auto"/>
        </w:rPr>
        <w:t>Subject to the terms and conditions of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Administrator will make the following payments out of the Gross Settlement Amount:</w:t>
      </w:r>
    </w:p>
    <w:p>
      <w:pPr>
        <w:spacing w:after="0" w:line="146" w:lineRule="exact"/>
        <w:rPr>
          <w:rFonts w:ascii="Times New Roman" w:cs="Times New Roman" w:eastAsia="Times New Roman" w:hAnsi="Times New Roman"/>
          <w:sz w:val="22"/>
          <w:szCs w:val="22"/>
          <w:color w:val="auto"/>
        </w:rPr>
      </w:pPr>
    </w:p>
    <w:p>
      <w:pPr>
        <w:jc w:val="both"/>
        <w:ind w:left="1960" w:hanging="656"/>
        <w:spacing w:after="0" w:line="210" w:lineRule="auto"/>
        <w:tabs>
          <w:tab w:leader="none" w:pos="1952"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 Plaintiffs: </w:t>
      </w:r>
      <w:r>
        <w:rPr>
          <w:rFonts w:ascii="Times New Roman" w:cs="Times New Roman" w:eastAsia="Times New Roman" w:hAnsi="Times New Roman"/>
          <w:sz w:val="22"/>
          <w:szCs w:val="22"/>
          <w:color w:val="auto"/>
        </w:rPr>
        <w:t>In addition to the Settlement Shares to be paid to Plaintiffs, Plaintiffs will apply to the Court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 award of not more than $10,000 each as Class Representative Service Payments, which is combined total of $20,000 in Class Representative Service Payments. Defendant will not oppose Class Representative Service Payments of no more than $10,000 for each of the Plaintiffs. The Settlement Administrator will pay the Class Representative Service Payments approved by the Court out of the Gross Settlement Amount. If the Court approves a Class Representative Service Payments of less than $10,000, for each of the Plaintiffs, the remainder will be retained in the Net Settlement Amount for distribution to Participating Class Members. Payroll tax withholding and deductions will not be taken from the Class Representative Service Payments and instead a Form 1099 will be issued to each of the Plaintiffs with respect to the payments who will assume full responsibility and liability for the taxes due on their Class Representative Service Payments.</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18" w:lineRule="auto"/>
        <w:tabs>
          <w:tab w:leader="none" w:pos="1951"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 Class Counsel: </w:t>
      </w:r>
      <w:r>
        <w:rPr>
          <w:rFonts w:ascii="Times New Roman" w:cs="Times New Roman" w:eastAsia="Times New Roman" w:hAnsi="Times New Roman"/>
          <w:sz w:val="22"/>
          <w:szCs w:val="22"/>
          <w:color w:val="auto"/>
        </w:rPr>
        <w:t>Class Counsel will apply to the Court for an award of not more than One-Third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Gross Settlement Amount, which is presently $766,666, as their Class Counsel Fees Payment and an amount not more than $30,000 for all expenses incurred as documented in Class Counsel’s billing records as their Class Counsel Litigation Expenses Payment. Defendant will not oppose their request for a Class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4"/>
        <w:spacing w:after="0" w:line="211" w:lineRule="auto"/>
        <w:rPr>
          <w:sz w:val="20"/>
          <w:szCs w:val="20"/>
          <w:color w:val="auto"/>
        </w:rPr>
      </w:pPr>
      <w:r>
        <w:rPr>
          <w:rFonts w:ascii="Times New Roman" w:cs="Times New Roman" w:eastAsia="Times New Roman" w:hAnsi="Times New Roman"/>
          <w:sz w:val="22"/>
          <w:szCs w:val="22"/>
          <w:color w:val="auto"/>
        </w:rPr>
        <w:t>Fees Payment and Class Counsel Litigation Expenses Payment consistent with this Agreement and approved by the Court. The Settlement Administrator will pay the amounts approved by the Court out of the Gross Settlement Amount. If the Court approves a Class Counsel Fees Payment or a Class Counsel Litigation Expenses Payment of less than these amounts, which are presently $766,666, and $30,000 respectively, the remainder will be retained in the Net Settlement Amount for distribution to Participating Class Members. Payroll tax withholding and deductions, if any, will not be taken from the Class Counsel Fees Payment and Class Counsel Litigation Expenses Payment and instead one or more Forms 1099 will be issued to Class Counsel with respect to those payments. The payment of the Class Counsel Fees Payment and Class Counsel Litigation Expenses Payment shall be made to Class Counsel.</w:t>
      </w:r>
    </w:p>
    <w:p>
      <w:pPr>
        <w:spacing w:after="0" w:line="154" w:lineRule="exact"/>
        <w:rPr>
          <w:sz w:val="20"/>
          <w:szCs w:val="20"/>
          <w:color w:val="auto"/>
        </w:rPr>
      </w:pPr>
    </w:p>
    <w:p>
      <w:pPr>
        <w:jc w:val="both"/>
        <w:ind w:left="1304" w:hanging="656"/>
        <w:spacing w:after="0" w:line="210" w:lineRule="auto"/>
        <w:tabs>
          <w:tab w:leader="none" w:pos="129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The PAGA Payment. </w:t>
      </w:r>
      <w:r>
        <w:rPr>
          <w:rFonts w:ascii="Times New Roman" w:cs="Times New Roman" w:eastAsia="Times New Roman" w:hAnsi="Times New Roman"/>
          <w:sz w:val="22"/>
          <w:szCs w:val="22"/>
          <w:color w:val="auto"/>
        </w:rPr>
        <w:t>The Parties will seek approval from the Court for the PAGA Payment of $50,000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 of the Gross Settlement Amount, which shall be allocated 75% ($37,500) to the LWDA as the LWDA’s share of the settlement of civil penalties paid under this Agreement pursuant to the PAGA and 25% ($12,500) will be distributed to the Aggrieved Employees based on their respective pay periods by dividing the 25% of the PAGA Payment by the number of pay periods for all Aggrieved Employees worked during the PAGA Period to determine a dollar amount per pay period (“PAGA Rate”) and multiplying the pay periods for each individual Aggrieved Employee by the PAGA Rate to calculate their share of the PAGA Payment. If the Court approves a PAGA Payment of less than $50,000, the remainder will be retained in the Net Settlement Amount for distribution to Participating Class Members. All Aggrieved Employees will be sent their share of the PAGA Payment and will be subject to the release of the Released PAGA Claims as set forth below, whether or not they opt out of the Settlement. One hundred percent (100%) of the PAGA Payment is in settlement of claims for penalties and not be subject to wage withholdings, and shall be reported on IRS Form 1099.</w:t>
      </w:r>
    </w:p>
    <w:p>
      <w:pPr>
        <w:spacing w:after="0" w:line="146" w:lineRule="exact"/>
        <w:rPr>
          <w:rFonts w:ascii="Times New Roman" w:cs="Times New Roman" w:eastAsia="Times New Roman" w:hAnsi="Times New Roman"/>
          <w:sz w:val="22"/>
          <w:szCs w:val="22"/>
          <w:color w:val="auto"/>
        </w:rPr>
      </w:pPr>
    </w:p>
    <w:p>
      <w:pPr>
        <w:jc w:val="both"/>
        <w:ind w:left="1304" w:hanging="656"/>
        <w:spacing w:after="0" w:line="218" w:lineRule="auto"/>
        <w:tabs>
          <w:tab w:leader="none" w:pos="1295"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 the Settlement Administrator. </w:t>
      </w:r>
      <w:r>
        <w:rPr>
          <w:rFonts w:ascii="Times New Roman" w:cs="Times New Roman" w:eastAsia="Times New Roman" w:hAnsi="Times New Roman"/>
          <w:sz w:val="22"/>
          <w:szCs w:val="22"/>
          <w:color w:val="auto"/>
        </w:rPr>
        <w:t>The Settlement Administrator will pay out of the Gross 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to itself its reasonable fees and expenses that are documented and approved by the Court in an amount not to exceed $20,000 (“Settlement Administration Expenses”). To the extent the Settlement Administration Expenses that are documented and approved by the Court are less than $20,000, the remainder will be retained in the Net Settlement Amount for distribution to Participating Class Members.</w:t>
      </w:r>
    </w:p>
    <w:p>
      <w:pPr>
        <w:spacing w:after="0" w:line="147" w:lineRule="exact"/>
        <w:rPr>
          <w:rFonts w:ascii="Times New Roman" w:cs="Times New Roman" w:eastAsia="Times New Roman" w:hAnsi="Times New Roman"/>
          <w:sz w:val="22"/>
          <w:szCs w:val="22"/>
          <w:color w:val="auto"/>
        </w:rPr>
      </w:pPr>
    </w:p>
    <w:p>
      <w:pPr>
        <w:jc w:val="both"/>
        <w:ind w:left="644" w:hanging="644"/>
        <w:spacing w:after="0" w:line="227" w:lineRule="auto"/>
        <w:tabs>
          <w:tab w:leader="none" w:pos="64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Payments From the Net Settlement Amount. </w:t>
      </w:r>
      <w:r>
        <w:rPr>
          <w:rFonts w:ascii="Times New Roman" w:cs="Times New Roman" w:eastAsia="Times New Roman" w:hAnsi="Times New Roman"/>
          <w:sz w:val="22"/>
          <w:szCs w:val="22"/>
          <w:color w:val="auto"/>
        </w:rPr>
        <w:t>The Net Settlement Amount shall include the following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deductions have been made from the Gross Settlement Amount as described in this Agreement. The Net Settlement Amount shall include the following:</w:t>
      </w:r>
    </w:p>
    <w:p>
      <w:pPr>
        <w:spacing w:after="0" w:line="146" w:lineRule="exact"/>
        <w:rPr>
          <w:rFonts w:ascii="Times New Roman" w:cs="Times New Roman" w:eastAsia="Times New Roman" w:hAnsi="Times New Roman"/>
          <w:sz w:val="22"/>
          <w:szCs w:val="22"/>
          <w:color w:val="auto"/>
        </w:rPr>
      </w:pPr>
    </w:p>
    <w:p>
      <w:pPr>
        <w:jc w:val="both"/>
        <w:ind w:left="1304" w:hanging="656"/>
        <w:spacing w:after="0" w:line="227" w:lineRule="auto"/>
        <w:tabs>
          <w:tab w:leader="none" w:pos="129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Settlement Share. </w:t>
      </w:r>
      <w:r>
        <w:rPr>
          <w:rFonts w:ascii="Times New Roman" w:cs="Times New Roman" w:eastAsia="Times New Roman" w:hAnsi="Times New Roman"/>
          <w:sz w:val="22"/>
          <w:szCs w:val="22"/>
          <w:color w:val="auto"/>
        </w:rPr>
        <w:t>Subject to the terms and conditions of this Agreement, the Settlement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pay a Settlement Share from the Net Settlement Amount to each Participating Class Member. The submission of a claim form is not required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4"/>
          </w:cols>
          <w:pgMar w:left="976" w:top="1440" w:right="339" w:bottom="1440" w:gutter="0" w:footer="0" w:header="0"/>
        </w:sectPr>
      </w:pPr>
    </w:p>
    <w:bookmarkStart w:id="50" w:name="page51"/>
    <w:bookmarkEnd w:id="50"/>
    <w:p>
      <w:pPr>
        <w:spacing w:after="0" w:line="200" w:lineRule="exact"/>
        <w:rPr>
          <w:sz w:val="20"/>
          <w:szCs w:val="20"/>
          <w:color w:val="auto"/>
        </w:rPr>
      </w:pPr>
    </w:p>
    <w:p>
      <w:pPr>
        <w:spacing w:after="0" w:line="399" w:lineRule="exact"/>
        <w:rPr>
          <w:sz w:val="20"/>
          <w:szCs w:val="20"/>
          <w:color w:val="auto"/>
        </w:rPr>
      </w:pPr>
    </w:p>
    <w:p>
      <w:pPr>
        <w:jc w:val="both"/>
        <w:ind w:left="840" w:hanging="656"/>
        <w:spacing w:after="0" w:line="224" w:lineRule="auto"/>
        <w:tabs>
          <w:tab w:leader="none" w:pos="83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Calculation</w:t>
      </w:r>
      <w:r>
        <w:rPr>
          <w:rFonts w:ascii="Times New Roman" w:cs="Times New Roman" w:eastAsia="Times New Roman" w:hAnsi="Times New Roman"/>
          <w:sz w:val="21"/>
          <w:szCs w:val="21"/>
          <w:color w:val="auto"/>
        </w:rPr>
        <w:t>. Each Participating Class Member will be entitled, provisionally, to a share or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Net Settlement Amount. The Settlement Share for each Participating Class Member will be calculated as follows: (i) Defendant shall provide the Settlement Administrator with the Class Data; (ii) the Settlement Administrator shall then divide the Net Settlement Amount by the total number of Qualifying Workweeks for all the Participating Class Members to determine a dollar amount per week (“Weekly Rate”); and (iii) the Settlement Administrator shall then take the number of Qualifying Workweeks worked by each Participating Class Member and multiply it by the Weekly Rate to calculate their Settlement Share.</w:t>
      </w:r>
    </w:p>
    <w:p>
      <w:pPr>
        <w:spacing w:after="0" w:line="150" w:lineRule="exact"/>
        <w:rPr>
          <w:rFonts w:ascii="Times New Roman" w:cs="Times New Roman" w:eastAsia="Times New Roman" w:hAnsi="Times New Roman"/>
          <w:sz w:val="21"/>
          <w:szCs w:val="21"/>
          <w:color w:val="auto"/>
        </w:rPr>
      </w:pPr>
    </w:p>
    <w:p>
      <w:pPr>
        <w:ind w:left="820" w:hanging="636"/>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580" w:hanging="640"/>
        <w:spacing w:after="0" w:line="217" w:lineRule="auto"/>
        <w:tabs>
          <w:tab w:leader="none" w:pos="156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approval by the Court, One-Third of each Participating Class Member’s Settlement Share is in settlement of wage claims (the “Wage Portion”). Accordingly, the Wage Portion is subject to wage withholdings, and shall be reported on IRS Form W-2 and shall be paid for from the Gross Settlement Amount. The Settlement Administrator shall be responsible for remitting to the tax authorities employees’ and employer’s share of all payroll taxes on the Wage Portion.</w:t>
      </w:r>
    </w:p>
    <w:p>
      <w:pPr>
        <w:spacing w:after="0" w:line="152" w:lineRule="exact"/>
        <w:rPr>
          <w:rFonts w:ascii="Times New Roman" w:cs="Times New Roman" w:eastAsia="Times New Roman" w:hAnsi="Times New Roman"/>
          <w:sz w:val="22"/>
          <w:szCs w:val="22"/>
          <w:color w:val="auto"/>
        </w:rPr>
      </w:pPr>
    </w:p>
    <w:p>
      <w:pPr>
        <w:jc w:val="both"/>
        <w:ind w:left="1580" w:hanging="640"/>
        <w:spacing w:after="0" w:line="220" w:lineRule="auto"/>
        <w:tabs>
          <w:tab w:leader="none" w:pos="15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approval by the Court, Two-Thirds of each Participating Class Member’s Settlement Share is in settlement of claims for interest and penalties allegedly due to employees (collectively the “Non-Wage Portion”). The Non-Wage Portion shall not be subject to wage withholdings, and shall be reported on IRS Form 1099.</w:t>
      </w:r>
    </w:p>
    <w:p>
      <w:pPr>
        <w:spacing w:after="0" w:line="148" w:lineRule="exact"/>
        <w:rPr>
          <w:rFonts w:ascii="Times New Roman" w:cs="Times New Roman" w:eastAsia="Times New Roman" w:hAnsi="Times New Roman"/>
          <w:sz w:val="22"/>
          <w:szCs w:val="22"/>
          <w:color w:val="auto"/>
        </w:rPr>
      </w:pPr>
    </w:p>
    <w:p>
      <w:pPr>
        <w:jc w:val="both"/>
        <w:ind w:left="840" w:hanging="656"/>
        <w:spacing w:after="0" w:line="218" w:lineRule="auto"/>
        <w:tabs>
          <w:tab w:leader="none" w:pos="83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Effect of Non-Participating Class Members. </w:t>
      </w:r>
      <w:r>
        <w:rPr>
          <w:rFonts w:ascii="Times New Roman" w:cs="Times New Roman" w:eastAsia="Times New Roman" w:hAnsi="Times New Roman"/>
          <w:sz w:val="22"/>
          <w:szCs w:val="22"/>
          <w:color w:val="auto"/>
        </w:rPr>
        <w:t>Non-Participating Class Members will receive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Settlement Share, and their Election Not to Participate in Settlement will reduce neither the Gross Settlement Amount nor the Net Settlement Amount. Their respective Settlement Shares will remain a part of the Net Settlement Amount for distribution to Participating Class Members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relative to their Settlement Shares.</w:t>
      </w:r>
    </w:p>
    <w:p>
      <w:pPr>
        <w:spacing w:after="0" w:line="147" w:lineRule="exact"/>
        <w:rPr>
          <w:rFonts w:ascii="Times New Roman" w:cs="Times New Roman" w:eastAsia="Times New Roman" w:hAnsi="Times New Roman"/>
          <w:sz w:val="22"/>
          <w:szCs w:val="22"/>
          <w:color w:val="auto"/>
        </w:rPr>
      </w:pPr>
    </w:p>
    <w:p>
      <w:pPr>
        <w:jc w:val="both"/>
        <w:ind w:left="840" w:hanging="656"/>
        <w:spacing w:after="0" w:line="211" w:lineRule="auto"/>
        <w:tabs>
          <w:tab w:leader="none" w:pos="83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Class Size Modification. </w:t>
      </w:r>
      <w:r>
        <w:rPr>
          <w:rFonts w:ascii="Times New Roman" w:cs="Times New Roman" w:eastAsia="Times New Roman" w:hAnsi="Times New Roman"/>
          <w:sz w:val="22"/>
          <w:szCs w:val="22"/>
          <w:color w:val="auto"/>
        </w:rPr>
        <w:t>Defendant has represented that based on data available at the time of mediation,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Class consists of an estimated total of 1,136 Class Members who worked 125,357 workweeks between June 10, 2016 and April 23, 2021. In regard hereto, Defendant will provide a declaration under oath confirming the number of Class Members and workweeks they worked prior to the filing of the Motion for Preliminary Approval. The Gross Settlement Amount will increase proportionally with added workweeks through July 31, 2021 and if the number is more than 10% of the workweeks estimate stated herein, i.e., exceeds 137,892 workweeks, subject to Defendant’s right, but not the obligation, to revoke this Agreement in lieu of an increase to the Gross Settlement Amount. The estimated Class Members and applicable workweeks exclude workweeks through February 17, 2017 for Class Members who were members of California settlement class in </w:t>
      </w:r>
      <w:r>
        <w:rPr>
          <w:rFonts w:ascii="Times New Roman" w:cs="Times New Roman" w:eastAsia="Times New Roman" w:hAnsi="Times New Roman"/>
          <w:sz w:val="22"/>
          <w:szCs w:val="22"/>
          <w:i w:val="1"/>
          <w:iCs w:val="1"/>
          <w:color w:val="auto"/>
        </w:rPr>
        <w:t>Viceral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40" w:top="1440" w:right="339" w:bottom="1440" w:gutter="0" w:footer="0" w:header="0"/>
        </w:sectPr>
      </w:pPr>
    </w:p>
    <w:bookmarkStart w:id="51" w:name="page52"/>
    <w:bookmarkEnd w:id="51"/>
    <w:p>
      <w:pPr>
        <w:spacing w:after="0" w:line="200" w:lineRule="exact"/>
        <w:rPr>
          <w:sz w:val="20"/>
          <w:szCs w:val="20"/>
          <w:color w:val="auto"/>
        </w:rPr>
      </w:pPr>
    </w:p>
    <w:p>
      <w:pPr>
        <w:spacing w:after="0" w:line="399" w:lineRule="exact"/>
        <w:rPr>
          <w:sz w:val="20"/>
          <w:szCs w:val="20"/>
          <w:color w:val="auto"/>
        </w:rPr>
      </w:pPr>
    </w:p>
    <w:p>
      <w:pPr>
        <w:jc w:val="both"/>
        <w:ind w:left="644" w:hanging="644"/>
        <w:spacing w:after="0" w:line="209" w:lineRule="auto"/>
        <w:tabs>
          <w:tab w:leader="none" w:pos="6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Appointment of Settlement Administrator. </w:t>
      </w:r>
      <w:r>
        <w:rPr>
          <w:rFonts w:ascii="Times New Roman" w:cs="Times New Roman" w:eastAsia="Times New Roman" w:hAnsi="Times New Roman"/>
          <w:sz w:val="22"/>
          <w:szCs w:val="22"/>
          <w:color w:val="auto"/>
        </w:rPr>
        <w:t>After obtaining a quote from mutually acceptable and 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administrators, the Parties have mutually agreed to ask the Court to appoint Simpluris as the qualified administrator, to serve as the Settlement Administrator, which, as a condition of appointment, will agree to be bound by this Agreement with respect to the performance of its duties and its compensation. The Settlement Administrator’s duties will include preparing, printing, and mailing the Class Notice Packet to all Class Members; conducting a National Change of Address search to update Class Member addresses before mailing the Class Notice Packets; re-mailing Class Notice Packets that are returned to the Class Member’s new address; setting up a toll-free telephone number to receive calls from Class Members; receiving and reviewing for validity completed Elections Not to Participate in Settlement; providing the Parties with weekly status reports about the delivery of Class Notice Packets and receipt of completed Elections Not to Participate in Settlement; calculating Settlement Shares; issuing the checks to effectuate the payments due under the Settlement; issuing the tax reports required under this Settlement; and otherwise administering the Settlement pursuant to this Agreement. The Settlement Administrator will have the authority to resolve all disputes concerning the calculation of a Participating Class Member’s Settlement Share, subject to the dollar limitations and calculations set forth in this Agreement. The Settlement Administration Expenses, including the cost of printing and mailing the Class Notice Packet, will be paid out of the Gross Settlement Amount.</w:t>
      </w:r>
    </w:p>
    <w:p>
      <w:pPr>
        <w:spacing w:after="0" w:line="151" w:lineRule="exact"/>
        <w:rPr>
          <w:rFonts w:ascii="Times New Roman" w:cs="Times New Roman" w:eastAsia="Times New Roman" w:hAnsi="Times New Roman"/>
          <w:sz w:val="22"/>
          <w:szCs w:val="22"/>
          <w:color w:val="auto"/>
        </w:rPr>
      </w:pPr>
    </w:p>
    <w:p>
      <w:pPr>
        <w:jc w:val="both"/>
        <w:ind w:left="644"/>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have its own Employer Identification Number under Internal Revenue Service Form W-9 and shall use its own Employer Identification Number in calculating payroll withholdings for taxes and shall transmit the required employers’ and employees’ share of the withholdings to the appropriate state and federal tax authorities. The Settlement Administrator shall establish a settlement fund that meets the requirements of a Qualified Settlement Fund (“QSF”) under US Treasury Regulation section 468B-1.</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 for Approving Settlement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Motion for Preliminary Approval of Settlement by the Court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944" w:hanging="648"/>
        <w:spacing w:after="0" w:line="227" w:lineRule="auto"/>
        <w:tabs>
          <w:tab w:leader="none" w:pos="1932"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Execution of this Settlement Agreement, Plaintiffs will file a Preliminary Approval Motion with the Court for an order giving Preliminary Approval of the Settlement, setting a date for the Final Approval Hearing, and approving the Class Notice (the “Motion for Preliminary Approval”). Any disagreement among the Parties concerning the Class Notice, the proposed orders, or other documents necessary to implement the Settlement will be referred to the mediator for resolution.</w:t>
      </w:r>
    </w:p>
    <w:p>
      <w:pPr>
        <w:spacing w:after="0" w:line="153" w:lineRule="exact"/>
        <w:rPr>
          <w:rFonts w:ascii="Times New Roman" w:cs="Times New Roman" w:eastAsia="Times New Roman" w:hAnsi="Times New Roman"/>
          <w:sz w:val="21"/>
          <w:szCs w:val="21"/>
          <w:color w:val="auto"/>
        </w:rPr>
      </w:pPr>
    </w:p>
    <w:p>
      <w:pPr>
        <w:ind w:left="1944" w:right="20" w:hanging="648"/>
        <w:spacing w:after="0" w:line="236" w:lineRule="auto"/>
        <w:tabs>
          <w:tab w:leader="none" w:pos="1944"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shall submit this Agreement and the motion for preliminary approval to the LWDA at the same time as they are submitted to the Court, as required by PAGA.</w:t>
      </w:r>
    </w:p>
    <w:p>
      <w:pPr>
        <w:spacing w:after="0" w:line="150" w:lineRule="exact"/>
        <w:rPr>
          <w:rFonts w:ascii="Times New Roman" w:cs="Times New Roman" w:eastAsia="Times New Roman" w:hAnsi="Times New Roman"/>
          <w:sz w:val="22"/>
          <w:szCs w:val="22"/>
          <w:color w:val="auto"/>
        </w:rPr>
      </w:pPr>
    </w:p>
    <w:p>
      <w:pPr>
        <w:jc w:val="both"/>
        <w:ind w:left="1944" w:hanging="648"/>
        <w:spacing w:after="0" w:line="220" w:lineRule="auto"/>
        <w:tabs>
          <w:tab w:leader="none" w:pos="1932"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hearing on the Motion for Preliminary Approval, the Parties will jointly appear, support the granting of the motion, and submit an Order Granting Preliminary Approval of the Settlement substantially in the form evidenced by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Agreement and incorporated by reference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4"/>
          </w:cols>
          <w:pgMar w:left="976"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480" w:hanging="648"/>
        <w:spacing w:after="0" w:line="217" w:lineRule="auto"/>
        <w:tabs>
          <w:tab w:leader="none" w:pos="14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Court decline to preliminarily approve material aspects of the Settlement (including but not limited to the scope of release to be granted by Participating Class Members or the binding effect of the Settlement on Participating Class Members), the Parties shall work together in good faith to address any concerns raised by the Court and propose a revised Settlement for the Court’s approval.</w:t>
      </w:r>
    </w:p>
    <w:p>
      <w:pPr>
        <w:spacing w:after="0" w:line="148" w:lineRule="exact"/>
        <w:rPr>
          <w:rFonts w:ascii="Times New Roman" w:cs="Times New Roman" w:eastAsia="Times New Roman" w:hAnsi="Times New Roman"/>
          <w:sz w:val="22"/>
          <w:szCs w:val="22"/>
          <w:color w:val="auto"/>
        </w:rPr>
      </w:pPr>
    </w:p>
    <w:p>
      <w:pPr>
        <w:jc w:val="both"/>
        <w:ind w:left="840" w:hanging="656"/>
        <w:spacing w:after="0" w:line="221" w:lineRule="auto"/>
        <w:tabs>
          <w:tab w:leader="none" w:pos="83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Notice to Class Members. </w:t>
      </w:r>
      <w:r>
        <w:rPr>
          <w:rFonts w:ascii="Times New Roman" w:cs="Times New Roman" w:eastAsia="Times New Roman" w:hAnsi="Times New Roman"/>
          <w:sz w:val="22"/>
          <w:szCs w:val="22"/>
          <w:color w:val="auto"/>
        </w:rPr>
        <w:t>After the Court enters an Order Granting Preliminary Approval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every Class Member will be sent the Class Notice Packet (which will include the Class Notice completed to reflect the Order Granting Preliminary Approval of the Settlement and showing the Class Member’s Settlement Share) as follows:</w:t>
      </w:r>
    </w:p>
    <w:p>
      <w:pPr>
        <w:spacing w:after="0" w:line="152" w:lineRule="exact"/>
        <w:rPr>
          <w:rFonts w:ascii="Times New Roman" w:cs="Times New Roman" w:eastAsia="Times New Roman" w:hAnsi="Times New Roman"/>
          <w:sz w:val="22"/>
          <w:szCs w:val="22"/>
          <w:color w:val="auto"/>
        </w:rPr>
      </w:pPr>
    </w:p>
    <w:p>
      <w:pPr>
        <w:jc w:val="both"/>
        <w:ind w:left="1480" w:hanging="648"/>
        <w:spacing w:after="0" w:line="219" w:lineRule="auto"/>
        <w:tabs>
          <w:tab w:leader="none" w:pos="146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14 days after the Court enters an Order Granting Preliminary Approval of the Settlement, Defendant will provide to the Settlement Administrator an electronic database containing each Class Member’s Class Data. If any or all of the Class Data is unavailable to Defendant, Defendant will so inform Class Counsel and the Parties will meet and confer to reach a resolution concerning the method to use to reconstruct or otherwise agree upon the Class Data prior to when it must be submitted to the Settlement Administrator. This information will otherwise remain confidential and will not be disclosed to anyone, except as required to applicable taxing authorities, in order to carry out the reasonable efforts described in section III.F.2.c., or pursuant to Defendant’s express written authorization or by order of the Court. All Class Data will be used for settlement notification and settlement administration and shall not be used for any other purpose by Class Counsel. This provision shall not be construed to impede Class Counsel’s ability to discharge their fiduciary duties to the Class, and if additional disclosures are necessary, Class Counsel will obtain written authorization of Defendant and/or an order from the Court.</w:t>
      </w:r>
    </w:p>
    <w:p>
      <w:pPr>
        <w:spacing w:after="0" w:line="159" w:lineRule="exact"/>
        <w:rPr>
          <w:rFonts w:ascii="Times New Roman" w:cs="Times New Roman" w:eastAsia="Times New Roman" w:hAnsi="Times New Roman"/>
          <w:sz w:val="21"/>
          <w:szCs w:val="21"/>
          <w:color w:val="auto"/>
        </w:rPr>
      </w:pPr>
    </w:p>
    <w:p>
      <w:pPr>
        <w:jc w:val="both"/>
        <w:ind w:left="1480" w:hanging="648"/>
        <w:spacing w:after="0" w:line="212" w:lineRule="auto"/>
        <w:tabs>
          <w:tab w:leader="none" w:pos="14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update the Class Data using the National Change of Address database prior to mailing the Class Notice Packets. Using best efforts to mail it as soon as possible, and in no event later than 14 days after receiving the Class Data, the Settlement Administrator will mail the Class Notice Packets to all Class Members via first-class regular U.S. Mail using the mailing address information provided by Defendant, unless modified by any updated address information that the Settlement Administrator obtains in the course of administration of the Settlement. The Class Notice, and any email containing the re-mailed Class Notice, shall include a Spanish translation.</w:t>
      </w:r>
    </w:p>
    <w:p>
      <w:pPr>
        <w:spacing w:after="0" w:line="156" w:lineRule="exact"/>
        <w:rPr>
          <w:rFonts w:ascii="Times New Roman" w:cs="Times New Roman" w:eastAsia="Times New Roman" w:hAnsi="Times New Roman"/>
          <w:sz w:val="22"/>
          <w:szCs w:val="22"/>
          <w:color w:val="auto"/>
        </w:rPr>
      </w:pPr>
    </w:p>
    <w:p>
      <w:pPr>
        <w:jc w:val="both"/>
        <w:ind w:left="1480" w:hanging="648"/>
        <w:spacing w:after="0" w:line="220" w:lineRule="auto"/>
        <w:tabs>
          <w:tab w:leader="none" w:pos="146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Class Notice Packet is returned because of an incorrect address, the Settlement Administrator will promptly search for a more current address for the Class Member and re-mail the Class Notice Packet to the Class Member no later than seven (7) business days after the receipt of the undelivered Class Notice. The Settlement Administrator will also email a copy of the re-mailed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120"/>
          </w:cols>
          <w:pgMar w:left="144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480"/>
        <w:spacing w:after="0" w:line="209" w:lineRule="auto"/>
        <w:rPr>
          <w:sz w:val="20"/>
          <w:szCs w:val="20"/>
          <w:color w:val="auto"/>
        </w:rPr>
      </w:pPr>
      <w:r>
        <w:rPr>
          <w:rFonts w:ascii="Times New Roman" w:cs="Times New Roman" w:eastAsia="Times New Roman" w:hAnsi="Times New Roman"/>
          <w:sz w:val="22"/>
          <w:szCs w:val="22"/>
          <w:color w:val="auto"/>
        </w:rPr>
        <w:t>Class Notice to the Class Member if there is an available email address in the Class Data. The Settlement Administrator will use the Class Data and otherwise work with Defendant to find a more current address. The Settlement Administrator will be responsible for taking reasonable steps, consistent with its agreed-upon job parameters, Court orders, and fee, as agreed to with Class Counsel and according to the following deadlines, to trace the mailing address of any Class Member for whom a Class Notice Packet is returned by the U.S. Postal Service as undeliverable. These reasonable steps shall include, at a minimum, the tracking of all undelivered mail; performing address searches for all mail returned without a forwarding address using available email addresses, phone numbers, social security numbers, credit reports, LinkedIn, and Facebook; and promptly re-mailing to Class Members for whom new addresses are found. If the Class Notice Packet is re-mailed, the response date for written objections, disputes and opt-outs will be extended an additional 15 days, this extended response date will be set forth in the re-mailed Class Notice, and the Settlement Administrator will note for its own records and notify Class Counsel and Defendant’s Counsel of the date and address of each such re-mailing as part of a weekly status report provided to the Parties.</w:t>
      </w:r>
    </w:p>
    <w:p>
      <w:pPr>
        <w:spacing w:after="0" w:line="151" w:lineRule="exact"/>
        <w:rPr>
          <w:sz w:val="20"/>
          <w:szCs w:val="20"/>
          <w:color w:val="auto"/>
        </w:rPr>
      </w:pPr>
    </w:p>
    <w:p>
      <w:pPr>
        <w:jc w:val="both"/>
        <w:ind w:left="1480" w:hanging="648"/>
        <w:spacing w:after="0" w:line="225" w:lineRule="auto"/>
        <w:tabs>
          <w:tab w:leader="none" w:pos="148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its weekly status report, the Settlement Administrator will inform Class Counsel and Defendant’s Counsel of the number of Elections Not to Participate in Settlement it receives (including the numbers of valid and deficient), and number of objections received.</w:t>
      </w:r>
    </w:p>
    <w:p>
      <w:pPr>
        <w:spacing w:after="0" w:line="152" w:lineRule="exact"/>
        <w:rPr>
          <w:rFonts w:ascii="Times New Roman" w:cs="Times New Roman" w:eastAsia="Times New Roman" w:hAnsi="Times New Roman"/>
          <w:sz w:val="22"/>
          <w:szCs w:val="22"/>
          <w:color w:val="auto"/>
        </w:rPr>
      </w:pPr>
    </w:p>
    <w:p>
      <w:pPr>
        <w:jc w:val="both"/>
        <w:ind w:left="1480" w:hanging="648"/>
        <w:spacing w:after="0" w:line="213" w:lineRule="auto"/>
        <w:tabs>
          <w:tab w:leader="none" w:pos="146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10 days before the date by which the Plaintiffs file the motion for final approval of the Settlement, the Settlement Administrator will provide the Parties for filing with the Court a declaration of due diligence setting forth its compliance with its obligations under this Agreement and detailing the Elections Not to Participate in Settlement it received (including the numbers of valid and deficient Elections) and objections received. Prior to the Final Approval Hearing, the Settlement Administrator will supplement its declaration of due diligence if any material changes occur from the date of the filing of its prior declaration.</w:t>
      </w:r>
    </w:p>
    <w:p>
      <w:pPr>
        <w:spacing w:after="0" w:line="152" w:lineRule="exact"/>
        <w:rPr>
          <w:rFonts w:ascii="Times New Roman" w:cs="Times New Roman" w:eastAsia="Times New Roman" w:hAnsi="Times New Roman"/>
          <w:sz w:val="22"/>
          <w:szCs w:val="22"/>
          <w:color w:val="auto"/>
        </w:rPr>
      </w:pPr>
    </w:p>
    <w:p>
      <w:pPr>
        <w:jc w:val="both"/>
        <w:ind w:left="840" w:hanging="656"/>
        <w:spacing w:after="0" w:line="218" w:lineRule="auto"/>
        <w:tabs>
          <w:tab w:leader="none" w:pos="8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Objections to Settlement; Disputes as to Workweeks allocated to Class Members; Elections Not to Participate in Settlement. </w:t>
      </w:r>
      <w:r>
        <w:rPr>
          <w:rFonts w:ascii="Times New Roman" w:cs="Times New Roman" w:eastAsia="Times New Roman" w:hAnsi="Times New Roman"/>
          <w:sz w:val="22"/>
          <w:szCs w:val="22"/>
          <w:color w:val="auto"/>
        </w:rPr>
        <w:t>Participating Class Members may submit objections to the Settlement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objections to the Class Counsel Fees Payment and/or Class Counsel Litigation Expenses Payment. Class Members may also submit disputes as to workweeks allocated to them and Elections Not to Participate in Settlement pursuant to the following procedures:</w:t>
      </w:r>
    </w:p>
    <w:p>
      <w:pPr>
        <w:spacing w:after="0" w:line="147" w:lineRule="exact"/>
        <w:rPr>
          <w:rFonts w:ascii="Times New Roman" w:cs="Times New Roman" w:eastAsia="Times New Roman" w:hAnsi="Times New Roman"/>
          <w:sz w:val="22"/>
          <w:szCs w:val="22"/>
          <w:color w:val="auto"/>
        </w:rPr>
      </w:pPr>
    </w:p>
    <w:p>
      <w:pPr>
        <w:jc w:val="both"/>
        <w:ind w:left="1480" w:hanging="648"/>
        <w:spacing w:after="0" w:line="221" w:lineRule="auto"/>
        <w:tabs>
          <w:tab w:leader="none" w:pos="146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Objections to Settlement. </w:t>
      </w:r>
      <w:r>
        <w:rPr>
          <w:rFonts w:ascii="Times New Roman" w:cs="Times New Roman" w:eastAsia="Times New Roman" w:hAnsi="Times New Roman"/>
          <w:sz w:val="22"/>
          <w:szCs w:val="22"/>
          <w:color w:val="auto"/>
        </w:rPr>
        <w:t>The Class Notice will provide that only Participating Class Members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wish to object to the Settlement, Class Counsel Fees Payment, Class Counsel Litigation Expenses Payment, and/or the Class Representative Service Payments may object to the proposed Settlement, either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120"/>
          </w:cols>
          <w:pgMar w:left="144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480"/>
        <w:spacing w:after="0" w:line="210" w:lineRule="auto"/>
        <w:rPr>
          <w:sz w:val="20"/>
          <w:szCs w:val="20"/>
          <w:color w:val="auto"/>
        </w:rPr>
      </w:pPr>
      <w:r>
        <w:rPr>
          <w:rFonts w:ascii="Times New Roman" w:cs="Times New Roman" w:eastAsia="Times New Roman" w:hAnsi="Times New Roman"/>
          <w:sz w:val="22"/>
          <w:szCs w:val="22"/>
          <w:color w:val="auto"/>
        </w:rPr>
        <w:t>or orally at the Final Approval Hearing. Objections in writing must be submitted to the Settlement Administrator, postmarked not later than sixty (60) calendar days after the Settlement Administrator mails the Class Notice Packets. Written objections must set forth the grounds for the objection(s) and comply with the instructions in the Class Notice. If a Class Notice Packet is re-mailed, the response date for written objections will be extended an additional 15 days. Written objections may also be faxed or emailed to the Settlement Administrator as indicated in the Class Notice. Alternatively, Class Members shall be entitled to be heard at the Final Approval Hearing (whether individually or through separate counsel) to orally object to the Settlement, Class Counsel Fees Payment, Class Counsel Litigation Expenses Payment, and/or the Class Representative Service Payments. Non-Participating Class Members shall have no ability to comment on or object to the Settlement.</w:t>
      </w:r>
    </w:p>
    <w:p>
      <w:pPr>
        <w:spacing w:after="0" w:line="153" w:lineRule="exact"/>
        <w:rPr>
          <w:sz w:val="20"/>
          <w:szCs w:val="20"/>
          <w:color w:val="auto"/>
        </w:rPr>
      </w:pPr>
    </w:p>
    <w:p>
      <w:pPr>
        <w:jc w:val="both"/>
        <w:ind w:left="1480" w:hanging="648"/>
        <w:spacing w:after="0" w:line="213" w:lineRule="auto"/>
        <w:tabs>
          <w:tab w:leader="none" w:pos="14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Disputes as to Workweeks. </w:t>
      </w:r>
      <w:r>
        <w:rPr>
          <w:rFonts w:ascii="Times New Roman" w:cs="Times New Roman" w:eastAsia="Times New Roman" w:hAnsi="Times New Roman"/>
          <w:sz w:val="22"/>
          <w:szCs w:val="22"/>
          <w:color w:val="auto"/>
        </w:rPr>
        <w:t>Each Class Member shall also have sixty (60) calendar days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Administrator mails the Class Notice Packets in which to dispute the workweeks the Class Notice allocates to them during the Class Period. A dispute may also be faxed or emailed to the Settlement Administrator as indicated in the Class Notice. Any notice of dispute shall be directed to the Settlement Administrator. Any dispute as to this allocation shall be resolved by the Settlement Administrator, with input and assistance from Defendant’s Counsel, where applicable. If a Class Notice Packet is re-mailed, the response date for disputes will be extended an additional 15 days.</w:t>
      </w:r>
    </w:p>
    <w:p>
      <w:pPr>
        <w:spacing w:after="0" w:line="147" w:lineRule="exact"/>
        <w:rPr>
          <w:rFonts w:ascii="Times New Roman" w:cs="Times New Roman" w:eastAsia="Times New Roman" w:hAnsi="Times New Roman"/>
          <w:sz w:val="22"/>
          <w:szCs w:val="22"/>
          <w:color w:val="auto"/>
        </w:rPr>
      </w:pPr>
    </w:p>
    <w:p>
      <w:pPr>
        <w:jc w:val="both"/>
        <w:ind w:left="1480" w:hanging="648"/>
        <w:spacing w:after="0" w:line="208" w:lineRule="auto"/>
        <w:tabs>
          <w:tab w:leader="none" w:pos="146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Election Not to Participate in Settlement. </w:t>
      </w:r>
      <w:r>
        <w:rPr>
          <w:rFonts w:ascii="Times New Roman" w:cs="Times New Roman" w:eastAsia="Times New Roman" w:hAnsi="Times New Roman"/>
          <w:sz w:val="22"/>
          <w:szCs w:val="22"/>
          <w:color w:val="auto"/>
        </w:rPr>
        <w:t>The Class Notice also will provide that Class Members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wish to exclude themselves from the Settlement must mail to the Settlement Administrator postmarked not later than sixty (60) calendar days after the Settlement Administrator mails the Class Notice Packets, a signed Election Not to Participate in Settlement. If a Class Notice Packet is re-mailed, the response date for opt-outs will be extended an additional 15 days. To be valid, an Election Not to Participate in Settlement must be timely and must comply with the instructions in the Class Notice. An Election Not to Participate may also be faxed or emailed to the Settlement Administrator as indicated in the Class Notice If a question is raised about the authenticity of a signed Election Not to Participate in Settlement, the Settlement Administrator will have the right to demand additional proof of the Class Member’s identity. A Non-Participating Class Member will not participate in or be bound by the Settlement and the Judgment, except that an Aggrieved Employee will still be paid their allocation of the PAGA Payment and will remain bound by the release of the Released PAGA Claims regardless of their request for exclusion. Defendant will remain free to contest any claim brought by any Class Member that would have been barred by this Agreement, and nothing in this Agreement will constitute or be construed as a waiver of any defense Defendant has or could assert against such a claim. A Class Member who does not complete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120"/>
          </w:cols>
          <w:pgMar w:left="144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480"/>
        <w:spacing w:after="0" w:line="213" w:lineRule="auto"/>
        <w:rPr>
          <w:sz w:val="20"/>
          <w:szCs w:val="20"/>
          <w:color w:val="auto"/>
        </w:rPr>
      </w:pPr>
      <w:r>
        <w:rPr>
          <w:rFonts w:ascii="Times New Roman" w:cs="Times New Roman" w:eastAsia="Times New Roman" w:hAnsi="Times New Roman"/>
          <w:sz w:val="22"/>
          <w:szCs w:val="22"/>
          <w:color w:val="auto"/>
        </w:rPr>
        <w:t>mail a timely Election Not to Participate in Settlement in the manner and by the deadline specified above and in the Class Notice will automatically become a Participating Class Member and will be bound by all terms and conditions of the Settlement, including the Released Class Claims by the Class, if the Settlement is approved by the Court, and by the Judgment, regardless of whether he or she has objected to the Settlement. Persons who submit an Election Not to Participate in Settlement shall not be permitted to file objections to the Settlement or appear at the Final Approval Hearing to voice any objections to the Settlement.</w:t>
      </w:r>
    </w:p>
    <w:p>
      <w:pPr>
        <w:spacing w:after="0" w:line="156" w:lineRule="exact"/>
        <w:rPr>
          <w:sz w:val="20"/>
          <w:szCs w:val="20"/>
          <w:color w:val="auto"/>
        </w:rPr>
      </w:pPr>
    </w:p>
    <w:p>
      <w:pPr>
        <w:jc w:val="both"/>
        <w:ind w:left="1480"/>
        <w:spacing w:after="0" w:line="220" w:lineRule="auto"/>
        <w:rPr>
          <w:sz w:val="20"/>
          <w:szCs w:val="20"/>
          <w:color w:val="auto"/>
        </w:rPr>
      </w:pPr>
      <w:r>
        <w:rPr>
          <w:rFonts w:ascii="Times New Roman" w:cs="Times New Roman" w:eastAsia="Times New Roman" w:hAnsi="Times New Roman"/>
          <w:sz w:val="22"/>
          <w:szCs w:val="22"/>
          <w:color w:val="auto"/>
        </w:rPr>
        <w:t>All Participating Class Members who do not submit a valid and timely Election Not to Participate in Settlement will receive a Settlement Share, without the need to file a claim form, and will be bound by all of the terms of the Settlement, including without limitation, the release of the Released Class Claims by the Participating Class Members set forth in this Agreement.</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Plaintiffs waive their right to request exclusion from the Settlement and may not do so.</w:t>
      </w:r>
    </w:p>
    <w:p>
      <w:pPr>
        <w:spacing w:after="0" w:line="175" w:lineRule="exact"/>
        <w:rPr>
          <w:sz w:val="20"/>
          <w:szCs w:val="20"/>
          <w:color w:val="auto"/>
        </w:rPr>
      </w:pPr>
    </w:p>
    <w:p>
      <w:pPr>
        <w:jc w:val="both"/>
        <w:ind w:left="1480" w:hanging="648"/>
        <w:spacing w:after="0" w:line="221" w:lineRule="auto"/>
        <w:tabs>
          <w:tab w:leader="none" w:pos="14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Report. </w:t>
      </w:r>
      <w:r>
        <w:rPr>
          <w:rFonts w:ascii="Times New Roman" w:cs="Times New Roman" w:eastAsia="Times New Roman" w:hAnsi="Times New Roman"/>
          <w:sz w:val="22"/>
          <w:szCs w:val="22"/>
          <w:color w:val="auto"/>
        </w:rPr>
        <w:t>Not later than ten (10) calendar days after the deadline for submission of Elections Not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Participate in Settlement, the Settlement Administration will provide Class Counsel and Defendant’s Counsel with a complete and accurate list of all Participating Class Members and all Non-Participating Class Members.</w:t>
      </w:r>
    </w:p>
    <w:p>
      <w:pPr>
        <w:spacing w:after="0" w:line="148" w:lineRule="exact"/>
        <w:rPr>
          <w:rFonts w:ascii="Times New Roman" w:cs="Times New Roman" w:eastAsia="Times New Roman" w:hAnsi="Times New Roman"/>
          <w:sz w:val="22"/>
          <w:szCs w:val="22"/>
          <w:color w:val="auto"/>
        </w:rPr>
      </w:pPr>
    </w:p>
    <w:p>
      <w:pPr>
        <w:jc w:val="both"/>
        <w:ind w:left="840" w:hanging="656"/>
        <w:spacing w:after="0" w:line="222" w:lineRule="auto"/>
        <w:tabs>
          <w:tab w:leader="none" w:pos="83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Right of Defendant to Reject Settlement. </w:t>
      </w:r>
      <w:r>
        <w:rPr>
          <w:rFonts w:ascii="Times New Roman" w:cs="Times New Roman" w:eastAsia="Times New Roman" w:hAnsi="Times New Roman"/>
          <w:sz w:val="21"/>
          <w:szCs w:val="21"/>
          <w:color w:val="auto"/>
        </w:rPr>
        <w:t>If the number of Class Members who timely submit valid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Elections Not to Participate in Settlement exceeds ten percent (10%) of the Class, Defendant, at its sole discretion, shall have the right but not the obligation to revoke the Settlement. Defendant shall exercise its revocation rights, if at all, within seven (7) days of receipt the list Participating Class Members and all Non-Participating Class Members provided for under Section III(F)(3)(d) of this Agreement. If Defendant exercises its revocation rights, the Parties will have no further obligations under the Settlement, including any obligation by Defendant to pay the Gross Settlement Amount, or any amounts that otherwise would have been owed under this Agreement, except that Settlement Administration Expenses as of the date that Defendant exercises the right to void the Settlement pursuant to this Paragraph will be paid by Defendant.</w:t>
      </w:r>
    </w:p>
    <w:p>
      <w:pPr>
        <w:spacing w:after="0" w:line="149" w:lineRule="exact"/>
        <w:rPr>
          <w:rFonts w:ascii="Times New Roman" w:cs="Times New Roman" w:eastAsia="Times New Roman" w:hAnsi="Times New Roman"/>
          <w:sz w:val="21"/>
          <w:szCs w:val="21"/>
          <w:color w:val="auto"/>
        </w:rPr>
      </w:pPr>
    </w:p>
    <w:p>
      <w:pPr>
        <w:ind w:left="820" w:hanging="636"/>
        <w:spacing w:after="0"/>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Briefing and Final Approval</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480" w:hanging="648"/>
        <w:spacing w:after="0" w:line="231" w:lineRule="auto"/>
        <w:tabs>
          <w:tab w:leader="none" w:pos="1468"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ordered by the Court, Class Counsel will file with the Court their motion for the Class Counsel Fees Payment, Class Counsel Litigation Expenses Payment and Class Representative Service Payments no later than the date Plaintiffs file the Motion for Final Approval, and the application will be scheduled to be heard by the Court at the Final Approval Hearing.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120"/>
          </w:cols>
          <w:pgMar w:left="144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944" w:hanging="648"/>
        <w:spacing w:after="0" w:line="227" w:lineRule="auto"/>
        <w:tabs>
          <w:tab w:leader="none" w:pos="1944"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later than sixteen (16) court days before the Final Approval Hearing, the Plaintiffs will file with the Court a motion for final approval of the Settlement, the PAGA Payment, and payment of the Settlement Administration Expenses. Class Counsel shall submit this Agreement and the motion for final approval to the LWDA at the same time as they are submitted to the Court, as required by PAGA, and shall transmit the Final Order and Judgement to the LWDA, as required by PAGA.</w:t>
      </w:r>
    </w:p>
    <w:p>
      <w:pPr>
        <w:spacing w:after="0" w:line="153" w:lineRule="exact"/>
        <w:rPr>
          <w:rFonts w:ascii="Times New Roman" w:cs="Times New Roman" w:eastAsia="Times New Roman" w:hAnsi="Times New Roman"/>
          <w:sz w:val="21"/>
          <w:szCs w:val="21"/>
          <w:color w:val="auto"/>
        </w:rPr>
      </w:pPr>
    </w:p>
    <w:p>
      <w:pPr>
        <w:jc w:val="both"/>
        <w:ind w:left="1944" w:hanging="648"/>
        <w:spacing w:after="0" w:line="225" w:lineRule="auto"/>
        <w:tabs>
          <w:tab w:leader="none" w:pos="1932"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opposition is filed to the motion for final approval and/or the motion for the Class Counsel Fees Payment, Class Counsel Litigation Expenses Payment, Class Representative Service Payments, and the PAGA Payment, then not later than five (5) court days before the Final Approval Hearing, both Parties may file a reply in support of the motion for final approval, and Plaintiffs and Class Counsel may also file a reply in support of their motion for the Class Representative Service Payment, the Class Counsel Fees Payments, and the Class Counsel Litigation Expenses Payment.</w:t>
      </w:r>
    </w:p>
    <w:p>
      <w:pPr>
        <w:spacing w:after="0" w:line="153" w:lineRule="exact"/>
        <w:rPr>
          <w:rFonts w:ascii="Times New Roman" w:cs="Times New Roman" w:eastAsia="Times New Roman" w:hAnsi="Times New Roman"/>
          <w:sz w:val="21"/>
          <w:szCs w:val="21"/>
          <w:color w:val="auto"/>
        </w:rPr>
      </w:pPr>
    </w:p>
    <w:p>
      <w:pPr>
        <w:jc w:val="both"/>
        <w:ind w:left="1944" w:hanging="648"/>
        <w:spacing w:after="0" w:line="212" w:lineRule="auto"/>
        <w:tabs>
          <w:tab w:leader="none" w:pos="194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Court does not grant final approval of the Settlement or grants final approval conditioned on any material change to the Settlement (including, but not limited to, the scope of release to be granted by Participating Class Members), then the Parties shall work together in good faith to address any concerns raised by the Court and propose a revised Settlement for the Court’s approval. However, an award by the Court of a lesser amount than that sought by Plaintiffs and Class Counsel for the PAGA Payment, Class Representative Service Payments, the Class Counsel Fees Payment, or the Class Counsel Litigation Expenses Payment, will not constitute a material modification to the Settlement within the meaning of this paragraph.</w:t>
      </w:r>
    </w:p>
    <w:p>
      <w:pPr>
        <w:spacing w:after="0" w:line="156" w:lineRule="exact"/>
        <w:rPr>
          <w:rFonts w:ascii="Times New Roman" w:cs="Times New Roman" w:eastAsia="Times New Roman" w:hAnsi="Times New Roman"/>
          <w:sz w:val="22"/>
          <w:szCs w:val="22"/>
          <w:color w:val="auto"/>
        </w:rPr>
      </w:pPr>
    </w:p>
    <w:p>
      <w:pPr>
        <w:jc w:val="both"/>
        <w:ind w:left="1944" w:hanging="648"/>
        <w:spacing w:after="0" w:line="220" w:lineRule="auto"/>
        <w:tabs>
          <w:tab w:leader="none" w:pos="1932"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final approval of the Settlement by the Court at or after the Final Approval Hearing, the Parties will present for the Court’s approval and entry the Judgment substantially in the form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After entry of the Judgment, the Court will have continuing jurisdiction over the Actions and the Settlement solely for purposes of (i) enforcing this Agreement,</w:t>
      </w:r>
    </w:p>
    <w:p>
      <w:pPr>
        <w:spacing w:after="0" w:line="2" w:lineRule="exact"/>
        <w:rPr>
          <w:rFonts w:ascii="Times New Roman" w:cs="Times New Roman" w:eastAsia="Times New Roman" w:hAnsi="Times New Roman"/>
          <w:sz w:val="21"/>
          <w:szCs w:val="21"/>
          <w:color w:val="auto"/>
        </w:rPr>
      </w:pPr>
    </w:p>
    <w:p>
      <w:pPr>
        <w:ind w:left="1944"/>
        <w:spacing w:after="0" w:line="225" w:lineRule="auto"/>
        <w:tabs>
          <w:tab w:leader="none" w:pos="2283"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addressing settlement administration matters, and (iii) addressing such post-Judgment matters as may be appropriate under court rules or applicable law.</w:t>
      </w:r>
    </w:p>
    <w:p>
      <w:pPr>
        <w:spacing w:after="0" w:line="145" w:lineRule="exact"/>
        <w:rPr>
          <w:rFonts w:ascii="Times New Roman" w:cs="Times New Roman" w:eastAsia="Times New Roman" w:hAnsi="Times New Roman"/>
          <w:sz w:val="22"/>
          <w:szCs w:val="22"/>
          <w:color w:val="auto"/>
        </w:rPr>
      </w:pPr>
    </w:p>
    <w:p>
      <w:pPr>
        <w:jc w:val="both"/>
        <w:ind w:left="644" w:hanging="644"/>
        <w:spacing w:after="0" w:line="224" w:lineRule="auto"/>
        <w:tabs>
          <w:tab w:leader="none" w:pos="64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Waiver of Right to Appeal. </w:t>
      </w:r>
      <w:r>
        <w:rPr>
          <w:rFonts w:ascii="Times New Roman" w:cs="Times New Roman" w:eastAsia="Times New Roman" w:hAnsi="Times New Roman"/>
          <w:sz w:val="21"/>
          <w:szCs w:val="21"/>
          <w:color w:val="auto"/>
        </w:rPr>
        <w:t>Provided that the Judgment is consistent with the terms and conditions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Plaintiffs and Participating Class Members who did not timely submit an objection to the Settlement, Defendant, and their respective counsel hereby waive any and all rights to appeal from the Judgment, including all rights to any post-judgment proceeding and appellate proceeding, such as, but not limited to, a motion to vacate judgment, a motion for new trial, and any extraordinary writ. The waiver of appeal does not include any waiver of the right to oppose any appeal, appellate proceedings or post-judgment proceedings. If an appeal is taken from the Judgment, the time for consummation of the Settlement (including making payments under the Settlement)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84"/>
          </w:cols>
          <w:pgMar w:left="976"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suspended until such time as the appeal is finally resolved and the Judgment becomes Final.</w:t>
      </w:r>
    </w:p>
    <w:p>
      <w:pPr>
        <w:spacing w:after="0" w:line="175" w:lineRule="exact"/>
        <w:rPr>
          <w:sz w:val="20"/>
          <w:szCs w:val="20"/>
          <w:color w:val="auto"/>
        </w:rPr>
      </w:pPr>
    </w:p>
    <w:p>
      <w:pPr>
        <w:jc w:val="both"/>
        <w:ind w:left="644" w:hanging="644"/>
        <w:spacing w:after="0" w:line="210" w:lineRule="auto"/>
        <w:tabs>
          <w:tab w:leader="none" w:pos="6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Vacating, Reversal, or Material Modification of Judgment on Appeal or Review. </w:t>
      </w:r>
      <w:r>
        <w:rPr>
          <w:rFonts w:ascii="Times New Roman" w:cs="Times New Roman" w:eastAsia="Times New Roman" w:hAnsi="Times New Roman"/>
          <w:sz w:val="22"/>
          <w:szCs w:val="22"/>
          <w:color w:val="auto"/>
        </w:rPr>
        <w:t>If, after a notice of appeal,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petition for review, or a petition for </w:t>
      </w:r>
      <w:r>
        <w:rPr>
          <w:rFonts w:ascii="Times New Roman" w:cs="Times New Roman" w:eastAsia="Times New Roman" w:hAnsi="Times New Roman"/>
          <w:sz w:val="22"/>
          <w:szCs w:val="22"/>
          <w:i w:val="1"/>
          <w:iCs w:val="1"/>
          <w:color w:val="auto"/>
        </w:rPr>
        <w:t>certiorari</w:t>
      </w:r>
      <w:r>
        <w:rPr>
          <w:rFonts w:ascii="Times New Roman" w:cs="Times New Roman" w:eastAsia="Times New Roman" w:hAnsi="Times New Roman"/>
          <w:sz w:val="22"/>
          <w:szCs w:val="22"/>
          <w:color w:val="auto"/>
        </w:rPr>
        <w:t>, or any other motion, petition, or application, the reviewing Court vacates, reverses, or modifies the Judgment such that there is a material modification to the Settlement (including, but not limited to, the scope of release to be granted by Participating Class Members), and that Court’s decision is not completely reversed and the Judgment is not fully affirmed on review by a higher Court, then the Parties shall work together in good faith to address any concerns raised by the reviewing Court and propose a revised Settlement for the approval of the Court not later than fourteen days after the reviewing Court’s decision vacating, reversing, or materially modifying the Judgment becomes Final. A vacation, reversal, or modification of the Court’s award of the Class Representative Service Payments or the Class Counsel Fees Payment or Class Counsel Litigation Expenses Payment will not constitute a vacation, reversal, or material modification of the Judgment within the meaning of this paragraph, provided that Defendant’s obligation to make payments under this Settlement will remain limited by the Gross Settlement Amount.</w:t>
      </w:r>
    </w:p>
    <w:p>
      <w:pPr>
        <w:spacing w:after="0" w:line="151" w:lineRule="exact"/>
        <w:rPr>
          <w:rFonts w:ascii="Times New Roman" w:cs="Times New Roman" w:eastAsia="Times New Roman" w:hAnsi="Times New Roman"/>
          <w:sz w:val="22"/>
          <w:szCs w:val="22"/>
          <w:color w:val="auto"/>
        </w:rPr>
      </w:pPr>
    </w:p>
    <w:p>
      <w:pPr>
        <w:jc w:val="both"/>
        <w:ind w:left="644" w:hanging="644"/>
        <w:spacing w:after="0" w:line="222" w:lineRule="auto"/>
        <w:tabs>
          <w:tab w:leader="none" w:pos="64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Timing of Settlement Funding and Provision of Settlement Shares and Other Payments. </w:t>
      </w:r>
      <w:r>
        <w:rPr>
          <w:rFonts w:ascii="Times New Roman" w:cs="Times New Roman" w:eastAsia="Times New Roman" w:hAnsi="Times New Roman"/>
          <w:sz w:val="21"/>
          <w:szCs w:val="21"/>
          <w:color w:val="auto"/>
        </w:rPr>
        <w:t>Defendant shall fund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Gross Settlement Amount by depositing the money with the Settlement Administrator. Defendant shall fund the Gross Settlement Amount and the amount necessary to pay Defendant’s share of payroll taxes within fifteen (15) days of the Effective Date. Within fifteen (15) days after Defendant funds the Gross Settlement Amount, the Settlement Administrator will make payment of all Settlement Shares to all Participating Class Members, even if their Class Notice was undeliverable, as well as payment of Settlement Administration Expenses, the Class Counsel Fees Payment, the Class Counsel Litigation Expenses Payment, the Class Representative Service Payments and the PAGA Payment in accordance with this Agreement. Before Settlement Share checks are mailed, the Settlement Administrator shall update address information through the National Change of Address database.</w:t>
      </w:r>
    </w:p>
    <w:p>
      <w:pPr>
        <w:spacing w:after="0" w:line="149" w:lineRule="exact"/>
        <w:rPr>
          <w:rFonts w:ascii="Times New Roman" w:cs="Times New Roman" w:eastAsia="Times New Roman" w:hAnsi="Times New Roman"/>
          <w:sz w:val="21"/>
          <w:szCs w:val="21"/>
          <w:color w:val="auto"/>
        </w:rPr>
      </w:pPr>
    </w:p>
    <w:p>
      <w:pPr>
        <w:jc w:val="both"/>
        <w:ind w:left="644" w:hanging="644"/>
        <w:spacing w:after="0" w:line="220" w:lineRule="auto"/>
        <w:tabs>
          <w:tab w:leader="none" w:pos="64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Uncashed Settlement Share Checks. Uncashed Settlement Share Checks. </w:t>
      </w:r>
      <w:r>
        <w:rPr>
          <w:rFonts w:ascii="Times New Roman" w:cs="Times New Roman" w:eastAsia="Times New Roman" w:hAnsi="Times New Roman"/>
          <w:sz w:val="21"/>
          <w:szCs w:val="21"/>
          <w:color w:val="auto"/>
        </w:rPr>
        <w:t>A Participating Class Member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Aggrieved Employee must cash his or her Settlement Share check within 180 days after it is mailed to him or her. The expiration date of the check must be conspicuously printed on the check. If a check is returned to the Settlement Administrator or not cashed within 120 days after the last mailing, the Settlement Administrator will make all reasonable efforts to re-mail it to the affected individual at his or her correct address by use of available email addresses, phone numbers, social security numbers, credit reports, LinkedIn and Facebook. If a Participating Class Member’s or Aggrieved Employee’s check is not cashed within 120 days after its last mailing to the affected individual, the Settlement Administrator will also send the individual a notice informing him or her that unless the check is cashed in the next 60 days, it will expire and become non-negotiable, and offer to replace the check if it was lost or misplaced but not cashed. If the check remains uncashed by the expiration of the 60 day period after this notice, the funds from such uncashed checks will be paid to the California State Controller’s Unclaimed Property Fund in the name of and for the benefit of the individual who did not cash their check, a and the Participating Class Member or Aggrieved Employee will remain bound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84"/>
          </w:cols>
          <w:pgMar w:left="976"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44"/>
        <w:spacing w:after="0" w:line="215" w:lineRule="auto"/>
        <w:rPr>
          <w:sz w:val="20"/>
          <w:szCs w:val="20"/>
          <w:color w:val="auto"/>
        </w:rPr>
      </w:pPr>
      <w:r>
        <w:rPr>
          <w:rFonts w:ascii="Times New Roman" w:cs="Times New Roman" w:eastAsia="Times New Roman" w:hAnsi="Times New Roman"/>
          <w:sz w:val="22"/>
          <w:szCs w:val="22"/>
          <w:color w:val="auto"/>
        </w:rPr>
        <w:t>Settlement, and shall look only to the State of California for recovery of such property. The Parties stipulate and agree that this provision of uncashed checks is in the best interests of the Class, within the meaning of Code of Civil Procedure section 384, as it avoid forfeiture by any Participating Class Member or Aggrieved Employees. The Parties agree that this disposition results in no "unpaid residue" within the meaning of California Code of Civil Procedure Section 384, as the entire Net Settlement Amount will be paid out to Participating Class Members or Aggrieved Employees, whether or not they all cash their Settlement Share checks.</w:t>
      </w:r>
    </w:p>
    <w:p>
      <w:pPr>
        <w:spacing w:after="0" w:line="148" w:lineRule="exact"/>
        <w:rPr>
          <w:sz w:val="20"/>
          <w:szCs w:val="20"/>
          <w:color w:val="auto"/>
        </w:rPr>
      </w:pPr>
    </w:p>
    <w:p>
      <w:pPr>
        <w:jc w:val="both"/>
        <w:ind w:left="644" w:hanging="644"/>
        <w:spacing w:after="0" w:line="227" w:lineRule="auto"/>
        <w:tabs>
          <w:tab w:leader="none" w:pos="6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Final Report by Settlement Administrator to Court. </w:t>
      </w:r>
      <w:r>
        <w:rPr>
          <w:rFonts w:ascii="Times New Roman" w:cs="Times New Roman" w:eastAsia="Times New Roman" w:hAnsi="Times New Roman"/>
          <w:sz w:val="22"/>
          <w:szCs w:val="22"/>
          <w:color w:val="auto"/>
        </w:rPr>
        <w:t>Within ten days after final disbursement of all funds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Gross Settlement Amount, the Settlement Administrator will provide the Parties with a declaration proving a final report on the disbursements of all funds from the Gross Settlement Amount.</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 of Claims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4" w:hanging="656"/>
        <w:spacing w:after="0" w:line="218" w:lineRule="auto"/>
        <w:tabs>
          <w:tab w:leader="none" w:pos="129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Participating Class Members. </w:t>
      </w:r>
      <w:r>
        <w:rPr>
          <w:rFonts w:ascii="Times New Roman" w:cs="Times New Roman" w:eastAsia="Times New Roman" w:hAnsi="Times New Roman"/>
          <w:sz w:val="22"/>
          <w:szCs w:val="22"/>
          <w:color w:val="auto"/>
        </w:rPr>
        <w:t>As of the Effective Date and upon full finding of the Gross 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by Defendant, Defendant shall receive a release from the Participating Class Members of all Released Class Claims as defined herein, and expressly excluding all other claims, including claims for wrongful termination, unemployment insurance, disability, social security, and workers’ compensation, and claims outside of the Class Period.</w:t>
      </w:r>
    </w:p>
    <w:p>
      <w:pPr>
        <w:spacing w:after="0" w:line="151" w:lineRule="exact"/>
        <w:rPr>
          <w:rFonts w:ascii="Times New Roman" w:cs="Times New Roman" w:eastAsia="Times New Roman" w:hAnsi="Times New Roman"/>
          <w:sz w:val="22"/>
          <w:szCs w:val="22"/>
          <w:color w:val="auto"/>
        </w:rPr>
      </w:pPr>
    </w:p>
    <w:p>
      <w:pPr>
        <w:jc w:val="both"/>
        <w:ind w:left="1304"/>
        <w:spacing w:after="0" w:line="2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“Released Class Claims” are defined as all claims, rights, demands, liabilities, causes of action, and theories of liability of every nature and description, that were alleged against Defendant and/or any of the Released Parties, or which could have been alleged as arising from the facts asserted against them in the Complaints and/or Amended Complaints in the Actions during the Class Period. These Released Class Claims include claims for failure to pay wages for all hours worked, including overtime pay, minimum wages, premium pay, failure to pay for pre- or post-shift work, failure to pay for commute time, failure to pay wage guaranteed or wages at the agreed upon rate and/or failure to calculate wages due at the applicable statutory and/or regular rate of pay or compensation, failure to pay wages semi-monthly at designated times, failure to pay all wages due upon termination, failure to pay waiting time penalties, failure to provide and/or maintain copies of accurate itemized wage statements (or the content or lack of content of any wage statements received), failure to maintain records of hours worked and/or accurate payroll records, and/or for penalties (regardless of the recipient), failure to provide meal periods (or timing or length of any meal breaks provided), failure to provide rest periods (or timing or length of any rest breaks provided), failure to reimburse necessary business expenses, damages, interest, costs or attorneys’ fees, and violations of any local, state, federal law, common law, equity or other theory, whether for economic damages, non-economic damages, liquidated, or punitive damages, restitution, tort, contract, equitable relief, injunctive or declaratory relief, that occurred during the applicable Class Period and alleged or could have been alleged as arising out of the facts asserted in the Complaints and/or Amended Complaints in the Actions, including Released Class Claims under any common laws, contract, Fair Labor Standards Act (“FLSA”),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84"/>
          </w:cols>
          <w:pgMar w:left="976" w:top="1440" w:right="339" w:bottom="1440" w:gutter="0" w:footer="0" w:header="0"/>
        </w:sectPr>
      </w:pPr>
    </w:p>
    <w:bookmarkStart w:id="59" w:name="page60"/>
    <w:bookmarkEnd w:id="59"/>
    <w:p>
      <w:pPr>
        <w:spacing w:after="0" w:line="200" w:lineRule="exact"/>
        <w:rPr>
          <w:sz w:val="20"/>
          <w:szCs w:val="20"/>
          <w:color w:val="auto"/>
        </w:rPr>
      </w:pPr>
    </w:p>
    <w:p>
      <w:pPr>
        <w:spacing w:after="0" w:line="399" w:lineRule="exact"/>
        <w:rPr>
          <w:sz w:val="20"/>
          <w:szCs w:val="20"/>
          <w:color w:val="auto"/>
        </w:rPr>
      </w:pPr>
    </w:p>
    <w:p>
      <w:pPr>
        <w:jc w:val="both"/>
        <w:ind w:left="840"/>
        <w:spacing w:after="0" w:line="214" w:lineRule="auto"/>
        <w:rPr>
          <w:sz w:val="20"/>
          <w:szCs w:val="20"/>
          <w:color w:val="auto"/>
        </w:rPr>
      </w:pPr>
      <w:r>
        <w:rPr>
          <w:rFonts w:ascii="Times New Roman" w:cs="Times New Roman" w:eastAsia="Times New Roman" w:hAnsi="Times New Roman"/>
          <w:sz w:val="22"/>
          <w:szCs w:val="22"/>
          <w:color w:val="auto"/>
        </w:rPr>
        <w:t xml:space="preserve">California Business &amp; Professions Code Sections 17200,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(“UCL”), the UCL predicated on violations of any state and/or federal law, including the FLSA, Cal. Code of Regulations, Title 8, Sections 11000,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Wage Order 4 or any other applicable Wage Order, and the California Labor Code. Notwithstanding the foregoing, the Released Class Claims do not include any individual claim under the Section 16(b) of the FLSA, 29 U.S.C. § 216(b), as to a Participating Class Member who does not opt-in to the Settlement by cashing, depositing or endorsing his or her Settlement share check, to the extent that opting-in is required to release such FLSA claims.</w:t>
      </w:r>
    </w:p>
    <w:p>
      <w:pPr>
        <w:spacing w:after="0" w:line="149" w:lineRule="exact"/>
        <w:rPr>
          <w:sz w:val="20"/>
          <w:szCs w:val="20"/>
          <w:color w:val="auto"/>
        </w:rPr>
      </w:pPr>
    </w:p>
    <w:p>
      <w:pPr>
        <w:jc w:val="both"/>
        <w:ind w:left="840" w:hanging="656"/>
        <w:spacing w:after="0" w:line="223" w:lineRule="auto"/>
        <w:tabs>
          <w:tab w:leader="none" w:pos="83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Aggrieved Employees</w:t>
      </w:r>
      <w:r>
        <w:rPr>
          <w:rFonts w:ascii="Times New Roman" w:cs="Times New Roman" w:eastAsia="Times New Roman" w:hAnsi="Times New Roman"/>
          <w:sz w:val="21"/>
          <w:szCs w:val="21"/>
          <w:color w:val="auto"/>
        </w:rPr>
        <w:t>. As of the Effective Date and upon full funding of the Gross Settlement Amount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Defendant, Defendant shall be entitled to a release from the State of California of all PAGA claims pled or could have been pled based on the factual allegations contained in in the Complaints and/or Amended Complaints filed in the Actions and the written notice(s) sent to the Labor &amp; Workforce Development Agency pursuant to California Labor Code § 2699.3(a)(1) that occurred during the PAGA Period as to the Aggrieved Employees and excluding all PAGA claims outside of the PAGA Period (“Released PAGA Claims”). The release of the Released PAGA Claims shall be effective as to all Aggrieved Employees, regardless of whether an Aggrieved Employee submitted a request for an exclusion from the Class.</w:t>
      </w:r>
    </w:p>
    <w:p>
      <w:pPr>
        <w:spacing w:after="0" w:line="148" w:lineRule="exact"/>
        <w:rPr>
          <w:rFonts w:ascii="Times New Roman" w:cs="Times New Roman" w:eastAsia="Times New Roman" w:hAnsi="Times New Roman"/>
          <w:sz w:val="21"/>
          <w:szCs w:val="21"/>
          <w:color w:val="auto"/>
        </w:rPr>
      </w:pPr>
    </w:p>
    <w:p>
      <w:pPr>
        <w:jc w:val="both"/>
        <w:ind w:left="840" w:hanging="656"/>
        <w:spacing w:after="0" w:line="208" w:lineRule="auto"/>
        <w:tabs>
          <w:tab w:leader="none" w:pos="8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Plaintiffs</w:t>
      </w:r>
      <w:r>
        <w:rPr>
          <w:rFonts w:ascii="Times New Roman" w:cs="Times New Roman" w:eastAsia="Times New Roman" w:hAnsi="Times New Roman"/>
          <w:sz w:val="22"/>
          <w:szCs w:val="22"/>
          <w:color w:val="auto"/>
        </w:rPr>
        <w:t>. Plaintiffs, for themselves, their successors, assigns, agents, executors, heirs and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representatives, spouse and attorneys, and any and all of them, voluntarily and with the advice of counsel, waive and release any and all claims, obligations, demands, actions, rights, causes of action, and liabilities against Defendant and any of the Released Parties, including, without limitation, all claims that were or could have been alleged in the written notice sent to the Labor &amp; Workforce Development Agency pursuant to California Labor Code § 2699.3(a)(1) and the Complaints and/or Amended Complaints in the Actions under any state law, federal law, common law, equity or other theory arising in any way out of Plaintiffs’ employment with MISTRAS or any of the Released Parties. As part of these releases, Plaintiffs further release all unknown claims against Defendant and any of the Released Parties, covered by California Civil Code Section 1542, which states: </w:t>
      </w:r>
      <w:r>
        <w:rPr>
          <w:rFonts w:ascii="Times New Roman" w:cs="Times New Roman" w:eastAsia="Times New Roman" w:hAnsi="Times New Roman"/>
          <w:sz w:val="22"/>
          <w:szCs w:val="22"/>
          <w:b w:val="1"/>
          <w:bCs w:val="1"/>
          <w:color w:val="auto"/>
        </w:rPr>
        <w:t>“A general release does not extend to claims that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 w:cs="Times New Roman" w:eastAsia="Times New Roman" w:hAnsi="Times New Roman"/>
          <w:sz w:val="22"/>
          <w:szCs w:val="22"/>
          <w:color w:val="auto"/>
        </w:rPr>
        <w:t>Plaintiffs understand that they are each a “creditor”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“releasing party” within the meaning of California Civil Code Section 1542, and thereby that they expressly waive and relinquishes any and all rights and benefits under Section 1542 of the Civil Code of the State of California and under any statute, rule, or principle of common law or equity, of any jurisdiction, that is similar to Section 1542.</w:t>
      </w:r>
    </w:p>
    <w:p>
      <w:pPr>
        <w:spacing w:after="0" w:line="160" w:lineRule="exact"/>
        <w:rPr>
          <w:rFonts w:ascii="Times New Roman" w:cs="Times New Roman" w:eastAsia="Times New Roman" w:hAnsi="Times New Roman"/>
          <w:sz w:val="22"/>
          <w:szCs w:val="22"/>
          <w:color w:val="auto"/>
        </w:rPr>
      </w:pPr>
    </w:p>
    <w:p>
      <w:pPr>
        <w:jc w:val="both"/>
        <w:ind w:left="840" w:hanging="656"/>
        <w:spacing w:after="0" w:line="227" w:lineRule="auto"/>
        <w:tabs>
          <w:tab w:leader="none" w:pos="83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Class Counsel</w:t>
      </w:r>
      <w:r>
        <w:rPr>
          <w:rFonts w:ascii="Times New Roman" w:cs="Times New Roman" w:eastAsia="Times New Roman" w:hAnsi="Times New Roman"/>
          <w:sz w:val="22"/>
          <w:szCs w:val="22"/>
          <w:color w:val="auto"/>
        </w:rPr>
        <w:t>. As of the date the Defendant fully funds the Gross Settlement Amount, and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provided by this Agreement and the Judgment, Class Counsel and any counsel associated with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120"/>
          </w:cols>
          <w:pgMar w:left="144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60"/>
        <w:spacing w:after="0" w:line="236" w:lineRule="auto"/>
        <w:rPr>
          <w:sz w:val="20"/>
          <w:szCs w:val="20"/>
          <w:color w:val="auto"/>
        </w:rPr>
      </w:pPr>
      <w:r>
        <w:rPr>
          <w:rFonts w:ascii="Times New Roman" w:cs="Times New Roman" w:eastAsia="Times New Roman" w:hAnsi="Times New Roman"/>
          <w:sz w:val="22"/>
          <w:szCs w:val="22"/>
          <w:color w:val="auto"/>
        </w:rPr>
        <w:t>Counsel waive any claim to costs and attorneys’ fees and expenses against Defendant arising from or related to the Actions.</w:t>
      </w:r>
    </w:p>
    <w:p>
      <w:pPr>
        <w:spacing w:after="0" w:line="146" w:lineRule="exact"/>
        <w:rPr>
          <w:sz w:val="20"/>
          <w:szCs w:val="20"/>
          <w:color w:val="auto"/>
        </w:rPr>
      </w:pPr>
    </w:p>
    <w:p>
      <w:pPr>
        <w:jc w:val="both"/>
        <w:ind w:left="1300" w:hanging="644"/>
        <w:spacing w:after="0" w:line="221" w:lineRule="auto"/>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Effect on Other Benefits. </w:t>
      </w:r>
      <w:r>
        <w:rPr>
          <w:rFonts w:ascii="Times New Roman" w:cs="Times New Roman" w:eastAsia="Times New Roman" w:hAnsi="Times New Roman"/>
          <w:sz w:val="22"/>
          <w:szCs w:val="22"/>
          <w:color w:val="auto"/>
        </w:rPr>
        <w:t>The Settlement Shares will not result in any additional benefit payments (such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401(k) or bonus) beyond those provided by this Agreement to Plaintiffs or Participating Class Members, and Plaintiffs and Participating Class Members will be deemed to have waived all such claims, whether known or unknown by them, as part of their release of claims under this Agreement.</w:t>
      </w:r>
    </w:p>
    <w:p>
      <w:pPr>
        <w:spacing w:after="0" w:line="148" w:lineRule="exact"/>
        <w:rPr>
          <w:rFonts w:ascii="Times New Roman" w:cs="Times New Roman" w:eastAsia="Times New Roman" w:hAnsi="Times New Roman"/>
          <w:sz w:val="22"/>
          <w:szCs w:val="22"/>
          <w:color w:val="auto"/>
        </w:rPr>
      </w:pPr>
    </w:p>
    <w:p>
      <w:pPr>
        <w:jc w:val="both"/>
        <w:ind w:left="1300" w:hanging="644"/>
        <w:spacing w:after="0" w:line="210" w:lineRule="auto"/>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 on Public Statements About Settlement. </w:t>
      </w:r>
      <w:r>
        <w:rPr>
          <w:rFonts w:ascii="Times New Roman" w:cs="Times New Roman" w:eastAsia="Times New Roman" w:hAnsi="Times New Roman"/>
          <w:sz w:val="22"/>
          <w:szCs w:val="22"/>
          <w:color w:val="auto"/>
        </w:rPr>
        <w:t>Neither Class Counsel nor Defendant’s Counsel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publicize the Settlement prior to the Court granting preliminary approval, other than filing documents with the Court. Plaintiffs and Class Counsel and Defendant and Defendant’s Counsel agree that they will not issue any press releases or initiate any contact with the media about the fact, amount, or terms of the Settlement. If Plaintiffs or Class Counsel or Defendant or Defendant’s Counsel receives an inquiry about the Settlement from the media, they may respond only after the Motion for Preliminary Approval has been filed and only by confirming the accurate terms of the Settlement. This provision shall not prohibit Class Counsel from communicating with Class Members after preliminary approval is granted for the sole purpose of administering the Settlement. This provision also does not limit Class Counsel from complying with ethical obligations or from posting court-filed documents on a website for viewing by Class Members after preliminary approval. Nothing in this provision shall prevent Defendant or Plaintiffs from making any required disclosures.</w:t>
      </w:r>
    </w:p>
    <w:p>
      <w:pPr>
        <w:spacing w:after="0" w:line="15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MISCELLANEOUS TERMS</w:t>
      </w:r>
    </w:p>
    <w:p>
      <w:pPr>
        <w:spacing w:after="0" w:line="179"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Admission of Liability or Class Certification for Other Purposes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960" w:hanging="656"/>
        <w:spacing w:after="0" w:line="208" w:lineRule="auto"/>
        <w:tabs>
          <w:tab w:leader="none" w:pos="195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 and the Released Parties deny that they have engaged in any unlawful activity, have failed to comply with the law in any respect, have any liability to anyone under the claims asserted in the Actions, or that but for the Settlement a class should be certified in the Actions. This Agreement is entered into solely for the purpose of compromising highly disputed claims. Nothing in this Agreement is intended or will be construed as an admission of liability or wrongdoing by Defendant or the Released Parties, or an admission by Plaintiffs that any of the claims were non-meritorious or any defense asserted by Defendant was meritorious. This Settlement and the fact that Plaintiffs and Defendant were willing to settle the Actions will have no bearing on, and will not be admissible in connection with, any litigation (other than solely in connection with effectuating the Settlement pursuant to this Agreement). Nothing in this Agreement shall be constructed as an admission by Defendant of any liability or wrongdoing as to Plaintiffs, Class Members, or any other person, and Defendant specifically disclaim any such liability or wrongdoing. Moreover, it is not, and it should not be construed as, any admission of fact or law in this matter or any other matter that a class action is appropriate. The Parties have entered into this settlement with the intention of avoiding further disputes and litigation with the attendant inconvenience, expenses and risks. Nothing in this Agreement shall be construed as an admission by Plaintiffs that Plaintiffs’ claims do not have merit or that class action is inappropriate.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4" w:hanging="656"/>
        <w:spacing w:after="0" w:line="211" w:lineRule="auto"/>
        <w:tabs>
          <w:tab w:leader="none" w:pos="129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Judgment becomes Final, neither the Settlement, this Agreement, any document, statement, proceeding or conduct related to the Settlement or the Agreement, nor any reports or accounting of those matters, will be (i) construed as, offered or admitted in evidence as, received as, or deemed to be evidence for any purpose adverse to Plaintiffs or Defendant or any of the Released Parties, including, but not limited to, evidence of a presumption, concession, indication or admission by any of the Released Parties of any liability, fault, wrongdoing, omission, concession or damage; or (ii) disclosed, referred to or offered in evidence against any of the Released Parties, in any further proceeding in the Actions, or any other civil, criminal or administrative action or proceeding except for purposes of effectuating the Settlement pursuant to this Agreement.</w:t>
      </w:r>
    </w:p>
    <w:p>
      <w:pPr>
        <w:spacing w:after="0" w:line="158" w:lineRule="exact"/>
        <w:rPr>
          <w:rFonts w:ascii="Times New Roman" w:cs="Times New Roman" w:eastAsia="Times New Roman" w:hAnsi="Times New Roman"/>
          <w:sz w:val="22"/>
          <w:szCs w:val="22"/>
          <w:color w:val="auto"/>
        </w:rPr>
      </w:pPr>
    </w:p>
    <w:p>
      <w:pPr>
        <w:jc w:val="both"/>
        <w:ind w:left="1304" w:hanging="656"/>
        <w:spacing w:after="0" w:line="220" w:lineRule="auto"/>
        <w:tabs>
          <w:tab w:leader="none" w:pos="129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and all other provisions of this Agreement notwithstanding, any and all provisions of this Agreement may only be admitted in evidence and otherwise used in any and all proceedings for the limited purpose of enforcing any or all terms of this Agreement or defending any claims released or barred by this Agreement.</w:t>
      </w:r>
    </w:p>
    <w:p>
      <w:pPr>
        <w:spacing w:after="0" w:line="148" w:lineRule="exact"/>
        <w:rPr>
          <w:rFonts w:ascii="Times New Roman" w:cs="Times New Roman" w:eastAsia="Times New Roman" w:hAnsi="Times New Roman"/>
          <w:sz w:val="22"/>
          <w:szCs w:val="22"/>
          <w:color w:val="auto"/>
        </w:rPr>
      </w:pPr>
    </w:p>
    <w:p>
      <w:pPr>
        <w:jc w:val="both"/>
        <w:ind w:left="644" w:hanging="644"/>
        <w:spacing w:after="0" w:line="218" w:lineRule="auto"/>
        <w:tabs>
          <w:tab w:leader="none" w:pos="6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Integrated Agreement. </w:t>
      </w:r>
      <w:r>
        <w:rPr>
          <w:rFonts w:ascii="Times New Roman" w:cs="Times New Roman" w:eastAsia="Times New Roman" w:hAnsi="Times New Roman"/>
          <w:sz w:val="22"/>
          <w:szCs w:val="22"/>
          <w:color w:val="auto"/>
        </w:rPr>
        <w:t>After this Agreement is signed and delivered by all Parties and their counsel,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its exhibits will constitute the entire agreement between the Parties relating to the Settlement, and it will then be deemed that no oral representations, warranties, covenants, or inducements have been made to any Party concerning this Agreement or its exhibits other than the representations, warranties, covenants, and inducements expressly stated in this Agreement and its exhibits.</w:t>
      </w:r>
    </w:p>
    <w:p>
      <w:pPr>
        <w:spacing w:after="0" w:line="147" w:lineRule="exact"/>
        <w:rPr>
          <w:rFonts w:ascii="Times New Roman" w:cs="Times New Roman" w:eastAsia="Times New Roman" w:hAnsi="Times New Roman"/>
          <w:sz w:val="22"/>
          <w:szCs w:val="22"/>
          <w:color w:val="auto"/>
        </w:rPr>
      </w:pPr>
    </w:p>
    <w:p>
      <w:pPr>
        <w:jc w:val="both"/>
        <w:ind w:left="644" w:hanging="644"/>
        <w:spacing w:after="0" w:line="213" w:lineRule="auto"/>
        <w:tabs>
          <w:tab w:leader="none" w:pos="6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Attorney Authorization. </w:t>
      </w:r>
      <w:r>
        <w:rPr>
          <w:rFonts w:ascii="Times New Roman" w:cs="Times New Roman" w:eastAsia="Times New Roman" w:hAnsi="Times New Roman"/>
          <w:sz w:val="22"/>
          <w:szCs w:val="22"/>
          <w:color w:val="auto"/>
        </w:rPr>
        <w:t>Class Counsel and Defendant’s Counsel warrant and represent that they are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Plaintiffs and Defendant, respectively, to take all appropriate action required or permitted to be taken by such Parties pursuant to this Agreement to effectuate its terms, and to execute any other documents required to effectuate the terms of this Agreement including any amendments to this Agreement. The Parties and their counsel will cooperate with each other and use their best efforts to effect the implementation of the Settlement. In the event the Parties are unable to reach agreement on the form or content of any document needed to implement the Agreement, or on any supplemental provisions that may become necessary to effectuate the terms of this Agreement, the Parties will seek the assistance of the mediator for resolution.</w:t>
      </w:r>
    </w:p>
    <w:p>
      <w:pPr>
        <w:spacing w:after="0" w:line="147"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4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Prior Assignments: </w:t>
      </w:r>
      <w:r>
        <w:rPr>
          <w:rFonts w:ascii="Times New Roman" w:cs="Times New Roman" w:eastAsia="Times New Roman" w:hAnsi="Times New Roman"/>
          <w:sz w:val="21"/>
          <w:szCs w:val="21"/>
          <w:color w:val="auto"/>
        </w:rPr>
        <w:t>The Parties represent, covenant and warrant that they have not directly or indirectly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assigned, transferred, encumbered or purported to assign, transfer, or encumber to any person or entity and portion of any liability, claim, demand, action, cause of action, or right released and discharged in this Settlement.</w:t>
      </w:r>
    </w:p>
    <w:p>
      <w:pPr>
        <w:spacing w:after="0" w:line="145" w:lineRule="exact"/>
        <w:rPr>
          <w:rFonts w:ascii="Times New Roman" w:cs="Times New Roman" w:eastAsia="Times New Roman" w:hAnsi="Times New Roman"/>
          <w:sz w:val="21"/>
          <w:szCs w:val="21"/>
          <w:color w:val="auto"/>
        </w:rPr>
      </w:pPr>
    </w:p>
    <w:p>
      <w:pPr>
        <w:jc w:val="both"/>
        <w:ind w:left="644" w:hanging="644"/>
        <w:spacing w:after="0" w:line="227" w:lineRule="auto"/>
        <w:tabs>
          <w:tab w:leader="none" w:pos="6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Tax Advice: </w:t>
      </w:r>
      <w:r>
        <w:rPr>
          <w:rFonts w:ascii="Times New Roman" w:cs="Times New Roman" w:eastAsia="Times New Roman" w:hAnsi="Times New Roman"/>
          <w:sz w:val="22"/>
          <w:szCs w:val="22"/>
          <w:u w:val="single" w:color="auto"/>
          <w:color w:val="auto"/>
        </w:rPr>
        <w:t>Neither Class Counsel nor Defendant’s Counsel intend anything contained in this Settlement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constitute advice regarding taxes or taxability, nor shall anything in this Settlement be relied upon as such within the meaning of United States Treasury Department Circular 230 (31 CFR Part 10, as amended)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584"/>
          </w:cols>
          <w:pgMar w:left="976" w:top="1440" w:right="339" w:bottom="1440" w:gutter="0" w:footer="0" w:header="0"/>
        </w:sectPr>
      </w:pPr>
    </w:p>
    <w:bookmarkStart w:id="62" w:name="page63"/>
    <w:bookmarkEnd w:id="62"/>
    <w:p>
      <w:pPr>
        <w:spacing w:after="0" w:line="200" w:lineRule="exact"/>
        <w:rPr>
          <w:sz w:val="20"/>
          <w:szCs w:val="20"/>
          <w:color w:val="auto"/>
        </w:rPr>
      </w:pPr>
    </w:p>
    <w:p>
      <w:pPr>
        <w:spacing w:after="0" w:line="399" w:lineRule="exact"/>
        <w:rPr>
          <w:sz w:val="20"/>
          <w:szCs w:val="20"/>
          <w:color w:val="auto"/>
        </w:rPr>
      </w:pPr>
    </w:p>
    <w:p>
      <w:pPr>
        <w:jc w:val="both"/>
        <w:ind w:left="644" w:hanging="644"/>
        <w:spacing w:after="0" w:line="227"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r>
        <w:rPr>
          <w:rFonts w:ascii="Times New Roman" w:cs="Times New Roman" w:eastAsia="Times New Roman" w:hAnsi="Times New Roman"/>
          <w:sz w:val="22"/>
          <w:szCs w:val="22"/>
          <w:color w:val="auto"/>
        </w:rPr>
        <w:t>. Except as set forth in section III.J.3 hereinabove this Agreement, and any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parts of it, may be amended, modified, changed, or waived only by an express written instrument signed by all Parties or their representatives, and approved by the Court.</w:t>
      </w:r>
    </w:p>
    <w:p>
      <w:pPr>
        <w:spacing w:after="0" w:line="146" w:lineRule="exact"/>
        <w:rPr>
          <w:rFonts w:ascii="Times New Roman" w:cs="Times New Roman" w:eastAsia="Times New Roman" w:hAnsi="Times New Roman"/>
          <w:sz w:val="22"/>
          <w:szCs w:val="22"/>
          <w:color w:val="auto"/>
        </w:rPr>
      </w:pPr>
    </w:p>
    <w:p>
      <w:pPr>
        <w:ind w:left="644" w:hanging="644"/>
        <w:spacing w:after="0" w:line="238"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Agreement Binding on Successors. </w:t>
      </w:r>
      <w:r>
        <w:rPr>
          <w:rFonts w:ascii="Times New Roman" w:cs="Times New Roman" w:eastAsia="Times New Roman" w:hAnsi="Times New Roman"/>
          <w:sz w:val="22"/>
          <w:szCs w:val="22"/>
          <w:color w:val="auto"/>
        </w:rPr>
        <w:t>This Agreement will be binding upon, and inure to the benefit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successors of each of the Parties.</w:t>
      </w:r>
    </w:p>
    <w:p>
      <w:pPr>
        <w:spacing w:after="0" w:line="146" w:lineRule="exact"/>
        <w:rPr>
          <w:rFonts w:ascii="Times New Roman" w:cs="Times New Roman" w:eastAsia="Times New Roman" w:hAnsi="Times New Roman"/>
          <w:sz w:val="22"/>
          <w:szCs w:val="22"/>
          <w:color w:val="auto"/>
        </w:rPr>
      </w:pPr>
    </w:p>
    <w:p>
      <w:pPr>
        <w:ind w:left="644" w:right="20" w:hanging="644"/>
        <w:spacing w:after="0" w:line="238"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Applicable Law. </w:t>
      </w:r>
      <w:r>
        <w:rPr>
          <w:rFonts w:ascii="Times New Roman" w:cs="Times New Roman" w:eastAsia="Times New Roman" w:hAnsi="Times New Roman"/>
          <w:sz w:val="22"/>
          <w:szCs w:val="22"/>
          <w:color w:val="auto"/>
        </w:rPr>
        <w:t>All terms and conditions of this Agreement and its exhibits will be governed by and interpreted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according to the laws of the State of California.</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27"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Cooperation in Drafting. </w:t>
      </w:r>
      <w:r>
        <w:rPr>
          <w:rFonts w:ascii="Times New Roman" w:cs="Times New Roman" w:eastAsia="Times New Roman" w:hAnsi="Times New Roman"/>
          <w:sz w:val="22"/>
          <w:szCs w:val="22"/>
          <w:color w:val="auto"/>
        </w:rPr>
        <w:t>The Parties have cooperated in the drafting and preparation of this Agreement.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not be construed against any Party on the basis that the Party was the drafter or participated in the drafting.</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27"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Fair Settlement. </w:t>
      </w:r>
      <w:r>
        <w:rPr>
          <w:rFonts w:ascii="Times New Roman" w:cs="Times New Roman" w:eastAsia="Times New Roman" w:hAnsi="Times New Roman"/>
          <w:sz w:val="22"/>
          <w:szCs w:val="22"/>
          <w:color w:val="auto"/>
        </w:rPr>
        <w:t>The Parties and their respective counsel believe and warrant that this Agreement reflects a fair,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and adequate settlement of the Actions and have arrived at this Agreement through arms-length negotiations, taking into account all relevant factors, current and potential.</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18"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Nullification. </w:t>
      </w:r>
      <w:r>
        <w:rPr>
          <w:rFonts w:ascii="Times New Roman" w:cs="Times New Roman" w:eastAsia="Times New Roman" w:hAnsi="Times New Roman"/>
          <w:sz w:val="22"/>
          <w:szCs w:val="22"/>
          <w:color w:val="auto"/>
        </w:rPr>
        <w:t>If the Court for any reason that cannot be cured does not finally approve this Settlement,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considered null and void and the Parties to this Agreement shall stand in the same position, without prejudice, as if the Agreement had been neither entered into nor filed with the Court. Invalidation of any material portion of this Agreement shall invalidate this Agreement in its entirety unless the Parties agree in writing that the remaining provisions shall remain in full force and effect.</w:t>
      </w:r>
    </w:p>
    <w:p>
      <w:pPr>
        <w:spacing w:after="0" w:line="147" w:lineRule="exact"/>
        <w:rPr>
          <w:rFonts w:ascii="Times New Roman" w:cs="Times New Roman" w:eastAsia="Times New Roman" w:hAnsi="Times New Roman"/>
          <w:sz w:val="22"/>
          <w:szCs w:val="22"/>
          <w:color w:val="auto"/>
        </w:rPr>
      </w:pPr>
    </w:p>
    <w:p>
      <w:pPr>
        <w:jc w:val="both"/>
        <w:ind w:left="644" w:hanging="644"/>
        <w:spacing w:after="0" w:line="216"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Use and Return of Documents and Data. </w:t>
      </w:r>
      <w:r>
        <w:rPr>
          <w:rFonts w:ascii="Times New Roman" w:cs="Times New Roman" w:eastAsia="Times New Roman" w:hAnsi="Times New Roman"/>
          <w:sz w:val="22"/>
          <w:szCs w:val="22"/>
          <w:color w:val="auto"/>
        </w:rPr>
        <w:t>All originals, copies, and summaries of documents and data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Class Counsel by Defendant in connection with the mediation or other settlement negotiations in this matter may be used only with respect to this Settlement, and no other purpose, and may not be used in any way that violates any existing contractual agreement, statute, or rule. Within thirty days after the Gross Settlement Amount is fully funded by Defendant, Class Counsel will return or destroy and confirm in writing to Defendant the destruction of all such documents and data.</w:t>
      </w:r>
    </w:p>
    <w:p>
      <w:pPr>
        <w:spacing w:after="0" w:line="145" w:lineRule="exact"/>
        <w:rPr>
          <w:rFonts w:ascii="Times New Roman" w:cs="Times New Roman" w:eastAsia="Times New Roman" w:hAnsi="Times New Roman"/>
          <w:sz w:val="22"/>
          <w:szCs w:val="22"/>
          <w:color w:val="auto"/>
        </w:rPr>
      </w:pPr>
    </w:p>
    <w:p>
      <w:pPr>
        <w:ind w:left="644" w:hanging="644"/>
        <w:spacing w:after="0" w:line="238" w:lineRule="auto"/>
        <w:tabs>
          <w:tab w:leader="none" w:pos="6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Headings. </w:t>
      </w:r>
      <w:r>
        <w:rPr>
          <w:rFonts w:ascii="Times New Roman" w:cs="Times New Roman" w:eastAsia="Times New Roman" w:hAnsi="Times New Roman"/>
          <w:sz w:val="22"/>
          <w:szCs w:val="22"/>
          <w:color w:val="auto"/>
        </w:rPr>
        <w:t>The descriptive heading of any section or paragraph of this Agreement is inserted for convenience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only and does not constitute a part of this Agreement.</w:t>
      </w:r>
    </w:p>
    <w:p>
      <w:pPr>
        <w:spacing w:after="0" w:line="146" w:lineRule="exact"/>
        <w:rPr>
          <w:rFonts w:ascii="Times New Roman" w:cs="Times New Roman" w:eastAsia="Times New Roman" w:hAnsi="Times New Roman"/>
          <w:sz w:val="22"/>
          <w:szCs w:val="22"/>
          <w:color w:val="auto"/>
        </w:rPr>
      </w:pPr>
    </w:p>
    <w:p>
      <w:pPr>
        <w:ind w:left="644" w:hanging="644"/>
        <w:spacing w:after="0" w:line="259" w:lineRule="auto"/>
        <w:tabs>
          <w:tab w:leader="none" w:pos="6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Notice. </w:t>
      </w:r>
      <w:r>
        <w:rPr>
          <w:rFonts w:ascii="Times New Roman" w:cs="Times New Roman" w:eastAsia="Times New Roman" w:hAnsi="Times New Roman"/>
          <w:sz w:val="21"/>
          <w:szCs w:val="21"/>
          <w:color w:val="auto"/>
        </w:rPr>
        <w:t>All notices, demands or other communications given under this Agreement will be in writing and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have been duly given as of the third business day after mailing by United States mail, addressed as follows:</w:t>
      </w:r>
    </w:p>
    <w:p>
      <w:pPr>
        <w:spacing w:after="0" w:line="1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i w:val="1"/>
          <w:iCs w:val="1"/>
          <w:color w:val="auto"/>
        </w:rPr>
        <w:t>To Plaintiffs and the Class:</w:t>
      </w:r>
    </w:p>
    <w:p>
      <w:pPr>
        <w:spacing w:after="0" w:line="17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Norman B. Blumenthal</w:t>
      </w:r>
    </w:p>
    <w:p>
      <w:pPr>
        <w:ind w:left="1304"/>
        <w:spacing w:after="0" w:line="204" w:lineRule="auto"/>
        <w:rPr>
          <w:sz w:val="20"/>
          <w:szCs w:val="20"/>
          <w:color w:val="auto"/>
        </w:rPr>
      </w:pPr>
      <w:r>
        <w:rPr>
          <w:rFonts w:ascii="Times New Roman" w:cs="Times New Roman" w:eastAsia="Times New Roman" w:hAnsi="Times New Roman"/>
          <w:sz w:val="22"/>
          <w:szCs w:val="22"/>
          <w:color w:val="auto"/>
        </w:rPr>
        <w:t>Kyle R. Nordrehaug</w:t>
      </w:r>
    </w:p>
    <w:p>
      <w:pPr>
        <w:ind w:left="1304"/>
        <w:spacing w:after="0" w:line="205" w:lineRule="auto"/>
        <w:rPr>
          <w:sz w:val="20"/>
          <w:szCs w:val="20"/>
          <w:color w:val="auto"/>
        </w:rPr>
      </w:pPr>
      <w:r>
        <w:rPr>
          <w:rFonts w:ascii="Times New Roman" w:cs="Times New Roman" w:eastAsia="Times New Roman" w:hAnsi="Times New Roman"/>
          <w:sz w:val="22"/>
          <w:szCs w:val="22"/>
          <w:color w:val="auto"/>
        </w:rPr>
        <w:t>Blumenthal Nordrehaug Bhowmik De Blouw LLP</w:t>
      </w:r>
    </w:p>
    <w:p>
      <w:pPr>
        <w:ind w:left="1304"/>
        <w:spacing w:after="0" w:line="205" w:lineRule="auto"/>
        <w:rPr>
          <w:sz w:val="20"/>
          <w:szCs w:val="20"/>
          <w:color w:val="auto"/>
        </w:rPr>
      </w:pPr>
      <w:r>
        <w:rPr>
          <w:rFonts w:ascii="Times New Roman" w:cs="Times New Roman" w:eastAsia="Times New Roman" w:hAnsi="Times New Roman"/>
          <w:sz w:val="22"/>
          <w:szCs w:val="22"/>
          <w:color w:val="auto"/>
        </w:rPr>
        <w:t>2255 Calle Clara</w:t>
      </w:r>
    </w:p>
    <w:p>
      <w:pPr>
        <w:ind w:left="1304"/>
        <w:spacing w:after="0" w:line="205" w:lineRule="auto"/>
        <w:rPr>
          <w:sz w:val="20"/>
          <w:szCs w:val="20"/>
          <w:color w:val="auto"/>
        </w:rPr>
      </w:pPr>
      <w:r>
        <w:rPr>
          <w:rFonts w:ascii="Times New Roman" w:cs="Times New Roman" w:eastAsia="Times New Roman" w:hAnsi="Times New Roman"/>
          <w:sz w:val="22"/>
          <w:szCs w:val="22"/>
          <w:color w:val="auto"/>
        </w:rPr>
        <w:t>La Jolla, CA 92037</w:t>
      </w:r>
    </w:p>
    <w:p>
      <w:pPr>
        <w:spacing w:after="0" w:line="1"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Tel.: (858) 551-1223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584"/>
          </w:cols>
          <w:pgMar w:left="976" w:top="1440" w:right="339" w:bottom="1440" w:gutter="0" w:footer="0" w:header="0"/>
        </w:sectPr>
      </w:pPr>
    </w:p>
    <w:bookmarkStart w:id="63" w:name="page64"/>
    <w:bookmarkEnd w:id="63"/>
    <w:p>
      <w:pPr>
        <w:spacing w:after="0" w:line="200" w:lineRule="exact"/>
        <w:rPr>
          <w:sz w:val="20"/>
          <w:szCs w:val="20"/>
          <w:color w:val="auto"/>
        </w:rPr>
      </w:pPr>
    </w:p>
    <w:p>
      <w:pPr>
        <w:spacing w:after="0" w:line="3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Fax: (858) 551-1232</w:t>
      </w:r>
    </w:p>
    <w:p>
      <w:pPr>
        <w:jc w:val="right"/>
        <w:ind w:right="6600"/>
        <w:spacing w:after="0" w:line="204"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norm@bamlawca.com</w:t>
      </w:r>
    </w:p>
    <w:p>
      <w:pPr>
        <w:spacing w:after="0" w:line="1"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u w:val="single" w:color="auto"/>
          <w:color w:val="0000FF"/>
        </w:rPr>
        <w:t>kyle@bamlawca.com</w:t>
      </w:r>
    </w:p>
    <w:p>
      <w:pPr>
        <w:spacing w:after="0" w:line="17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To Defendant:</w:t>
      </w:r>
    </w:p>
    <w:p>
      <w:pPr>
        <w:spacing w:after="0" w:line="19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Christina T. Tellado</w:t>
      </w:r>
    </w:p>
    <w:p>
      <w:pPr>
        <w:ind w:left="1960"/>
        <w:spacing w:after="0" w:line="204" w:lineRule="auto"/>
        <w:rPr>
          <w:sz w:val="20"/>
          <w:szCs w:val="20"/>
          <w:color w:val="auto"/>
        </w:rPr>
      </w:pPr>
      <w:r>
        <w:rPr>
          <w:rFonts w:ascii="Times New Roman" w:cs="Times New Roman" w:eastAsia="Times New Roman" w:hAnsi="Times New Roman"/>
          <w:sz w:val="22"/>
          <w:szCs w:val="22"/>
          <w:color w:val="auto"/>
        </w:rPr>
        <w:t>Samuel J. Stone</w:t>
      </w:r>
    </w:p>
    <w:p>
      <w:pPr>
        <w:ind w:left="1960"/>
        <w:spacing w:after="0" w:line="192" w:lineRule="auto"/>
        <w:rPr>
          <w:sz w:val="20"/>
          <w:szCs w:val="20"/>
          <w:color w:val="auto"/>
        </w:rPr>
      </w:pPr>
      <w:r>
        <w:rPr>
          <w:rFonts w:ascii="Times New Roman" w:cs="Times New Roman" w:eastAsia="Times New Roman" w:hAnsi="Times New Roman"/>
          <w:sz w:val="22"/>
          <w:szCs w:val="22"/>
          <w:color w:val="auto"/>
        </w:rPr>
        <w:t>Holland &amp; Knight LLP</w:t>
      </w:r>
    </w:p>
    <w:p>
      <w:pPr>
        <w:ind w:left="1960"/>
        <w:spacing w:after="0" w:line="185" w:lineRule="auto"/>
        <w:rPr>
          <w:sz w:val="20"/>
          <w:szCs w:val="20"/>
          <w:color w:val="auto"/>
        </w:rPr>
      </w:pPr>
      <w:r>
        <w:rPr>
          <w:rFonts w:ascii="Times New Roman" w:cs="Times New Roman" w:eastAsia="Times New Roman" w:hAnsi="Times New Roman"/>
          <w:sz w:val="20"/>
          <w:szCs w:val="20"/>
          <w:color w:val="auto"/>
        </w:rPr>
        <w:t>400 South Hope Street,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1960"/>
        <w:spacing w:after="0" w:line="205" w:lineRule="auto"/>
        <w:rPr>
          <w:sz w:val="20"/>
          <w:szCs w:val="20"/>
          <w:color w:val="auto"/>
        </w:rPr>
      </w:pPr>
      <w:r>
        <w:rPr>
          <w:rFonts w:ascii="Times New Roman" w:cs="Times New Roman" w:eastAsia="Times New Roman" w:hAnsi="Times New Roman"/>
          <w:sz w:val="22"/>
          <w:szCs w:val="22"/>
          <w:color w:val="auto"/>
        </w:rPr>
        <w:t>Los Angeles, CA 90071</w:t>
      </w:r>
    </w:p>
    <w:p>
      <w:pPr>
        <w:ind w:left="1960"/>
        <w:spacing w:after="0" w:line="204" w:lineRule="auto"/>
        <w:rPr>
          <w:sz w:val="20"/>
          <w:szCs w:val="20"/>
          <w:color w:val="auto"/>
        </w:rPr>
      </w:pPr>
      <w:r>
        <w:rPr>
          <w:rFonts w:ascii="Times New Roman" w:cs="Times New Roman" w:eastAsia="Times New Roman" w:hAnsi="Times New Roman"/>
          <w:sz w:val="22"/>
          <w:szCs w:val="22"/>
          <w:color w:val="auto"/>
        </w:rPr>
        <w:t>Tel.: (213) 896-2400</w:t>
      </w:r>
    </w:p>
    <w:p>
      <w:pPr>
        <w:ind w:left="1960"/>
        <w:spacing w:after="0" w:line="205" w:lineRule="auto"/>
        <w:rPr>
          <w:sz w:val="20"/>
          <w:szCs w:val="20"/>
          <w:color w:val="auto"/>
        </w:rPr>
      </w:pPr>
      <w:r>
        <w:rPr>
          <w:rFonts w:ascii="Times New Roman" w:cs="Times New Roman" w:eastAsia="Times New Roman" w:hAnsi="Times New Roman"/>
          <w:sz w:val="22"/>
          <w:szCs w:val="22"/>
          <w:color w:val="auto"/>
        </w:rPr>
        <w:t>Fax: (213) 896-2450</w:t>
      </w:r>
    </w:p>
    <w:p>
      <w:pPr>
        <w:ind w:left="1960"/>
        <w:spacing w:after="0" w:line="215" w:lineRule="auto"/>
        <w:tabs>
          <w:tab w:leader="none" w:pos="27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christina.tellado@hklaw.com</w:t>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sam.stone@hklaw.com</w:t>
      </w:r>
    </w:p>
    <w:p>
      <w:pPr>
        <w:spacing w:after="0" w:line="178" w:lineRule="exact"/>
        <w:rPr>
          <w:sz w:val="20"/>
          <w:szCs w:val="20"/>
          <w:color w:val="auto"/>
        </w:rPr>
      </w:pPr>
    </w:p>
    <w:p>
      <w:pPr>
        <w:jc w:val="both"/>
        <w:ind w:left="1300" w:hanging="644"/>
        <w:spacing w:after="0" w:line="218" w:lineRule="auto"/>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Execution in Counterparts. </w:t>
      </w:r>
      <w:r>
        <w:rPr>
          <w:rFonts w:ascii="Times New Roman" w:cs="Times New Roman" w:eastAsia="Times New Roman" w:hAnsi="Times New Roman"/>
          <w:sz w:val="22"/>
          <w:szCs w:val="22"/>
          <w:color w:val="auto"/>
        </w:rPr>
        <w:t>This Agreement may be executed in one or more counterparts by facsimile,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electronically or email which for purposes of this Agreement shall be accepted as an original. All executed counterparts and each of them will be deemed to be one and the same instrument provided that counsel for the Parties will exchange between themselves signed counterparts. Any executed counterpart will be admissible in evidence to prove the existence and contents of this Agreement.</w:t>
      </w:r>
    </w:p>
    <w:p>
      <w:pPr>
        <w:spacing w:after="0" w:line="147" w:lineRule="exact"/>
        <w:rPr>
          <w:rFonts w:ascii="Times New Roman" w:cs="Times New Roman" w:eastAsia="Times New Roman" w:hAnsi="Times New Roman"/>
          <w:sz w:val="22"/>
          <w:szCs w:val="22"/>
          <w:color w:val="auto"/>
        </w:rPr>
      </w:pPr>
    </w:p>
    <w:p>
      <w:pPr>
        <w:jc w:val="both"/>
        <w:ind w:left="1300" w:hanging="644"/>
        <w:spacing w:after="0" w:line="228" w:lineRule="auto"/>
        <w:tabs>
          <w:tab w:leader="none" w:pos="130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Stay of Litigation. </w:t>
      </w:r>
      <w:r>
        <w:rPr>
          <w:rFonts w:ascii="Times New Roman" w:cs="Times New Roman" w:eastAsia="Times New Roman" w:hAnsi="Times New Roman"/>
          <w:sz w:val="21"/>
          <w:szCs w:val="21"/>
          <w:color w:val="auto"/>
        </w:rPr>
        <w:t>The Parties agree that upon the execution of this Agreement the litigation shall be stayed,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to effectuate the terms of this Agreement. The Parties further agree that upon the signing of this Agreement that pursuant to CCP section 583.330 to extend the date to bring a case to trial under CCP section 583.310 for the entire period of this settlement process from the mediation with the Jeffrey Krivis on February 16, 2021 until the earlier of the Effective Date or the date this Agreement shall not longer be of any force or effect.</w:t>
      </w:r>
    </w:p>
    <w:p>
      <w:pPr>
        <w:spacing w:after="0" w:line="148" w:lineRule="exact"/>
        <w:rPr>
          <w:rFonts w:ascii="Times New Roman" w:cs="Times New Roman" w:eastAsia="Times New Roman" w:hAnsi="Times New Roman"/>
          <w:sz w:val="21"/>
          <w:szCs w:val="21"/>
          <w:color w:val="auto"/>
        </w:rPr>
      </w:pPr>
    </w:p>
    <w:p>
      <w:pPr>
        <w:jc w:val="both"/>
        <w:ind w:left="1300" w:hanging="644"/>
        <w:spacing w:after="0" w:line="227" w:lineRule="auto"/>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Continuing Jurisdiction. </w:t>
      </w:r>
      <w:r>
        <w:rPr>
          <w:rFonts w:ascii="Times New Roman" w:cs="Times New Roman" w:eastAsia="Times New Roman" w:hAnsi="Times New Roman"/>
          <w:sz w:val="22"/>
          <w:szCs w:val="22"/>
          <w:color w:val="auto"/>
        </w:rPr>
        <w:t>The Court shall retain continuing jurisdiction over the Actions under CCP section 664.6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ensure the continuing implementation of this Agreement and enforcement of the Settlement until performance in full of the terms of this Settlement.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5"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EXECUTION BY PARTIES AND COUNSEL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and their counsel hereby execute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color w:val="auto"/>
        </w:rPr>
        <w:t>Dated: __________</w:t>
      </w:r>
      <w:r>
        <w:rPr>
          <w:sz w:val="20"/>
          <w:szCs w:val="20"/>
          <w:color w:val="auto"/>
        </w:rPr>
        <w:tab/>
      </w:r>
      <w:r>
        <w:rPr>
          <w:rFonts w:ascii="Times New Roman" w:cs="Times New Roman" w:eastAsia="Times New Roman" w:hAnsi="Times New Roman"/>
          <w:sz w:val="21"/>
          <w:szCs w:val="21"/>
          <w:color w:val="auto"/>
        </w:rPr>
        <w:t>__________________________________</w:t>
      </w:r>
    </w:p>
    <w:p>
      <w:pPr>
        <w:ind w:left="880"/>
        <w:spacing w:after="0"/>
        <w:rPr>
          <w:sz w:val="20"/>
          <w:szCs w:val="20"/>
          <w:color w:val="auto"/>
        </w:rPr>
      </w:pPr>
      <w:r>
        <w:rPr>
          <w:rFonts w:ascii="Times New Roman" w:cs="Times New Roman" w:eastAsia="Times New Roman" w:hAnsi="Times New Roman"/>
          <w:sz w:val="22"/>
          <w:szCs w:val="22"/>
          <w:color w:val="auto"/>
        </w:rPr>
        <w:t>Plaintiff Brenda Price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color w:val="auto"/>
        </w:rPr>
        <w:t>Dated: __________</w:t>
      </w:r>
      <w:r>
        <w:rPr>
          <w:sz w:val="20"/>
          <w:szCs w:val="20"/>
          <w:color w:val="auto"/>
        </w:rPr>
        <w:tab/>
      </w:r>
      <w:r>
        <w:rPr>
          <w:rFonts w:ascii="Times New Roman" w:cs="Times New Roman" w:eastAsia="Times New Roman" w:hAnsi="Times New Roman"/>
          <w:sz w:val="21"/>
          <w:szCs w:val="21"/>
          <w:color w:val="auto"/>
        </w:rPr>
        <w:t>__________________________________</w:t>
      </w:r>
    </w:p>
    <w:p>
      <w:pPr>
        <w:ind w:left="880"/>
        <w:spacing w:after="0"/>
        <w:rPr>
          <w:sz w:val="20"/>
          <w:szCs w:val="20"/>
          <w:color w:val="auto"/>
        </w:rPr>
      </w:pPr>
      <w:r>
        <w:rPr>
          <w:rFonts w:ascii="Times New Roman" w:cs="Times New Roman" w:eastAsia="Times New Roman" w:hAnsi="Times New Roman"/>
          <w:sz w:val="22"/>
          <w:szCs w:val="22"/>
          <w:color w:val="auto"/>
        </w:rPr>
        <w:t>Plaintiff Justin Price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ind w:left="460"/>
        <w:spacing w:after="0" w:line="214" w:lineRule="auto"/>
        <w:rPr>
          <w:sz w:val="20"/>
          <w:szCs w:val="20"/>
          <w:color w:val="auto"/>
        </w:rPr>
      </w:pPr>
      <w:r>
        <w:rPr>
          <w:rFonts w:ascii="Times New Roman" w:cs="Times New Roman" w:eastAsia="Times New Roman" w:hAnsi="Times New Roman"/>
          <w:sz w:val="21"/>
          <w:szCs w:val="21"/>
          <w:color w:val="auto"/>
        </w:rPr>
        <w:t>Michael Keefe, Executive Vice President, General Counsel</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For Defendant Mistras Group, Inc.</w:t>
      </w:r>
    </w:p>
    <w:p>
      <w:pPr>
        <w:spacing w:after="0" w:line="200" w:lineRule="exact"/>
        <w:rPr>
          <w:sz w:val="20"/>
          <w:szCs w:val="20"/>
          <w:color w:val="auto"/>
        </w:rPr>
      </w:pPr>
    </w:p>
    <w:p>
      <w:pPr>
        <w:sectPr>
          <w:pgSz w:w="11900" w:h="16838" w:orient="portrait"/>
          <w:cols w:equalWidth="0" w:num="2">
            <w:col w:w="1720" w:space="420"/>
            <w:col w:w="79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139"/>
          </w:cols>
          <w:pgMar w:left="320" w:top="1440" w:right="1440" w:bottom="1440" w:gutter="0" w:footer="0" w:header="0"/>
          <w:type w:val="continuous"/>
        </w:sectPr>
      </w:pPr>
    </w:p>
    <w:bookmarkStart w:id="65" w:name="page66"/>
    <w:bookmarkEnd w:id="65"/>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APPROVED AS TO FORM AND CONTENT: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ind w:left="460"/>
        <w:spacing w:after="0" w:line="204" w:lineRule="auto"/>
        <w:rPr>
          <w:sz w:val="20"/>
          <w:szCs w:val="20"/>
          <w:color w:val="auto"/>
        </w:rPr>
      </w:pPr>
      <w:r>
        <w:rPr>
          <w:rFonts w:ascii="Times New Roman" w:cs="Times New Roman" w:eastAsia="Times New Roman" w:hAnsi="Times New Roman"/>
          <w:sz w:val="22"/>
          <w:szCs w:val="22"/>
          <w:color w:val="auto"/>
        </w:rPr>
        <w:t>Kyle Nordrehaug</w:t>
      </w:r>
    </w:p>
    <w:p>
      <w:pPr>
        <w:ind w:left="460"/>
        <w:spacing w:after="0" w:line="215" w:lineRule="auto"/>
        <w:rPr>
          <w:sz w:val="20"/>
          <w:szCs w:val="20"/>
          <w:color w:val="auto"/>
        </w:rPr>
      </w:pPr>
      <w:r>
        <w:rPr>
          <w:rFonts w:ascii="Times New Roman" w:cs="Times New Roman" w:eastAsia="Times New Roman" w:hAnsi="Times New Roman"/>
          <w:sz w:val="21"/>
          <w:szCs w:val="21"/>
          <w:color w:val="auto"/>
        </w:rPr>
        <w:t>Blumenthal Nordrehaug Bhowmik De Blouw LLP</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Attorney for Plaintiff</w:t>
      </w:r>
    </w:p>
    <w:p>
      <w:pPr>
        <w:spacing w:after="0" w:line="200" w:lineRule="exact"/>
        <w:rPr>
          <w:sz w:val="20"/>
          <w:szCs w:val="20"/>
          <w:color w:val="auto"/>
        </w:rPr>
      </w:pPr>
    </w:p>
    <w:p>
      <w:pPr>
        <w:sectPr>
          <w:pgSz w:w="11900" w:h="16838" w:orient="portrait"/>
          <w:cols w:equalWidth="0" w:num="2">
            <w:col w:w="1720" w:space="420"/>
            <w:col w:w="7999"/>
          </w:cols>
          <w:pgMar w:left="320" w:top="1440"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w:t>
      </w:r>
    </w:p>
    <w:p>
      <w:pPr>
        <w:ind w:left="460"/>
        <w:spacing w:after="0" w:line="204" w:lineRule="auto"/>
        <w:rPr>
          <w:sz w:val="20"/>
          <w:szCs w:val="20"/>
          <w:color w:val="auto"/>
        </w:rPr>
      </w:pPr>
      <w:r>
        <w:rPr>
          <w:rFonts w:ascii="Times New Roman" w:cs="Times New Roman" w:eastAsia="Times New Roman" w:hAnsi="Times New Roman"/>
          <w:sz w:val="22"/>
          <w:szCs w:val="22"/>
          <w:color w:val="auto"/>
        </w:rPr>
        <w:t>Christina T. Tellado</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Holland &amp; Knight LLP</w:t>
      </w:r>
    </w:p>
    <w:p>
      <w:pPr>
        <w:spacing w:after="0" w:line="5" w:lineRule="exact"/>
        <w:rPr>
          <w:sz w:val="20"/>
          <w:szCs w:val="20"/>
          <w:color w:val="auto"/>
        </w:rPr>
      </w:pPr>
    </w:p>
    <w:p>
      <w:pPr>
        <w:sectPr>
          <w:pgSz w:w="11900" w:h="16838" w:orient="portrait"/>
          <w:cols w:equalWidth="0" w:num="2">
            <w:col w:w="1720" w:space="420"/>
            <w:col w:w="7999"/>
          </w:cols>
          <w:pgMar w:left="320" w:top="1440" w:right="1440"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22"/>
          <w:szCs w:val="22"/>
          <w:color w:val="auto"/>
        </w:rPr>
        <w:t>Attorney for Defendant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139"/>
          </w:cols>
          <w:pgMar w:left="320" w:top="1440" w:right="1440" w:bottom="144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[NOTICE OF PROPOSED SETTLEMENT OF CLASS ACTION AND HEARING DATE FOR FINAL COURT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060"/>
          </w:cols>
          <w:pgMar w:left="420" w:top="1440" w:right="41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[ORDER GRANTING PRELIMINARY APPROVAL OF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[FINAL APPROVAL ORDER AND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019"/>
          </w:cols>
          <w:pgMar w:left="1440" w:top="1440"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To</w:t>
      </w:r>
    </w:p>
    <w:p>
      <w:pPr>
        <w:ind w:left="4860"/>
        <w:spacing w:after="0" w:line="203" w:lineRule="auto"/>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2016 Long-Term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Mistras Group, Inc. (the “Company”) maintains the Mistras Group, Inc. 2016 Long-Term Incentive Plan (the “Plan”).</w:t>
      </w:r>
    </w:p>
    <w:p>
      <w:pPr>
        <w:spacing w:after="0" w:line="21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was originally effective as of October 18, 2016, the date on which it was approve by a majority of the shareholders voting at the Company’s 2016 annual shareholders meeting.</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was amended by Amendment No.1 which was approved by the shareholders of the Company at the 2020 annual shareholders meeting. Amendment No. 1 increased the number of shares of common stock, par value $.01 per share, of the Company (“Stock”) authorized to be issued under the Plan from 1,700,000 shares to 3,700,000 shares.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adopted Amendment No. 2 to amend section 3.4 to modify the minimum vesting conditions.</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determined that it is in the best interest of the Company and its shareholders to amend the Plan to increase the number of shares of Stock that may be issued pursuant to the Plan by 1,200,000 shares, so that the total shares that may be issued under the Plan is 4,900,000.</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shareholders of the Company have approved the foregoing amendment.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1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4.1 of the Plan shall be deleted in its entirety and replaced with the following:</w:t>
      </w: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“Shares Is</w:t>
      </w:r>
      <w:r>
        <w:rPr>
          <w:rFonts w:ascii="Times New Roman" w:cs="Times New Roman" w:eastAsia="Times New Roman" w:hAnsi="Times New Roman"/>
          <w:sz w:val="18"/>
          <w:szCs w:val="18"/>
          <w:u w:val="single" w:color="auto"/>
          <w:color w:val="auto"/>
        </w:rPr>
        <w:t>suable Under the Plan</w:t>
      </w:r>
      <w:r>
        <w:rPr>
          <w:rFonts w:ascii="Times New Roman" w:cs="Times New Roman" w:eastAsia="Times New Roman" w:hAnsi="Times New Roman"/>
          <w:sz w:val="18"/>
          <w:szCs w:val="18"/>
          <w:color w:val="auto"/>
        </w:rPr>
        <w:t xml:space="preserve">. Subject to Section 4.3, up to 4,900,000 Shares shall be available for grant and issuance pursuant to Awards made under </w:t>
      </w:r>
      <w:r>
        <w:rPr>
          <w:rFonts w:ascii="Times New Roman" w:cs="Times New Roman" w:eastAsia="Times New Roman" w:hAnsi="Times New Roman"/>
          <w:sz w:val="18"/>
          <w:szCs w:val="18"/>
          <w:color w:val="auto"/>
          <w:highlight w:val="white"/>
        </w:rPr>
        <w:t>the Plan.”</w:t>
      </w:r>
    </w:p>
    <w:p>
      <w:pPr>
        <w:spacing w:after="0" w:line="18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amendment, the Plan shall be unaffected hereby and shall remain in full force and effect.</w:t>
      </w: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undersigned hereby certifies that the foregoing amendment to the Plan was duly approved and adopted and has executed this amendment to the Plan as of May 23, 2022.</w:t>
      </w:r>
    </w:p>
    <w:p>
      <w:pPr>
        <w:spacing w:after="0" w:line="200" w:lineRule="exact"/>
        <w:rPr>
          <w:sz w:val="20"/>
          <w:szCs w:val="20"/>
          <w:color w:val="auto"/>
        </w:rPr>
      </w:pPr>
    </w:p>
    <w:p>
      <w:pPr>
        <w:spacing w:after="0" w:line="25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43" w:lineRule="exact"/>
        <w:rPr>
          <w:sz w:val="20"/>
          <w:szCs w:val="20"/>
          <w:color w:val="auto"/>
        </w:rPr>
      </w:pPr>
    </w:p>
    <w:p>
      <w:pPr>
        <w:ind w:left="5080"/>
        <w:spacing w:after="0"/>
        <w:tabs>
          <w:tab w:leader="none" w:pos="5560" w:val="left"/>
        </w:tabs>
        <w:rPr>
          <w:sz w:val="20"/>
          <w:szCs w:val="20"/>
          <w:color w:val="auto"/>
        </w:rPr>
      </w:pPr>
      <w:r>
        <w:rPr>
          <w:rFonts w:ascii="Times New Roman" w:cs="Times New Roman" w:eastAsia="Times New Roman" w:hAnsi="Times New Roman"/>
          <w:sz w:val="18"/>
          <w:szCs w:val="18"/>
          <w:color w:val="auto"/>
        </w:rPr>
        <w:t>By:</w:t>
        <w:tab/>
        <w:t>/s/ Michael C. 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17145</wp:posOffset>
            </wp:positionV>
            <wp:extent cx="13627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Michael C. Keefe</w:t>
      </w:r>
    </w:p>
    <w:p>
      <w:pPr>
        <w:spacing w:after="0" w:line="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Executive Vice</w:t>
      </w:r>
    </w:p>
    <w:p>
      <w:pPr>
        <w:ind w:left="5700"/>
        <w:spacing w:after="0" w:line="203" w:lineRule="auto"/>
        <w:rPr>
          <w:sz w:val="20"/>
          <w:szCs w:val="20"/>
          <w:color w:val="auto"/>
        </w:rPr>
      </w:pPr>
      <w:r>
        <w:rPr>
          <w:rFonts w:ascii="Times New Roman" w:cs="Times New Roman" w:eastAsia="Times New Roman" w:hAnsi="Times New Roman"/>
          <w:sz w:val="18"/>
          <w:szCs w:val="18"/>
          <w:color w:val="auto"/>
        </w:rPr>
        <w:t>President, General</w:t>
      </w:r>
    </w:p>
    <w:p>
      <w:pPr>
        <w:ind w:left="5700"/>
        <w:spacing w:after="0"/>
        <w:rPr>
          <w:sz w:val="20"/>
          <w:szCs w:val="20"/>
          <w:color w:val="auto"/>
        </w:rPr>
      </w:pPr>
      <w:r>
        <w:rPr>
          <w:rFonts w:ascii="Times New Roman" w:cs="Times New Roman" w:eastAsia="Times New Roman" w:hAnsi="Times New Roman"/>
          <w:sz w:val="18"/>
          <w:szCs w:val="18"/>
          <w:color w:val="auto"/>
        </w:rPr>
        <w:t>Counsel and Secretary</w:t>
      </w:r>
    </w:p>
    <w:p>
      <w:pPr>
        <w:sectPr>
          <w:pgSz w:w="11900" w:h="16838" w:orient="portrait"/>
          <w:cols w:equalWidth="0" w:num="1">
            <w:col w:w="11240"/>
          </w:cols>
          <w:pgMar w:left="320" w:top="1392"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05, 2022</w:t>
      </w:r>
    </w:p>
    <w:p>
      <w:pPr>
        <w:spacing w:after="0" w:line="5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575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05, 2022</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8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2022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05, 2022</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lvl w:ilvl="1">
      <w:lvlJc w:val="left"/>
      <w:lvlText w:val="%2."/>
      <w:numFmt w:val="lowerLetter"/>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lvl w:ilvl="1">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upperLetter"/>
      <w:start w:val="9"/>
    </w:lvl>
    <w:lvl w:ilvl="1">
      <w:lvlJc w:val="left"/>
      <w:lvlText w:val="%2."/>
      <w:numFmt w:val="decimal"/>
      <w:start w:val="1"/>
    </w:lvl>
  </w:abstractNum>
  <w:abstractNum w:abstractNumId="10">
    <w:nsid w:val="189A769B"/>
    <w:multiLevelType w:val="hybridMultilevel"/>
    <w:lvl w:ilvl="0">
      <w:lvlJc w:val="left"/>
      <w:lvlText w:val="%1."/>
      <w:numFmt w:val="decimal"/>
      <w:start w:val="9"/>
    </w:lvl>
    <w:lvl w:ilvl="1">
      <w:lvlJc w:val="left"/>
      <w:lvlText w:val="%2."/>
      <w:numFmt w:val="decimal"/>
      <w:start w:val="1"/>
    </w:lvl>
  </w:abstractNum>
  <w:abstractNum w:abstractNumId="11">
    <w:nsid w:val="54E49EB4"/>
    <w:multiLevelType w:val="hybridMultilevel"/>
    <w:lvl w:ilvl="0">
      <w:lvlJc w:val="left"/>
      <w:lvlText w:val="%1."/>
      <w:numFmt w:val="decimal"/>
      <w:start w:val="19"/>
    </w:lvl>
  </w:abstractNum>
  <w:abstractNum w:abstractNumId="12">
    <w:nsid w:val="71F32454"/>
    <w:multiLevelType w:val="hybridMultilevel"/>
    <w:lvl w:ilvl="0">
      <w:lvlJc w:val="left"/>
      <w:lvlText w:val="%1."/>
      <w:numFmt w:val="upperLetter"/>
      <w:start w:val="35"/>
    </w:lvl>
    <w:lvl w:ilvl="1">
      <w:lvlJc w:val="left"/>
      <w:lvlText w:val="%2."/>
      <w:numFmt w:val="decimal"/>
      <w:start w:val="31"/>
    </w:lvl>
    <w:lvl w:ilvl="2">
      <w:lvlJc w:val="left"/>
      <w:lvlText w:val="%3)"/>
      <w:numFmt w:val="lowerLetter"/>
      <w:start w:val="1"/>
    </w:lvl>
  </w:abstractNum>
  <w:abstractNum w:abstractNumId="13">
    <w:nsid w:val="2CA88611"/>
    <w:multiLevelType w:val="hybridMultilevel"/>
    <w:lvl w:ilvl="0">
      <w:lvlJc w:val="left"/>
      <w:lvlText w:val="%1."/>
      <w:numFmt w:val="upperLetter"/>
      <w:start w:val="61"/>
    </w:lvl>
    <w:lvl w:ilvl="1">
      <w:lvlJc w:val="left"/>
      <w:lvlText w:val="%2."/>
      <w:numFmt w:val="decimal"/>
      <w:start w:val="37"/>
    </w:lvl>
    <w:lvl w:ilvl="2">
      <w:lvlJc w:val="left"/>
      <w:lvlText w:val="%3)"/>
      <w:numFmt w:val="lowerLetter"/>
      <w:start w:val="1"/>
    </w:lvl>
  </w:abstractNum>
  <w:abstractNum w:abstractNumId="14">
    <w:nsid w:val="836C40E"/>
    <w:multiLevelType w:val="hybridMultilevel"/>
    <w:lvl w:ilvl="0">
      <w:lvlJc w:val="left"/>
      <w:lvlText w:val="%1"/>
      <w:numFmt w:val="decimal"/>
      <w:start w:val="1"/>
    </w:lvl>
    <w:lvl w:ilvl="1">
      <w:lvlJc w:val="left"/>
      <w:lvlText w:val="%2)"/>
      <w:numFmt w:val="lowerLetter"/>
      <w:start w:val="3"/>
    </w:lvl>
  </w:abstractNum>
  <w:abstractNum w:abstractNumId="15">
    <w:nsid w:val="2901D82"/>
    <w:multiLevelType w:val="hybridMultilevel"/>
    <w:lvl w:ilvl="0">
      <w:lvlJc w:val="left"/>
      <w:lvlText w:val="%1."/>
      <w:numFmt w:val="decimal"/>
      <w:start w:val="40"/>
    </w:lvl>
    <w:lvl w:ilvl="1">
      <w:lvlJc w:val="left"/>
      <w:lvlText w:val="%2)"/>
      <w:numFmt w:val="lowerLetter"/>
      <w:start w:val="1"/>
    </w:lvl>
  </w:abstractNum>
  <w:abstractNum w:abstractNumId="16">
    <w:nsid w:val="3A95F874"/>
    <w:multiLevelType w:val="hybridMultilevel"/>
    <w:lvl w:ilvl="0">
      <w:lvlJc w:val="left"/>
      <w:lvlText w:val="%1)"/>
      <w:numFmt w:val="lowerLetter"/>
      <w:start w:val="2"/>
    </w:lvl>
    <w:lvl w:ilvl="1">
      <w:lvlJc w:val="left"/>
      <w:lvlText w:val="%2."/>
      <w:numFmt w:val="lowerLetter"/>
      <w:start w:val="1"/>
    </w:lvl>
  </w:abstractNum>
  <w:abstractNum w:abstractNumId="17">
    <w:nsid w:val="8138641"/>
    <w:multiLevelType w:val="hybridMultilevel"/>
    <w:lvl w:ilvl="0">
      <w:lvlJc w:val="left"/>
      <w:lvlText w:val="%1."/>
      <w:numFmt w:val="decimal"/>
      <w:start w:val="41"/>
    </w:lvl>
    <w:lvl w:ilvl="1">
      <w:lvlJc w:val="left"/>
      <w:lvlText w:val="%2)"/>
      <w:numFmt w:val="lowerLetter"/>
      <w:start w:val="1"/>
    </w:lvl>
    <w:lvl w:ilvl="2">
      <w:lvlJc w:val="left"/>
      <w:lvlText w:val="%3."/>
      <w:numFmt w:val="lowerLetter"/>
      <w:start w:val="1"/>
    </w:lvl>
  </w:abstractNum>
  <w:abstractNum w:abstractNumId="18">
    <w:nsid w:val="1E7FF521"/>
    <w:multiLevelType w:val="hybridMultilevel"/>
    <w:lvl w:ilvl="0">
      <w:lvlJc w:val="left"/>
      <w:lvlText w:val="%1"/>
      <w:numFmt w:val="lowerLetter"/>
      <w:start w:val="1"/>
    </w:lvl>
    <w:lvl w:ilvl="1">
      <w:lvlJc w:val="left"/>
      <w:lvlText w:val="%2."/>
      <w:numFmt w:val="lowerLetter"/>
      <w:start w:val="4"/>
    </w:lvl>
  </w:abstractNum>
  <w:abstractNum w:abstractNumId="19">
    <w:nsid w:val="7C3DBD3D"/>
    <w:multiLevelType w:val="hybridMultilevel"/>
    <w:lvl w:ilvl="0">
      <w:lvlJc w:val="left"/>
      <w:lvlText w:val="%1)"/>
      <w:numFmt w:val="lowerLetter"/>
      <w:start w:val="2"/>
    </w:lvl>
    <w:lvl w:ilvl="1">
      <w:lvlJc w:val="left"/>
      <w:lvlText w:val="%2."/>
      <w:numFmt w:val="lowerLetter"/>
      <w:start w:val="1"/>
    </w:lvl>
  </w:abstractNum>
  <w:abstractNum w:abstractNumId="20">
    <w:nsid w:val="737B8DDC"/>
    <w:multiLevelType w:val="hybridMultilevel"/>
    <w:lvl w:ilvl="0">
      <w:lvlJc w:val="left"/>
      <w:lvlText w:val="%1"/>
      <w:numFmt w:val="lowerLetter"/>
      <w:start w:val="1"/>
    </w:lvl>
    <w:lvl w:ilvl="1">
      <w:lvlJc w:val="left"/>
      <w:lvlText w:val="%2."/>
      <w:numFmt w:val="lowerLetter"/>
      <w:start w:val="4"/>
    </w:lvl>
  </w:abstractNum>
  <w:abstractNum w:abstractNumId="21">
    <w:nsid w:val="6CEAF087"/>
    <w:multiLevelType w:val="hybridMultilevel"/>
    <w:lvl w:ilvl="0">
      <w:lvlJc w:val="left"/>
      <w:lvlText w:val="%1)"/>
      <w:numFmt w:val="lowerLetter"/>
      <w:start w:val="3"/>
    </w:lvl>
    <w:lvl w:ilvl="1">
      <w:lvlJc w:val="left"/>
      <w:lvlText w:val="%2."/>
      <w:numFmt w:val="lowerLetter"/>
      <w:start w:val="1"/>
    </w:lvl>
  </w:abstractNum>
  <w:abstractNum w:abstractNumId="22">
    <w:nsid w:val="22221A70"/>
    <w:multiLevelType w:val="hybridMultilevel"/>
    <w:lvl w:ilvl="0">
      <w:lvlJc w:val="left"/>
      <w:lvlText w:val="%1."/>
      <w:numFmt w:val="lowerLetter"/>
      <w:start w:val="2"/>
    </w:lvl>
  </w:abstractNum>
  <w:abstractNum w:abstractNumId="23">
    <w:nsid w:val="4516DDE9"/>
    <w:multiLevelType w:val="hybridMultilevel"/>
    <w:lvl w:ilvl="0">
      <w:lvlJc w:val="left"/>
      <w:lvlText w:val="%1"/>
      <w:numFmt w:val="lowerLetter"/>
      <w:start w:val="1"/>
    </w:lvl>
    <w:lvl w:ilvl="1">
      <w:lvlJc w:val="left"/>
      <w:lvlText w:val="%2."/>
      <w:numFmt w:val="lowerLetter"/>
      <w:start w:val="4"/>
    </w:lvl>
  </w:abstractNum>
  <w:abstractNum w:abstractNumId="24">
    <w:nsid w:val="3006C83E"/>
    <w:multiLevelType w:val="hybridMultilevel"/>
    <w:lvl w:ilvl="0">
      <w:lvlJc w:val="left"/>
      <w:lvlText w:val="%1)"/>
      <w:numFmt w:val="lowerLetter"/>
      <w:start w:val="4"/>
    </w:lvl>
    <w:lvl w:ilvl="1">
      <w:lvlJc w:val="left"/>
      <w:lvlText w:val="%2."/>
      <w:numFmt w:val="lowerLetter"/>
      <w:start w:val="1"/>
    </w:lvl>
  </w:abstractNum>
  <w:abstractNum w:abstractNumId="25">
    <w:nsid w:val="614FD4A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abstractNum>
  <w:abstractNum w:abstractNumId="26">
    <w:nsid w:val="419AC241"/>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27">
    <w:nsid w:val="5577F8E1"/>
    <w:multiLevelType w:val="hybridMultilevel"/>
    <w:lvl w:ilvl="0">
      <w:lvlJc w:val="left"/>
      <w:lvlText w:val="%1."/>
      <w:numFmt w:val="decimal"/>
      <w:start w:val="44"/>
    </w:lvl>
  </w:abstractNum>
  <w:abstractNum w:abstractNumId="28">
    <w:nsid w:val="440BADFC"/>
    <w:multiLevelType w:val="hybridMultilevel"/>
    <w:lvl w:ilvl="0">
      <w:lvlJc w:val="left"/>
      <w:lvlText w:val="%1."/>
      <w:numFmt w:val="decimal"/>
      <w:start w:val="47"/>
    </w:lvl>
    <w:lvl w:ilvl="1">
      <w:lvlJc w:val="left"/>
      <w:lvlText w:val="%2)"/>
      <w:numFmt w:val="lowerLetter"/>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1."/>
      <w:numFmt w:val="decimal"/>
      <w:start w:val="49"/>
    </w:lvl>
  </w:abstractNum>
  <w:abstractNum w:abstractNumId="31">
    <w:nsid w:val="77465F01"/>
    <w:multiLevelType w:val="hybridMultilevel"/>
    <w:lvl w:ilvl="0">
      <w:lvlJc w:val="left"/>
      <w:lvlText w:val="%1."/>
      <w:numFmt w:val="decimal"/>
      <w:start w:val="51"/>
    </w:lvl>
    <w:lvl w:ilvl="1">
      <w:lvlJc w:val="left"/>
      <w:lvlText w:val="%2)"/>
      <w:numFmt w:val="lowerLetter"/>
      <w:start w:val="1"/>
    </w:lvl>
  </w:abstractNum>
  <w:abstractNum w:abstractNumId="32">
    <w:nsid w:val="7724C67E"/>
    <w:multiLevelType w:val="hybridMultilevel"/>
    <w:lvl w:ilvl="0">
      <w:lvlJc w:val="left"/>
      <w:lvlText w:val="%1"/>
      <w:numFmt w:val="decimal"/>
      <w:start w:val="1"/>
    </w:lvl>
    <w:lvl w:ilvl="1">
      <w:lvlJc w:val="left"/>
      <w:lvlText w:val="%2)"/>
      <w:numFmt w:val="lowerLetter"/>
      <w:start w:val="2"/>
    </w:lvl>
  </w:abstractNum>
  <w:abstractNum w:abstractNumId="33">
    <w:nsid w:val="5C482A97"/>
    <w:multiLevelType w:val="hybridMultilevel"/>
    <w:lvl w:ilvl="0">
      <w:lvlJc w:val="left"/>
      <w:lvlText w:val="%1."/>
      <w:numFmt w:val="decimal"/>
      <w:start w:val="52"/>
    </w:lvl>
    <w:lvl w:ilvl="1">
      <w:lvlJc w:val="left"/>
      <w:lvlText w:val="%2"/>
      <w:numFmt w:val="lowerLetter"/>
      <w:start w:val="1"/>
    </w:lvl>
  </w:abstractNum>
  <w:abstractNum w:abstractNumId="34">
    <w:nsid w:val="2463B9EA"/>
    <w:multiLevelType w:val="hybridMultilevel"/>
    <w:lvl w:ilvl="0">
      <w:lvlJc w:val="left"/>
      <w:lvlText w:val="%1."/>
      <w:numFmt w:val="decimal"/>
      <w:start w:val="56"/>
    </w:lvl>
  </w:abstractNum>
  <w:abstractNum w:abstractNumId="35">
    <w:nsid w:val="5E884ADC"/>
    <w:multiLevelType w:val="hybridMultilevel"/>
    <w:lvl w:ilvl="0">
      <w:lvlJc w:val="left"/>
      <w:lvlText w:val="%1"/>
      <w:numFmt w:val="upperLetter"/>
      <w:start w:val="1"/>
    </w:lvl>
    <w:lvl w:ilvl="1">
      <w:lvlJc w:val="left"/>
      <w:lvlText w:val="%2."/>
      <w:numFmt w:val="decimal"/>
      <w:start w:val="65"/>
    </w:lvl>
  </w:abstractNum>
  <w:abstractNum w:abstractNumId="36">
    <w:nsid w:val="51EAD36B"/>
    <w:multiLevelType w:val="hybridMultilevel"/>
    <w:lvl w:ilvl="0">
      <w:lvlJc w:val="left"/>
      <w:lvlText w:val="%1."/>
      <w:numFmt w:val="upperLetter"/>
      <w:start w:val="22"/>
    </w:lvl>
    <w:lvl w:ilvl="1">
      <w:lvlJc w:val="left"/>
      <w:lvlText w:val="%2"/>
      <w:numFmt w:val="decimal"/>
      <w:start w:val="1"/>
    </w:lvl>
  </w:abstractNum>
  <w:abstractNum w:abstractNumId="37">
    <w:nsid w:val="2D517796"/>
    <w:multiLevelType w:val="hybridMultilevel"/>
    <w:lvl w:ilvl="0">
      <w:lvlJc w:val="left"/>
      <w:lvlText w:val="%1."/>
      <w:numFmt w:val="upperLetter"/>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2"/>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2022-08-05T12:11:04Z</dcterms:created>
  <dcterms:modified xsi:type="dcterms:W3CDTF">2022-08-05T12:11:04Z</dcterms:modified>
</cp:coreProperties>
</file>