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535305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492760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0" w:lineRule="exact"/>
        <w:rPr>
          <w:sz w:val="24"/>
          <w:szCs w:val="24"/>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340" w:hanging="258"/>
        <w:spacing w:after="0"/>
        <w:tabs>
          <w:tab w:leader="none" w:pos="3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__ to 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34290</wp:posOffset>
            </wp:positionV>
            <wp:extent cx="31629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47625</wp:posOffset>
            </wp:positionV>
            <wp:extent cx="31629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3420" w:type="dxa"/>
        <w:tblCellMar>
          <w:top w:w="0" w:type="dxa"/>
          <w:left w:w="0" w:type="dxa"/>
          <w:bottom w:w="0" w:type="dxa"/>
          <w:right w:w="0" w:type="dxa"/>
        </w:tblCellMar>
      </w:tblPr>
      <w:tr>
        <w:trPr>
          <w:trHeight w:val="234"/>
        </w:trPr>
        <w:tc>
          <w:tcPr>
            <w:tcW w:w="29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Delaware</w:t>
            </w: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rPr>
              <w:t>22-3341267</w:t>
            </w:r>
          </w:p>
        </w:tc>
      </w:tr>
      <w:tr>
        <w:trPr>
          <w:trHeight w:val="203"/>
        </w:trPr>
        <w:tc>
          <w:tcPr>
            <w:tcW w:w="2960" w:type="dxa"/>
            <w:vAlign w:val="bottom"/>
          </w:tcPr>
          <w:p>
            <w:pPr>
              <w:jc w:val="center"/>
              <w:ind w:right="50"/>
              <w:spacing w:after="0" w:line="202" w:lineRule="exact"/>
              <w:rPr>
                <w:sz w:val="20"/>
                <w:szCs w:val="20"/>
                <w:color w:val="auto"/>
              </w:rPr>
            </w:pPr>
            <w:r>
              <w:rPr>
                <w:rFonts w:ascii="Arial" w:cs="Arial" w:eastAsia="Arial" w:hAnsi="Arial"/>
                <w:sz w:val="18"/>
                <w:szCs w:val="18"/>
                <w:i w:val="1"/>
                <w:iCs w:val="1"/>
                <w:color w:val="auto"/>
                <w:w w:val="93"/>
              </w:rPr>
              <w:t>(State or other jurisdiction of</w:t>
            </w:r>
          </w:p>
        </w:tc>
        <w:tc>
          <w:tcPr>
            <w:tcW w:w="1460" w:type="dxa"/>
            <w:vAlign w:val="bottom"/>
          </w:tcPr>
          <w:p>
            <w:pPr>
              <w:jc w:val="center"/>
              <w:ind w:left="50"/>
              <w:spacing w:after="0" w:line="202"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2960" w:type="dxa"/>
            <w:vAlign w:val="bottom"/>
          </w:tcPr>
          <w:p>
            <w:pPr>
              <w:jc w:val="center"/>
              <w:ind w:right="50"/>
              <w:spacing w:after="0"/>
              <w:rPr>
                <w:sz w:val="20"/>
                <w:szCs w:val="20"/>
                <w:color w:val="auto"/>
              </w:rPr>
            </w:pPr>
            <w:r>
              <w:rPr>
                <w:rFonts w:ascii="Arial" w:cs="Arial" w:eastAsia="Arial" w:hAnsi="Arial"/>
                <w:sz w:val="18"/>
                <w:szCs w:val="18"/>
                <w:i w:val="1"/>
                <w:iCs w:val="1"/>
                <w:color w:val="auto"/>
                <w:w w:val="94"/>
              </w:rPr>
              <w:t>incorporation or organization)</w:t>
            </w:r>
          </w:p>
        </w:tc>
        <w:tc>
          <w:tcPr>
            <w:tcW w:w="1460" w:type="dxa"/>
            <w:vAlign w:val="bottom"/>
          </w:tcPr>
          <w:p>
            <w:pPr>
              <w:jc w:val="center"/>
              <w:ind w:left="50"/>
              <w:spacing w:after="0"/>
              <w:rPr>
                <w:sz w:val="20"/>
                <w:szCs w:val="20"/>
                <w:color w:val="auto"/>
              </w:rPr>
            </w:pPr>
            <w:r>
              <w:rPr>
                <w:rFonts w:ascii="Arial" w:cs="Arial" w:eastAsia="Arial" w:hAnsi="Arial"/>
                <w:sz w:val="18"/>
                <w:szCs w:val="18"/>
                <w:i w:val="1"/>
                <w:iCs w:val="1"/>
                <w:color w:val="auto"/>
                <w:w w:val="94"/>
              </w:rPr>
              <w:t>Identification No.)</w:t>
            </w:r>
          </w:p>
        </w:tc>
      </w:tr>
      <w:tr>
        <w:trPr>
          <w:trHeight w:val="485"/>
        </w:trPr>
        <w:tc>
          <w:tcPr>
            <w:tcW w:w="29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195 Clarksville Road</w:t>
            </w:r>
          </w:p>
        </w:tc>
        <w:tc>
          <w:tcPr>
            <w:tcW w:w="1460" w:type="dxa"/>
            <w:vAlign w:val="bottom"/>
          </w:tcPr>
          <w:p>
            <w:pPr>
              <w:spacing w:after="0"/>
              <w:rPr>
                <w:sz w:val="24"/>
                <w:szCs w:val="24"/>
                <w:color w:val="auto"/>
              </w:rPr>
            </w:pPr>
          </w:p>
        </w:tc>
      </w:tr>
      <w:tr>
        <w:trPr>
          <w:trHeight w:val="256"/>
        </w:trPr>
        <w:tc>
          <w:tcPr>
            <w:tcW w:w="2960" w:type="dxa"/>
            <w:vAlign w:val="bottom"/>
          </w:tcPr>
          <w:p>
            <w:pPr>
              <w:jc w:val="right"/>
              <w:ind w:right="390"/>
              <w:spacing w:after="0"/>
              <w:rPr>
                <w:sz w:val="20"/>
                <w:szCs w:val="20"/>
                <w:color w:val="auto"/>
              </w:rPr>
            </w:pPr>
            <w:r>
              <w:rPr>
                <w:rFonts w:ascii="Arial" w:cs="Arial" w:eastAsia="Arial" w:hAnsi="Arial"/>
                <w:sz w:val="18"/>
                <w:szCs w:val="18"/>
                <w:b w:val="1"/>
                <w:bCs w:val="1"/>
                <w:color w:val="auto"/>
                <w:w w:val="90"/>
              </w:rPr>
              <w:t>Princeton Junction, New Jersey</w:t>
            </w: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08550</w:t>
            </w:r>
          </w:p>
        </w:tc>
      </w:tr>
      <w:tr>
        <w:trPr>
          <w:trHeight w:val="230"/>
        </w:trPr>
        <w:tc>
          <w:tcPr>
            <w:tcW w:w="2960" w:type="dxa"/>
            <w:vAlign w:val="bottom"/>
          </w:tcPr>
          <w:p>
            <w:pPr>
              <w:jc w:val="center"/>
              <w:ind w:right="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60" w:type="dxa"/>
            <w:vAlign w:val="bottom"/>
          </w:tcPr>
          <w:p>
            <w:pPr>
              <w:jc w:val="center"/>
              <w:ind w:left="30"/>
              <w:spacing w:after="0"/>
              <w:rPr>
                <w:sz w:val="20"/>
                <w:szCs w:val="20"/>
                <w:color w:val="auto"/>
              </w:rPr>
            </w:pPr>
            <w:r>
              <w:rPr>
                <w:rFonts w:ascii="Arial" w:cs="Arial" w:eastAsia="Arial" w:hAnsi="Arial"/>
                <w:sz w:val="18"/>
                <w:szCs w:val="18"/>
                <w:i w:val="1"/>
                <w:iCs w:val="1"/>
                <w:color w:val="auto"/>
                <w:w w:val="91"/>
              </w:rPr>
              <w:t>(Zip Code)</w:t>
            </w:r>
          </w:p>
        </w:tc>
      </w:tr>
      <w:tr>
        <w:trPr>
          <w:trHeight w:val="540"/>
        </w:trPr>
        <w:tc>
          <w:tcPr>
            <w:tcW w:w="2960" w:type="dxa"/>
            <w:vAlign w:val="bottom"/>
          </w:tcPr>
          <w:p>
            <w:pPr>
              <w:jc w:val="right"/>
              <w:ind w:right="110"/>
              <w:spacing w:after="0"/>
              <w:rPr>
                <w:sz w:val="20"/>
                <w:szCs w:val="20"/>
                <w:color w:val="auto"/>
              </w:rPr>
            </w:pPr>
            <w:r>
              <w:rPr>
                <w:rFonts w:ascii="Arial" w:cs="Arial" w:eastAsia="Arial" w:hAnsi="Arial"/>
                <w:sz w:val="18"/>
                <w:szCs w:val="18"/>
                <w:b w:val="1"/>
                <w:bCs w:val="1"/>
                <w:color w:val="auto"/>
              </w:rPr>
              <w:t>(609) 716-4000</w:t>
            </w:r>
          </w:p>
        </w:tc>
        <w:tc>
          <w:tcPr>
            <w:tcW w:w="1460" w:type="dxa"/>
            <w:vAlign w:val="bottom"/>
          </w:tcPr>
          <w:p>
            <w:pPr>
              <w:spacing w:after="0"/>
              <w:rPr>
                <w:sz w:val="24"/>
                <w:szCs w:val="24"/>
                <w:color w:val="auto"/>
              </w:rPr>
            </w:pPr>
          </w:p>
        </w:tc>
      </w:tr>
    </w:tbl>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57785</wp:posOffset>
            </wp:positionV>
            <wp:extent cx="31629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456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0"/>
              </w:rPr>
              <w:t>Title of each class</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1"/>
              </w:rPr>
              <w:t>Trading Symbol(s)</w:t>
            </w:r>
          </w:p>
        </w:tc>
        <w:tc>
          <w:tcPr>
            <w:tcW w:w="4480" w:type="dxa"/>
            <w:vAlign w:val="bottom"/>
          </w:tcPr>
          <w:p>
            <w:pPr>
              <w:jc w:val="center"/>
              <w:spacing w:after="0"/>
              <w:rPr>
                <w:sz w:val="20"/>
                <w:szCs w:val="20"/>
                <w:color w:val="auto"/>
              </w:rPr>
            </w:pPr>
            <w:r>
              <w:rPr>
                <w:rFonts w:ascii="Arial" w:cs="Arial" w:eastAsia="Arial" w:hAnsi="Arial"/>
                <w:sz w:val="18"/>
                <w:szCs w:val="18"/>
                <w:i w:val="1"/>
                <w:iCs w:val="1"/>
                <w:color w:val="auto"/>
                <w:w w:val="88"/>
              </w:rPr>
              <w:t>Name of each exchange on which registered</w:t>
            </w:r>
          </w:p>
        </w:tc>
      </w:tr>
      <w:tr>
        <w:trPr>
          <w:trHeight w:val="224"/>
        </w:trPr>
        <w:tc>
          <w:tcPr>
            <w:tcW w:w="2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00" w:type="dxa"/>
            <w:vAlign w:val="bottom"/>
          </w:tcPr>
          <w:p>
            <w:pPr>
              <w:spacing w:after="0"/>
              <w:rPr>
                <w:sz w:val="19"/>
                <w:szCs w:val="19"/>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MG</w:t>
            </w:r>
          </w:p>
        </w:tc>
        <w:tc>
          <w:tcPr>
            <w:tcW w:w="10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36" w:lineRule="exact"/>
        <w:rPr>
          <w:sz w:val="24"/>
          <w:szCs w:val="24"/>
          <w:color w:val="auto"/>
        </w:rPr>
      </w:pPr>
    </w:p>
    <w:p>
      <w:pPr>
        <w:ind w:right="3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227" w:lineRule="exact"/>
        <w:rPr>
          <w:sz w:val="24"/>
          <w:szCs w:val="24"/>
          <w:color w:val="auto"/>
        </w:rPr>
      </w:pPr>
    </w:p>
    <w:p>
      <w:pPr>
        <w:ind w:right="12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227"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320" w:type="dxa"/>
        <w:tblCellMar>
          <w:top w:w="0" w:type="dxa"/>
          <w:left w:w="0" w:type="dxa"/>
          <w:bottom w:w="0" w:type="dxa"/>
          <w:right w:w="0" w:type="dxa"/>
        </w:tblCellMar>
      </w:tblPr>
      <w:tr>
        <w:trPr>
          <w:trHeight w:val="205"/>
        </w:trPr>
        <w:tc>
          <w:tcPr>
            <w:tcW w:w="1980" w:type="dxa"/>
            <w:vAlign w:val="bottom"/>
          </w:tcPr>
          <w:p>
            <w:pPr>
              <w:spacing w:after="0" w:line="205" w:lineRule="exact"/>
              <w:rPr>
                <w:sz w:val="20"/>
                <w:szCs w:val="20"/>
                <w:color w:val="auto"/>
              </w:rPr>
            </w:pPr>
            <w:r>
              <w:rPr>
                <w:rFonts w:ascii="Arial" w:cs="Arial" w:eastAsia="Arial" w:hAnsi="Arial"/>
                <w:sz w:val="18"/>
                <w:szCs w:val="18"/>
                <w:color w:val="auto"/>
              </w:rPr>
              <w:t>Large accelerated filer</w:t>
            </w:r>
          </w:p>
        </w:tc>
        <w:tc>
          <w:tcPr>
            <w:tcW w:w="2500" w:type="dxa"/>
            <w:vAlign w:val="bottom"/>
          </w:tcPr>
          <w:p>
            <w:pPr>
              <w:ind w:left="380"/>
              <w:spacing w:after="0" w:line="205" w:lineRule="exact"/>
              <w:rPr>
                <w:sz w:val="20"/>
                <w:szCs w:val="20"/>
                <w:color w:val="auto"/>
              </w:rPr>
            </w:pPr>
            <w:r>
              <w:rPr>
                <w:rFonts w:ascii="Arial" w:cs="Arial" w:eastAsia="Arial" w:hAnsi="Arial"/>
                <w:sz w:val="18"/>
                <w:szCs w:val="18"/>
                <w:color w:val="auto"/>
              </w:rPr>
              <w:t>o</w:t>
            </w:r>
          </w:p>
        </w:tc>
        <w:tc>
          <w:tcPr>
            <w:tcW w:w="4500" w:type="dxa"/>
            <w:vAlign w:val="bottom"/>
          </w:tcPr>
          <w:p>
            <w:pPr>
              <w:ind w:left="2040"/>
              <w:spacing w:after="0" w:line="205" w:lineRule="exact"/>
              <w:rPr>
                <w:sz w:val="20"/>
                <w:szCs w:val="20"/>
                <w:color w:val="auto"/>
              </w:rPr>
            </w:pPr>
            <w:r>
              <w:rPr>
                <w:rFonts w:ascii="Arial" w:cs="Arial" w:eastAsia="Arial" w:hAnsi="Arial"/>
                <w:sz w:val="18"/>
                <w:szCs w:val="18"/>
                <w:color w:val="auto"/>
              </w:rPr>
              <w:t>Accelerated filer</w:t>
            </w:r>
          </w:p>
        </w:tc>
        <w:tc>
          <w:tcPr>
            <w:tcW w:w="560" w:type="dxa"/>
            <w:vAlign w:val="bottom"/>
          </w:tcPr>
          <w:p>
            <w:pPr>
              <w:jc w:val="center"/>
              <w:ind w:left="330"/>
              <w:spacing w:after="0" w:line="205" w:lineRule="exact"/>
              <w:rPr>
                <w:sz w:val="20"/>
                <w:szCs w:val="20"/>
                <w:color w:val="auto"/>
              </w:rPr>
            </w:pPr>
            <w:r>
              <w:rPr>
                <w:rFonts w:ascii="Arial" w:cs="Arial" w:eastAsia="Arial" w:hAnsi="Arial"/>
                <w:sz w:val="18"/>
                <w:szCs w:val="18"/>
                <w:color w:val="auto"/>
              </w:rPr>
              <w:t>x</w:t>
            </w:r>
          </w:p>
        </w:tc>
      </w:tr>
      <w:tr>
        <w:trPr>
          <w:trHeight w:val="229"/>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2500" w:type="dxa"/>
            <w:vAlign w:val="bottom"/>
          </w:tcPr>
          <w:p>
            <w:pPr>
              <w:ind w:left="380"/>
              <w:spacing w:after="0"/>
              <w:rPr>
                <w:sz w:val="20"/>
                <w:szCs w:val="20"/>
                <w:color w:val="auto"/>
              </w:rPr>
            </w:pPr>
            <w:r>
              <w:rPr>
                <w:rFonts w:ascii="Arial" w:cs="Arial" w:eastAsia="Arial" w:hAnsi="Arial"/>
                <w:sz w:val="18"/>
                <w:szCs w:val="18"/>
                <w:color w:val="auto"/>
              </w:rPr>
              <w:t>o</w:t>
            </w:r>
          </w:p>
        </w:tc>
        <w:tc>
          <w:tcPr>
            <w:tcW w:w="4500" w:type="dxa"/>
            <w:vAlign w:val="bottom"/>
          </w:tcPr>
          <w:p>
            <w:pPr>
              <w:ind w:left="204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00" w:type="dxa"/>
            <w:vAlign w:val="bottom"/>
          </w:tcPr>
          <w:p>
            <w:pPr>
              <w:ind w:left="204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90"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1">
            <w:col w:w="11240"/>
          </w:cols>
          <w:pgMar w:left="320" w:top="229" w:right="3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May 3, 2021, the registrant had 29,431,913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779780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11" w:right="1440"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TABLE OF CONTENTS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6"/>
        </w:trPr>
        <w:tc>
          <w:tcPr>
            <w:tcW w:w="2980" w:type="dxa"/>
            <w:vAlign w:val="bottom"/>
            <w:tcBorders>
              <w:bottom w:val="single" w:sz="8" w:color="0000FF"/>
            </w:tcBorders>
            <w:gridSpan w:val="12"/>
          </w:tcPr>
          <w:p>
            <w:pPr>
              <w:spacing w:after="0" w:line="176" w:lineRule="exact"/>
              <w:rPr>
                <w:rFonts w:ascii="Arial" w:cs="Arial" w:eastAsia="Arial" w:hAnsi="Arial"/>
                <w:sz w:val="18"/>
                <w:szCs w:val="18"/>
                <w:color w:val="0000FF"/>
                <w:w w:val="98"/>
              </w:rPr>
            </w:pPr>
            <w:hyperlink w:anchor="page3">
              <w:r>
                <w:rPr>
                  <w:rFonts w:ascii="Arial" w:cs="Arial" w:eastAsia="Arial" w:hAnsi="Arial"/>
                  <w:sz w:val="18"/>
                  <w:szCs w:val="18"/>
                  <w:color w:val="0000FF"/>
                  <w:w w:val="98"/>
                </w:rPr>
                <w:t>PART I—FINANCIAL INFORMATION</w:t>
              </w:r>
            </w:hyperlink>
          </w:p>
        </w:tc>
        <w:tc>
          <w:tcPr>
            <w:tcW w:w="7520" w:type="dxa"/>
            <w:vAlign w:val="bottom"/>
            <w:gridSpan w:val="11"/>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1120" w:type="dxa"/>
            <w:vAlign w:val="bottom"/>
            <w:gridSpan w:val="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890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E32E1"/>
              </w:rPr>
            </w:pPr>
            <w:hyperlink w:anchor="page4">
              <w:r>
                <w:rPr>
                  <w:rFonts w:ascii="Arial" w:cs="Arial" w:eastAsia="Arial" w:hAnsi="Arial"/>
                  <w:sz w:val="18"/>
                  <w:szCs w:val="18"/>
                  <w:color w:val="0E32E1"/>
                </w:rPr>
                <w:t xml:space="preserve">Condensed Consolidated Balance Sheets as of </w:t>
              </w:r>
            </w:hyperlink>
            <w:r>
              <w:rPr>
                <w:rFonts w:ascii="Arial" w:cs="Arial" w:eastAsia="Arial" w:hAnsi="Arial"/>
                <w:sz w:val="18"/>
                <w:szCs w:val="18"/>
                <w:color w:val="0E32E1"/>
              </w:rPr>
              <w:t xml:space="preserve">March 31, 2021 </w:t>
            </w:r>
            <w:hyperlink w:anchor="page4">
              <w:r>
                <w:rPr>
                  <w:rFonts w:ascii="Arial" w:cs="Arial" w:eastAsia="Arial" w:hAnsi="Arial"/>
                  <w:sz w:val="18"/>
                  <w:szCs w:val="18"/>
                  <w:color w:val="0E32E1"/>
                </w:rPr>
                <w:t xml:space="preserve">(unaudited) and </w:t>
              </w:r>
            </w:hyperlink>
            <w:r>
              <w:rPr>
                <w:rFonts w:ascii="Arial" w:cs="Arial" w:eastAsia="Arial" w:hAnsi="Arial"/>
                <w:sz w:val="18"/>
                <w:szCs w:val="18"/>
                <w:color w:val="0E32E1"/>
              </w:rPr>
              <w:t>December 31, 2020</w:t>
            </w:r>
          </w:p>
        </w:tc>
        <w:tc>
          <w:tcPr>
            <w:tcW w:w="6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60" w:type="dxa"/>
            <w:vAlign w:val="bottom"/>
            <w:gridSpan w:val="16"/>
          </w:tcPr>
          <w:p>
            <w:pPr>
              <w:spacing w:after="0"/>
              <w:rPr>
                <w:rFonts w:ascii="Arial" w:cs="Arial" w:eastAsia="Arial" w:hAnsi="Arial"/>
                <w:sz w:val="18"/>
                <w:szCs w:val="18"/>
                <w:color w:val="0E32E1"/>
                <w:w w:val="89"/>
              </w:rPr>
            </w:pPr>
            <w:hyperlink w:anchor="page4">
              <w:r>
                <w:rPr>
                  <w:rFonts w:ascii="Arial" w:cs="Arial" w:eastAsia="Arial" w:hAnsi="Arial"/>
                  <w:sz w:val="18"/>
                  <w:szCs w:val="18"/>
                  <w:color w:val="0E32E1"/>
                  <w:w w:val="89"/>
                </w:rPr>
                <w:t xml:space="preserve">Unaudited Condensed Consolidated Statements of Loss for the </w:t>
              </w:r>
            </w:hyperlink>
            <w:r>
              <w:rPr>
                <w:rFonts w:ascii="Arial" w:cs="Arial" w:eastAsia="Arial" w:hAnsi="Arial"/>
                <w:sz w:val="18"/>
                <w:szCs w:val="18"/>
                <w:color w:val="0E32E1"/>
                <w:w w:val="89"/>
              </w:rPr>
              <w:t xml:space="preserve">three months ended March 31, 2021 </w:t>
            </w:r>
            <w:hyperlink w:anchor="page4">
              <w:r>
                <w:rPr>
                  <w:rFonts w:ascii="Arial" w:cs="Arial" w:eastAsia="Arial" w:hAnsi="Arial"/>
                  <w:sz w:val="18"/>
                  <w:szCs w:val="18"/>
                  <w:color w:val="0E32E1"/>
                  <w:w w:val="89"/>
                </w:rPr>
                <w:t xml:space="preserve">and </w:t>
              </w:r>
            </w:hyperlink>
            <w:r>
              <w:rPr>
                <w:rFonts w:ascii="Arial" w:cs="Arial" w:eastAsia="Arial" w:hAnsi="Arial"/>
                <w:sz w:val="18"/>
                <w:szCs w:val="18"/>
                <w:color w:val="0E32E1"/>
                <w:w w:val="89"/>
              </w:rPr>
              <w:t>March 31, 2020</w:t>
            </w:r>
          </w:p>
        </w:tc>
        <w:tc>
          <w:tcPr>
            <w:tcW w:w="240" w:type="dxa"/>
            <w:vAlign w:val="bottom"/>
            <w:gridSpan w:val="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440" w:type="dxa"/>
            <w:vAlign w:val="bottom"/>
            <w:tcBorders>
              <w:left w:val="single" w:sz="8" w:color="0E32E1"/>
            </w:tcBorders>
            <w:gridSpan w:val="3"/>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2200" w:type="dxa"/>
            <w:vAlign w:val="bottom"/>
            <w:tcBorders>
              <w:right w:val="single" w:sz="8" w:color="0E32E1"/>
            </w:tcBorders>
            <w:gridSpan w:val="2"/>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60" w:type="dxa"/>
            <w:vAlign w:val="bottom"/>
            <w:gridSpan w:val="16"/>
          </w:tcPr>
          <w:p>
            <w:pPr>
              <w:spacing w:after="0"/>
              <w:rPr>
                <w:rFonts w:ascii="Arial" w:cs="Arial" w:eastAsia="Arial" w:hAnsi="Arial"/>
                <w:sz w:val="18"/>
                <w:szCs w:val="18"/>
                <w:color w:val="0E32E1"/>
                <w:w w:val="89"/>
              </w:rPr>
            </w:pPr>
            <w:hyperlink w:anchor="page5">
              <w:r>
                <w:rPr>
                  <w:rFonts w:ascii="Arial" w:cs="Arial" w:eastAsia="Arial" w:hAnsi="Arial"/>
                  <w:sz w:val="18"/>
                  <w:szCs w:val="18"/>
                  <w:color w:val="0E32E1"/>
                  <w:w w:val="89"/>
                </w:rPr>
                <w:t xml:space="preserve">Unaudited Condensed Consolidated Statements of Comprehensive Loss for the </w:t>
              </w:r>
            </w:hyperlink>
            <w:r>
              <w:rPr>
                <w:rFonts w:ascii="Arial" w:cs="Arial" w:eastAsia="Arial" w:hAnsi="Arial"/>
                <w:sz w:val="18"/>
                <w:szCs w:val="18"/>
                <w:color w:val="0E32E1"/>
                <w:w w:val="89"/>
              </w:rPr>
              <w:t xml:space="preserve">three months ended March 31, 2021 </w:t>
            </w:r>
            <w:hyperlink w:anchor="page5">
              <w:r>
                <w:rPr>
                  <w:rFonts w:ascii="Arial" w:cs="Arial" w:eastAsia="Arial" w:hAnsi="Arial"/>
                  <w:sz w:val="18"/>
                  <w:szCs w:val="18"/>
                  <w:color w:val="0E32E1"/>
                  <w:w w:val="89"/>
                </w:rPr>
                <w:t>and</w:t>
              </w:r>
            </w:hyperlink>
          </w:p>
        </w:tc>
        <w:tc>
          <w:tcPr>
            <w:tcW w:w="240" w:type="dxa"/>
            <w:vAlign w:val="bottom"/>
            <w:gridSpan w:val="2"/>
          </w:tcPr>
          <w:p>
            <w:pPr>
              <w:spacing w:after="0"/>
              <w:rPr>
                <w:sz w:val="24"/>
                <w:szCs w:val="24"/>
                <w:color w:val="auto"/>
              </w:rPr>
            </w:pPr>
          </w:p>
        </w:tc>
        <w:tc>
          <w:tcPr>
            <w:tcW w:w="68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60" w:type="dxa"/>
            <w:vAlign w:val="bottom"/>
            <w:tcBorders>
              <w:top w:val="single" w:sz="8" w:color="0E32E1"/>
            </w:tcBorders>
            <w:gridSpan w:val="16"/>
          </w:tcPr>
          <w:p>
            <w:pPr>
              <w:spacing w:after="0" w:line="156" w:lineRule="exact"/>
              <w:rPr>
                <w:sz w:val="20"/>
                <w:szCs w:val="20"/>
                <w:color w:val="auto"/>
              </w:rPr>
            </w:pPr>
            <w:r>
              <w:rPr>
                <w:rFonts w:ascii="Arial" w:cs="Arial" w:eastAsia="Arial" w:hAnsi="Arial"/>
                <w:sz w:val="18"/>
                <w:szCs w:val="18"/>
                <w:color w:val="0E32E1"/>
              </w:rPr>
              <w:t>March 31, 2020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0" w:type="dxa"/>
            <w:vAlign w:val="bottom"/>
            <w:gridSpan w:val="17"/>
          </w:tcPr>
          <w:p>
            <w:pPr>
              <w:spacing w:after="0"/>
              <w:rPr>
                <w:rFonts w:ascii="Arial" w:cs="Arial" w:eastAsia="Arial" w:hAnsi="Arial"/>
                <w:sz w:val="18"/>
                <w:szCs w:val="18"/>
                <w:color w:val="0E32E1"/>
                <w:w w:val="89"/>
              </w:rPr>
            </w:pPr>
            <w:hyperlink w:anchor="page6">
              <w:r>
                <w:rPr>
                  <w:rFonts w:ascii="Arial" w:cs="Arial" w:eastAsia="Arial" w:hAnsi="Arial"/>
                  <w:sz w:val="18"/>
                  <w:szCs w:val="18"/>
                  <w:color w:val="0E32E1"/>
                  <w:w w:val="89"/>
                </w:rPr>
                <w:t xml:space="preserve">Unaudited Condensed Consolidated Statements of Equity for the </w:t>
              </w:r>
            </w:hyperlink>
            <w:r>
              <w:rPr>
                <w:rFonts w:ascii="Arial" w:cs="Arial" w:eastAsia="Arial" w:hAnsi="Arial"/>
                <w:sz w:val="18"/>
                <w:szCs w:val="18"/>
                <w:color w:val="0E32E1"/>
                <w:w w:val="89"/>
              </w:rPr>
              <w:t xml:space="preserve">three months ended March 31, 2021 </w:t>
            </w:r>
            <w:hyperlink w:anchor="page6">
              <w:r>
                <w:rPr>
                  <w:rFonts w:ascii="Arial" w:cs="Arial" w:eastAsia="Arial" w:hAnsi="Arial"/>
                  <w:sz w:val="18"/>
                  <w:szCs w:val="18"/>
                  <w:color w:val="0E32E1"/>
                  <w:w w:val="89"/>
                </w:rPr>
                <w:t xml:space="preserve">and </w:t>
              </w:r>
            </w:hyperlink>
            <w:r>
              <w:rPr>
                <w:rFonts w:ascii="Arial" w:cs="Arial" w:eastAsia="Arial" w:hAnsi="Arial"/>
                <w:sz w:val="18"/>
                <w:szCs w:val="18"/>
                <w:color w:val="0E32E1"/>
                <w:w w:val="89"/>
              </w:rPr>
              <w:t>March 31, 2020</w:t>
            </w:r>
          </w:p>
        </w:tc>
        <w:tc>
          <w:tcPr>
            <w:tcW w:w="10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440" w:type="dxa"/>
            <w:vAlign w:val="bottom"/>
            <w:tcBorders>
              <w:left w:val="single" w:sz="8" w:color="0E32E1"/>
            </w:tcBorders>
            <w:gridSpan w:val="3"/>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2340" w:type="dxa"/>
            <w:vAlign w:val="bottom"/>
            <w:tcBorders>
              <w:right w:val="single" w:sz="8" w:color="0E32E1"/>
            </w:tcBorders>
            <w:gridSpan w:val="3"/>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0" w:type="dxa"/>
            <w:vAlign w:val="bottom"/>
            <w:gridSpan w:val="17"/>
          </w:tcPr>
          <w:p>
            <w:pPr>
              <w:spacing w:after="0"/>
              <w:rPr>
                <w:rFonts w:ascii="Arial" w:cs="Arial" w:eastAsia="Arial" w:hAnsi="Arial"/>
                <w:sz w:val="18"/>
                <w:szCs w:val="18"/>
                <w:color w:val="0E32E1"/>
                <w:w w:val="89"/>
              </w:rPr>
            </w:pPr>
            <w:hyperlink w:anchor="page7">
              <w:r>
                <w:rPr>
                  <w:rFonts w:ascii="Arial" w:cs="Arial" w:eastAsia="Arial" w:hAnsi="Arial"/>
                  <w:sz w:val="18"/>
                  <w:szCs w:val="18"/>
                  <w:color w:val="0E32E1"/>
                  <w:w w:val="89"/>
                </w:rPr>
                <w:t xml:space="preserve">Unaudited Condensed Consolidated Statements of Cash Flows for the </w:t>
              </w:r>
            </w:hyperlink>
            <w:r>
              <w:rPr>
                <w:rFonts w:ascii="Arial" w:cs="Arial" w:eastAsia="Arial" w:hAnsi="Arial"/>
                <w:sz w:val="18"/>
                <w:szCs w:val="18"/>
                <w:color w:val="0E32E1"/>
                <w:w w:val="89"/>
              </w:rPr>
              <w:t xml:space="preserve">three months ended March 31, 2021 </w:t>
            </w:r>
            <w:hyperlink w:anchor="page7">
              <w:r>
                <w:rPr>
                  <w:rFonts w:ascii="Arial" w:cs="Arial" w:eastAsia="Arial" w:hAnsi="Arial"/>
                  <w:sz w:val="18"/>
                  <w:szCs w:val="18"/>
                  <w:color w:val="0E32E1"/>
                  <w:w w:val="89"/>
                </w:rPr>
                <w:t xml:space="preserve">and </w:t>
              </w:r>
            </w:hyperlink>
            <w:r>
              <w:rPr>
                <w:rFonts w:ascii="Arial" w:cs="Arial" w:eastAsia="Arial" w:hAnsi="Arial"/>
                <w:sz w:val="18"/>
                <w:szCs w:val="18"/>
                <w:color w:val="0E32E1"/>
                <w:w w:val="89"/>
              </w:rPr>
              <w:t>March 31,</w:t>
            </w:r>
          </w:p>
        </w:tc>
        <w:tc>
          <w:tcPr>
            <w:tcW w:w="100" w:type="dxa"/>
            <w:vAlign w:val="bottom"/>
          </w:tcPr>
          <w:p>
            <w:pPr>
              <w:spacing w:after="0"/>
              <w:rPr>
                <w:sz w:val="24"/>
                <w:szCs w:val="24"/>
                <w:color w:val="auto"/>
              </w:rPr>
            </w:pPr>
          </w:p>
        </w:tc>
        <w:tc>
          <w:tcPr>
            <w:tcW w:w="680" w:type="dxa"/>
            <w:vAlign w:val="bottom"/>
            <w:gridSpan w:val="4"/>
            <w:vMerge w:val="restart"/>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0E32E1"/>
            </w:tcBorders>
          </w:tcPr>
          <w:p>
            <w:pPr>
              <w:spacing w:after="0" w:line="156" w:lineRule="exact"/>
              <w:rPr>
                <w:sz w:val="20"/>
                <w:szCs w:val="20"/>
                <w:color w:val="auto"/>
              </w:rPr>
            </w:pPr>
            <w:r>
              <w:rPr>
                <w:rFonts w:ascii="Arial" w:cs="Arial" w:eastAsia="Arial" w:hAnsi="Arial"/>
                <w:sz w:val="18"/>
                <w:szCs w:val="18"/>
                <w:color w:val="0E32E1"/>
                <w:w w:val="84"/>
              </w:rPr>
              <w:t>2020</w:t>
            </w:r>
          </w:p>
        </w:tc>
        <w:tc>
          <w:tcPr>
            <w:tcW w:w="240" w:type="dxa"/>
            <w:vAlign w:val="bottom"/>
            <w:tcBorders>
              <w:top w:val="single" w:sz="8" w:color="0E32E1"/>
            </w:tcBorders>
          </w:tcPr>
          <w:p>
            <w:pPr>
              <w:spacing w:after="0"/>
              <w:rPr>
                <w:sz w:val="13"/>
                <w:szCs w:val="13"/>
                <w:color w:val="auto"/>
              </w:rPr>
            </w:pPr>
          </w:p>
        </w:tc>
        <w:tc>
          <w:tcPr>
            <w:tcW w:w="300" w:type="dxa"/>
            <w:vAlign w:val="bottom"/>
            <w:tcBorders>
              <w:top w:val="single" w:sz="8" w:color="0E32E1"/>
            </w:tcBorders>
          </w:tcPr>
          <w:p>
            <w:pPr>
              <w:spacing w:after="0"/>
              <w:rPr>
                <w:sz w:val="13"/>
                <w:szCs w:val="13"/>
                <w:color w:val="auto"/>
              </w:rPr>
            </w:pPr>
          </w:p>
        </w:tc>
        <w:tc>
          <w:tcPr>
            <w:tcW w:w="160" w:type="dxa"/>
            <w:vAlign w:val="bottom"/>
            <w:tcBorders>
              <w:top w:val="single" w:sz="8" w:color="0E32E1"/>
            </w:tcBorders>
          </w:tcPr>
          <w:p>
            <w:pPr>
              <w:spacing w:after="0"/>
              <w:rPr>
                <w:sz w:val="13"/>
                <w:szCs w:val="13"/>
                <w:color w:val="auto"/>
              </w:rPr>
            </w:pPr>
          </w:p>
        </w:tc>
        <w:tc>
          <w:tcPr>
            <w:tcW w:w="80" w:type="dxa"/>
            <w:vAlign w:val="bottom"/>
            <w:tcBorders>
              <w:top w:val="single" w:sz="8" w:color="0E32E1"/>
            </w:tcBorders>
          </w:tcPr>
          <w:p>
            <w:pPr>
              <w:spacing w:after="0"/>
              <w:rPr>
                <w:sz w:val="13"/>
                <w:szCs w:val="13"/>
                <w:color w:val="auto"/>
              </w:rPr>
            </w:pPr>
          </w:p>
        </w:tc>
        <w:tc>
          <w:tcPr>
            <w:tcW w:w="18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12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560" w:type="dxa"/>
            <w:vAlign w:val="bottom"/>
            <w:tcBorders>
              <w:top w:val="single" w:sz="8" w:color="0E32E1"/>
            </w:tcBorders>
          </w:tcPr>
          <w:p>
            <w:pPr>
              <w:spacing w:after="0"/>
              <w:rPr>
                <w:sz w:val="13"/>
                <w:szCs w:val="13"/>
                <w:color w:val="auto"/>
              </w:rPr>
            </w:pPr>
          </w:p>
        </w:tc>
        <w:tc>
          <w:tcPr>
            <w:tcW w:w="198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440" w:type="dxa"/>
            <w:vAlign w:val="bottom"/>
            <w:tcBorders>
              <w:top w:val="single" w:sz="8" w:color="0E32E1"/>
            </w:tcBorders>
          </w:tcPr>
          <w:p>
            <w:pPr>
              <w:spacing w:after="0"/>
              <w:rPr>
                <w:sz w:val="13"/>
                <w:szCs w:val="13"/>
                <w:color w:val="auto"/>
              </w:rPr>
            </w:pPr>
          </w:p>
        </w:tc>
        <w:tc>
          <w:tcPr>
            <w:tcW w:w="1680" w:type="dxa"/>
            <w:vAlign w:val="bottom"/>
            <w:tcBorders>
              <w:top w:val="single" w:sz="8" w:color="0E32E1"/>
            </w:tcBorders>
          </w:tcPr>
          <w:p>
            <w:pPr>
              <w:spacing w:after="0"/>
              <w:rPr>
                <w:sz w:val="13"/>
                <w:szCs w:val="13"/>
                <w:color w:val="auto"/>
              </w:rPr>
            </w:pPr>
          </w:p>
        </w:tc>
        <w:tc>
          <w:tcPr>
            <w:tcW w:w="680" w:type="dxa"/>
            <w:vAlign w:val="bottom"/>
            <w:tcBorders>
              <w:top w:val="single" w:sz="8" w:color="0E32E1"/>
            </w:tcBorders>
          </w:tcPr>
          <w:p>
            <w:pPr>
              <w:spacing w:after="0"/>
              <w:rPr>
                <w:sz w:val="13"/>
                <w:szCs w:val="13"/>
                <w:color w:val="auto"/>
              </w:rPr>
            </w:pPr>
          </w:p>
        </w:tc>
        <w:tc>
          <w:tcPr>
            <w:tcW w:w="1520" w:type="dxa"/>
            <w:vAlign w:val="bottom"/>
            <w:tcBorders>
              <w:top w:val="single" w:sz="8" w:color="0E32E1"/>
            </w:tcBorders>
          </w:tcPr>
          <w:p>
            <w:pPr>
              <w:spacing w:after="0"/>
              <w:rPr>
                <w:sz w:val="13"/>
                <w:szCs w:val="13"/>
                <w:color w:val="auto"/>
              </w:rPr>
            </w:pPr>
          </w:p>
        </w:tc>
        <w:tc>
          <w:tcPr>
            <w:tcW w:w="140" w:type="dxa"/>
            <w:vAlign w:val="bottom"/>
            <w:tcBorders>
              <w:top w:val="single" w:sz="8" w:color="0E32E1"/>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Unaudited Condensed Consolidated 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28">
              <w:r>
                <w:rPr>
                  <w:rFonts w:ascii="Arial" w:cs="Arial" w:eastAsia="Arial" w:hAnsi="Arial"/>
                  <w:sz w:val="18"/>
                  <w:szCs w:val="18"/>
                  <w:color w:val="0000FF"/>
                  <w:w w:val="85"/>
                </w:rPr>
                <w:t>ITEM 2.</w:t>
              </w:r>
            </w:hyperlink>
          </w:p>
        </w:tc>
        <w:tc>
          <w:tcPr>
            <w:tcW w:w="540" w:type="dxa"/>
            <w:vAlign w:val="bottom"/>
            <w:gridSpan w:val="2"/>
          </w:tcPr>
          <w:p>
            <w:pPr>
              <w:spacing w:after="0"/>
              <w:rPr>
                <w:sz w:val="24"/>
                <w:szCs w:val="24"/>
                <w:color w:val="auto"/>
              </w:rPr>
            </w:pPr>
          </w:p>
        </w:tc>
        <w:tc>
          <w:tcPr>
            <w:tcW w:w="646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Management’s Discussion and Analysis of Financial Condition and Results of Operations</w:t>
              </w:r>
            </w:hyperlink>
          </w:p>
        </w:tc>
        <w:tc>
          <w:tcPr>
            <w:tcW w:w="244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bottom w:val="single" w:sz="8" w:color="0000FF"/>
            </w:tcBorders>
            <w:gridSpan w:val="3"/>
          </w:tcPr>
          <w:p>
            <w:pPr>
              <w:jc w:val="right"/>
              <w:ind w:right="20"/>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26</w:t>
              </w:r>
            </w:hyperlink>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ITEM 3.</w:t>
              </w:r>
            </w:hyperlink>
          </w:p>
        </w:tc>
        <w:tc>
          <w:tcPr>
            <w:tcW w:w="540" w:type="dxa"/>
            <w:vAlign w:val="bottom"/>
            <w:gridSpan w:val="2"/>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Quantitative and Qualitative Disclosures about Market Risk</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ITEM 4</w:t>
              </w:r>
            </w:hyperlink>
          </w:p>
        </w:tc>
        <w:tc>
          <w:tcPr>
            <w:tcW w:w="540" w:type="dxa"/>
            <w:vAlign w:val="bottom"/>
            <w:gridSpan w:val="2"/>
          </w:tcPr>
          <w:p>
            <w:pPr>
              <w:spacing w:after="0"/>
              <w:rPr>
                <w:sz w:val="24"/>
                <w:szCs w:val="24"/>
                <w:color w:val="auto"/>
              </w:rPr>
            </w:pPr>
          </w:p>
        </w:tc>
        <w:tc>
          <w:tcPr>
            <w:tcW w:w="4300" w:type="dxa"/>
            <w:vAlign w:val="bottom"/>
            <w:gridSpan w:val="11"/>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Controls and Procedures</w:t>
              </w:r>
            </w:hyperlink>
          </w:p>
        </w:tc>
        <w:tc>
          <w:tcPr>
            <w:tcW w:w="460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34</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500" w:type="dxa"/>
            <w:vAlign w:val="bottom"/>
            <w:gridSpan w:val="2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PART II—OTHER INFORMATION</w:t>
              </w:r>
            </w:hyperlink>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ITEM 1.</w:t>
              </w:r>
            </w:hyperlink>
          </w:p>
        </w:tc>
        <w:tc>
          <w:tcPr>
            <w:tcW w:w="540" w:type="dxa"/>
            <w:vAlign w:val="bottom"/>
            <w:gridSpan w:val="2"/>
          </w:tcPr>
          <w:p>
            <w:pPr>
              <w:spacing w:after="0"/>
              <w:rPr>
                <w:sz w:val="24"/>
                <w:szCs w:val="24"/>
                <w:color w:val="auto"/>
              </w:rPr>
            </w:pPr>
          </w:p>
        </w:tc>
        <w:tc>
          <w:tcPr>
            <w:tcW w:w="1320" w:type="dxa"/>
            <w:vAlign w:val="bottom"/>
            <w:gridSpan w:val="6"/>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Legal Proceedings</w:t>
              </w:r>
            </w:hyperlink>
          </w:p>
        </w:tc>
        <w:tc>
          <w:tcPr>
            <w:tcW w:w="758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35</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800" w:type="dxa"/>
            <w:vAlign w:val="bottom"/>
            <w:gridSpan w:val="3"/>
          </w:tcPr>
          <w:p>
            <w:pPr>
              <w:spacing w:after="0"/>
              <w:rPr>
                <w:rFonts w:ascii="Arial" w:cs="Arial" w:eastAsia="Arial" w:hAnsi="Arial"/>
                <w:sz w:val="18"/>
                <w:szCs w:val="18"/>
                <w:color w:val="0000FF"/>
                <w:w w:val="97"/>
              </w:rPr>
            </w:pPr>
            <w:hyperlink w:anchor="page38">
              <w:r>
                <w:rPr>
                  <w:rFonts w:ascii="Arial" w:cs="Arial" w:eastAsia="Arial" w:hAnsi="Arial"/>
                  <w:sz w:val="18"/>
                  <w:szCs w:val="18"/>
                  <w:color w:val="0000FF"/>
                  <w:w w:val="97"/>
                </w:rPr>
                <w:t>ITEM 1.A.</w:t>
              </w:r>
            </w:hyperlink>
          </w:p>
        </w:tc>
        <w:tc>
          <w:tcPr>
            <w:tcW w:w="32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Risk Factors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ITEM 2.</w:t>
              </w:r>
            </w:hyperlink>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ITEM 3.</w:t>
              </w:r>
            </w:hyperlink>
          </w:p>
        </w:tc>
        <w:tc>
          <w:tcPr>
            <w:tcW w:w="540" w:type="dxa"/>
            <w:vAlign w:val="bottom"/>
            <w:gridSpan w:val="2"/>
          </w:tcPr>
          <w:p>
            <w:pPr>
              <w:spacing w:after="0"/>
              <w:rPr>
                <w:sz w:val="24"/>
                <w:szCs w:val="24"/>
                <w:color w:val="auto"/>
              </w:rPr>
            </w:pPr>
          </w:p>
        </w:tc>
        <w:tc>
          <w:tcPr>
            <w:tcW w:w="4340" w:type="dxa"/>
            <w:vAlign w:val="bottom"/>
            <w:gridSpan w:val="1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Defaults Upon Senior Securities</w:t>
              </w:r>
            </w:hyperlink>
          </w:p>
        </w:tc>
        <w:tc>
          <w:tcPr>
            <w:tcW w:w="456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35</w:t>
              </w:r>
            </w:hyperlink>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tcBorders>
              <w:top w:val="single" w:sz="8" w:color="0000FF"/>
            </w:tcBorders>
            <w:gridSpan w:val="2"/>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ITEM 4.</w:t>
              </w:r>
            </w:hyperlink>
          </w:p>
        </w:tc>
        <w:tc>
          <w:tcPr>
            <w:tcW w:w="540" w:type="dxa"/>
            <w:vAlign w:val="bottom"/>
            <w:gridSpan w:val="2"/>
          </w:tcPr>
          <w:p>
            <w:pPr>
              <w:spacing w:after="0"/>
              <w:rPr>
                <w:sz w:val="24"/>
                <w:szCs w:val="24"/>
                <w:color w:val="auto"/>
              </w:rPr>
            </w:pPr>
          </w:p>
        </w:tc>
        <w:tc>
          <w:tcPr>
            <w:tcW w:w="2320" w:type="dxa"/>
            <w:vAlign w:val="bottom"/>
            <w:tcBorders>
              <w:top w:val="single" w:sz="8" w:color="0000FF"/>
            </w:tcBorders>
            <w:gridSpan w:val="10"/>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Mine Safety Disclosures</w:t>
              </w:r>
            </w:hyperlink>
          </w:p>
        </w:tc>
        <w:tc>
          <w:tcPr>
            <w:tcW w:w="658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714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ITEM 5.</w:t>
              </w:r>
            </w:hyperlink>
          </w:p>
        </w:tc>
        <w:tc>
          <w:tcPr>
            <w:tcW w:w="540" w:type="dxa"/>
            <w:vAlign w:val="bottom"/>
            <w:gridSpan w:val="2"/>
          </w:tcPr>
          <w:p>
            <w:pPr>
              <w:spacing w:after="0"/>
              <w:rPr>
                <w:sz w:val="24"/>
                <w:szCs w:val="24"/>
                <w:color w:val="auto"/>
              </w:rPr>
            </w:pPr>
          </w:p>
        </w:tc>
        <w:tc>
          <w:tcPr>
            <w:tcW w:w="1320" w:type="dxa"/>
            <w:vAlign w:val="bottom"/>
            <w:gridSpan w:val="6"/>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Other Information</w:t>
              </w:r>
            </w:hyperlink>
          </w:p>
        </w:tc>
        <w:tc>
          <w:tcPr>
            <w:tcW w:w="440" w:type="dxa"/>
            <w:vAlign w:val="bottom"/>
            <w:gridSpan w:val="3"/>
          </w:tcPr>
          <w:p>
            <w:pPr>
              <w:spacing w:after="0"/>
              <w:rPr>
                <w:sz w:val="24"/>
                <w:szCs w:val="24"/>
                <w:color w:val="auto"/>
              </w:rPr>
            </w:pPr>
          </w:p>
        </w:tc>
        <w:tc>
          <w:tcPr>
            <w:tcW w:w="7140" w:type="dxa"/>
            <w:vAlign w:val="bottom"/>
            <w:gridSpan w:val="9"/>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35</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39">
              <w:r>
                <w:rPr>
                  <w:rFonts w:ascii="Arial" w:cs="Arial" w:eastAsia="Arial" w:hAnsi="Arial"/>
                  <w:sz w:val="18"/>
                  <w:szCs w:val="18"/>
                  <w:color w:val="0000FF"/>
                  <w:w w:val="85"/>
                </w:rPr>
                <w:t>ITEM 6.</w:t>
              </w:r>
            </w:hyperlink>
          </w:p>
        </w:tc>
        <w:tc>
          <w:tcPr>
            <w:tcW w:w="540" w:type="dxa"/>
            <w:vAlign w:val="bottom"/>
            <w:gridSpan w:val="2"/>
          </w:tcPr>
          <w:p>
            <w:pPr>
              <w:spacing w:after="0"/>
              <w:rPr>
                <w:sz w:val="24"/>
                <w:szCs w:val="24"/>
                <w:color w:val="auto"/>
              </w:rPr>
            </w:pPr>
          </w:p>
        </w:tc>
        <w:tc>
          <w:tcPr>
            <w:tcW w:w="600" w:type="dxa"/>
            <w:vAlign w:val="bottom"/>
            <w:gridSpan w:val="2"/>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Exhibits</w:t>
              </w:r>
            </w:hyperlink>
          </w:p>
        </w:tc>
        <w:tc>
          <w:tcPr>
            <w:tcW w:w="720" w:type="dxa"/>
            <w:vAlign w:val="bottom"/>
            <w:gridSpan w:val="4"/>
          </w:tcPr>
          <w:p>
            <w:pPr>
              <w:spacing w:after="0"/>
              <w:rPr>
                <w:sz w:val="24"/>
                <w:szCs w:val="24"/>
                <w:color w:val="auto"/>
              </w:rPr>
            </w:pPr>
          </w:p>
        </w:tc>
        <w:tc>
          <w:tcPr>
            <w:tcW w:w="758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37</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gridSpan w:val="5"/>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SIGNATURES</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and per share data</w:t>
      </w:r>
      <w:r>
        <w:rPr>
          <w:rFonts w:ascii="Arial" w:cs="Arial" w:eastAsia="Arial" w:hAnsi="Arial"/>
          <w:sz w:val="18"/>
          <w:szCs w:val="18"/>
          <w:color w:val="auto"/>
        </w:rPr>
        <w: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6"/>
              </w:rPr>
              <w:t>March 31, 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6"/>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24,177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25,760</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107,628</w:t>
            </w:r>
          </w:p>
        </w:tc>
        <w:tc>
          <w:tcPr>
            <w:tcW w:w="0" w:type="dxa"/>
            <w:vAlign w:val="bottom"/>
          </w:tcPr>
          <w:p>
            <w:pPr>
              <w:spacing w:after="0"/>
              <w:rPr>
                <w:sz w:val="1"/>
                <w:szCs w:val="1"/>
                <w:color w:val="auto"/>
              </w:rPr>
            </w:pP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13,134</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16,066</w:t>
            </w:r>
          </w:p>
        </w:tc>
        <w:tc>
          <w:tcPr>
            <w:tcW w:w="0" w:type="dxa"/>
            <w:vAlign w:val="bottom"/>
          </w:tcPr>
          <w:p>
            <w:pPr>
              <w:spacing w:after="0"/>
              <w:rPr>
                <w:sz w:val="1"/>
                <w:szCs w:val="1"/>
                <w:color w:val="auto"/>
              </w:rPr>
            </w:pPr>
          </w:p>
        </w:tc>
      </w:tr>
      <w:tr>
        <w:trPr>
          <w:trHeight w:val="223"/>
        </w:trPr>
        <w:tc>
          <w:tcPr>
            <w:tcW w:w="79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169,969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162,588</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92,681</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66,222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68,642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206,008</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51,325</w:t>
            </w:r>
          </w:p>
        </w:tc>
        <w:tc>
          <w:tcPr>
            <w:tcW w:w="0" w:type="dxa"/>
            <w:vAlign w:val="bottom"/>
          </w:tcPr>
          <w:p>
            <w:pPr>
              <w:spacing w:after="0"/>
              <w:rPr>
                <w:sz w:val="1"/>
                <w:szCs w:val="1"/>
                <w:color w:val="auto"/>
              </w:rPr>
            </w:pPr>
          </w:p>
        </w:tc>
      </w:tr>
      <w:tr>
        <w:trPr>
          <w:trHeight w:val="223"/>
        </w:trPr>
        <w:tc>
          <w:tcPr>
            <w:tcW w:w="79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584,401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583,313</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w:t>
            </w:r>
          </w:p>
        </w:tc>
        <w:tc>
          <w:tcPr>
            <w:tcW w:w="0" w:type="dxa"/>
            <w:vAlign w:val="bottom"/>
          </w:tcPr>
          <w:p>
            <w:pPr>
              <w:spacing w:after="0"/>
              <w:rPr>
                <w:sz w:val="1"/>
                <w:szCs w:val="1"/>
                <w:color w:val="auto"/>
              </w:rPr>
            </w:pP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83,629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78,500</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0" w:type="dxa"/>
            <w:vAlign w:val="bottom"/>
          </w:tcPr>
          <w:p>
            <w:pPr>
              <w:spacing w:after="0"/>
              <w:rPr>
                <w:sz w:val="1"/>
                <w:szCs w:val="1"/>
                <w:color w:val="auto"/>
              </w:rPr>
            </w:pP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Current portion of finance lease obligations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23"/>
        </w:trPr>
        <w:tc>
          <w:tcPr>
            <w:tcW w:w="79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109,847</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209,538</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Obligations under finance leases, net of current portion</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11,115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8,236</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47,358</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386,094</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Preferred stock, 10,000,000 shares authorized</w:t>
            </w: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9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Common stock, $0.01 par value, 200,000,000 shares authorized, 29,346,562 and 29,234,143 shares issued</w:t>
            </w:r>
          </w:p>
        </w:tc>
        <w:tc>
          <w:tcPr>
            <w:tcW w:w="2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outstanding</w:t>
            </w:r>
          </w:p>
        </w:tc>
        <w:tc>
          <w:tcPr>
            <w:tcW w:w="2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235,413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234,638</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(21,848)</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(16,061)</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Mistras Group, Inc. stockholders’ equity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197,021</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197,219</w:t>
            </w:r>
          </w:p>
        </w:tc>
        <w:tc>
          <w:tcPr>
            <w:tcW w:w="0" w:type="dxa"/>
            <w:vAlign w:val="bottom"/>
          </w:tcPr>
          <w:p>
            <w:pPr>
              <w:spacing w:after="0"/>
              <w:rPr>
                <w:sz w:val="1"/>
                <w:szCs w:val="1"/>
                <w:color w:val="auto"/>
              </w:rPr>
            </w:pPr>
          </w:p>
        </w:tc>
      </w:tr>
      <w:tr>
        <w:trPr>
          <w:trHeight w:val="223"/>
        </w:trPr>
        <w:tc>
          <w:tcPr>
            <w:tcW w:w="7900" w:type="dxa"/>
            <w:vAlign w:val="bottom"/>
          </w:tcPr>
          <w:p>
            <w:pPr>
              <w:ind w:left="36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584,401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583,313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Statements of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7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r>
      <w:tr>
        <w:trPr>
          <w:trHeight w:val="62"/>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159,465</w:t>
            </w:r>
          </w:p>
        </w:tc>
      </w:tr>
      <w:tr>
        <w:trPr>
          <w:trHeight w:val="229"/>
        </w:trPr>
        <w:tc>
          <w:tcPr>
            <w:tcW w:w="7900" w:type="dxa"/>
            <w:vAlign w:val="bottom"/>
          </w:tcPr>
          <w:p>
            <w:pPr>
              <w:ind w:left="120"/>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108,243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113,324</w:t>
            </w: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5,497</w:t>
            </w: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40,644</w:t>
            </w: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41,558</w:t>
            </w: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Impairment charges</w:t>
            </w:r>
          </w:p>
        </w:tc>
        <w:tc>
          <w:tcPr>
            <w:tcW w:w="3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106,062</w:t>
            </w: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Legal settlement and litigation charges,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tcPr>
          <w:p>
            <w:pPr>
              <w:ind w:left="120"/>
              <w:spacing w:after="0"/>
              <w:rPr>
                <w:sz w:val="20"/>
                <w:szCs w:val="20"/>
                <w:color w:val="auto"/>
              </w:rPr>
            </w:pPr>
            <w:r>
              <w:rPr>
                <w:rFonts w:ascii="Arial" w:cs="Arial" w:eastAsia="Arial" w:hAnsi="Arial"/>
                <w:sz w:val="18"/>
                <w:szCs w:val="18"/>
                <w:color w:val="auto"/>
              </w:rPr>
              <w:t>Research and engineering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r>
      <w:tr>
        <w:trPr>
          <w:trHeight w:val="229"/>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Acquisition-related expense (benefit), net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(111,228)</w:t>
            </w:r>
          </w:p>
        </w:tc>
      </w:tr>
      <w:tr>
        <w:trPr>
          <w:trHeight w:val="229"/>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w:t>
            </w:r>
          </w:p>
        </w:tc>
      </w:tr>
      <w:tr>
        <w:trPr>
          <w:trHeight w:val="223"/>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benefit for income taxes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(114,017)</w:t>
            </w:r>
          </w:p>
        </w:tc>
      </w:tr>
      <w:tr>
        <w:trPr>
          <w:trHeight w:val="229"/>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Benefit for income taxes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(15,495)</w:t>
            </w:r>
          </w:p>
        </w:tc>
      </w:tr>
      <w:tr>
        <w:trPr>
          <w:trHeight w:val="223"/>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(98,522)</w:t>
            </w:r>
          </w:p>
        </w:tc>
      </w:tr>
      <w:tr>
        <w:trPr>
          <w:trHeight w:val="229"/>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net income (loss) attributable to noncontrolling interests, net of taxes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Mistras Group, Inc.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Loss per common share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00" w:type="dxa"/>
            <w:vAlign w:val="bottom"/>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30"/>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28,963</w:t>
            </w:r>
          </w:p>
        </w:tc>
      </w:tr>
      <w:tr>
        <w:trPr>
          <w:trHeight w:val="230"/>
        </w:trPr>
        <w:tc>
          <w:tcPr>
            <w:tcW w:w="7900" w:type="dxa"/>
            <w:vAlign w:val="bottom"/>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28,963</w:t>
            </w:r>
          </w:p>
        </w:tc>
      </w:tr>
    </w:tbl>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280" w:type="dxa"/>
            <w:vAlign w:val="bottom"/>
            <w:tcBorders>
              <w:bottom w:val="single" w:sz="8" w:color="auto"/>
            </w:tcBorders>
            <w:gridSpan w:val="5"/>
          </w:tcPr>
          <w:p>
            <w:pPr>
              <w:jc w:val="right"/>
              <w:ind w:right="593"/>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79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r>
      <w:tr>
        <w:trPr>
          <w:trHeight w:val="197"/>
        </w:trPr>
        <w:tc>
          <w:tcPr>
            <w:tcW w:w="7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(5,359)</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(98,522)</w:t>
            </w: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(17,015)</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Comprehensive loss</w:t>
            </w:r>
          </w:p>
        </w:tc>
        <w:tc>
          <w:tcPr>
            <w:tcW w:w="9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(5,951)</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(115,537)</w:t>
            </w: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net income (loss) attributable to noncontrolling interest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Foreign currency translation adjustments attributable to noncontrolling interests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attributable to Mistras Group, Inc.</w:t>
            </w:r>
          </w:p>
        </w:tc>
        <w:tc>
          <w:tcPr>
            <w:tcW w:w="98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(5,954)</w:t>
            </w:r>
          </w:p>
        </w:tc>
        <w:tc>
          <w:tcPr>
            <w:tcW w:w="120" w:type="dxa"/>
            <w:vAlign w:val="bottom"/>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(115,518)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Condensed Consolidated Statements of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9"/>
              </w:rPr>
              <w:t>Mistras Group,</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700" w:type="dxa"/>
            <w:vAlign w:val="bottom"/>
            <w:gridSpan w:val="5"/>
          </w:tcPr>
          <w:p>
            <w:pPr>
              <w:ind w:left="38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118"/>
              <w:spacing w:after="0"/>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Inc.</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Additional</w:t>
            </w:r>
          </w:p>
        </w:tc>
        <w:tc>
          <w:tcPr>
            <w:tcW w:w="160" w:type="dxa"/>
            <w:vAlign w:val="bottom"/>
          </w:tcPr>
          <w:p>
            <w:pPr>
              <w:spacing w:after="0"/>
              <w:rPr>
                <w:sz w:val="4"/>
                <w:szCs w:val="4"/>
                <w:color w:val="auto"/>
              </w:rPr>
            </w:pPr>
          </w:p>
        </w:tc>
        <w:tc>
          <w:tcPr>
            <w:tcW w:w="820" w:type="dxa"/>
            <w:vAlign w:val="bottom"/>
            <w:vMerge w:val="restart"/>
          </w:tcPr>
          <w:p>
            <w:pPr>
              <w:jc w:val="center"/>
              <w:ind w:right="98"/>
              <w:spacing w:after="0" w:line="95" w:lineRule="exact"/>
              <w:rPr>
                <w:sz w:val="20"/>
                <w:szCs w:val="20"/>
                <w:color w:val="auto"/>
              </w:rPr>
            </w:pPr>
            <w:r>
              <w:rPr>
                <w:rFonts w:ascii="Arial" w:cs="Arial" w:eastAsia="Arial" w:hAnsi="Arial"/>
                <w:sz w:val="10"/>
                <w:szCs w:val="10"/>
                <w:b w:val="1"/>
                <w:bCs w:val="1"/>
                <w:color w:val="auto"/>
              </w:rPr>
              <w:t>earnings</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other</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Stockholders’</w:t>
            </w:r>
          </w:p>
        </w:tc>
        <w:tc>
          <w:tcPr>
            <w:tcW w:w="120" w:type="dxa"/>
            <w:vAlign w:val="bottom"/>
          </w:tcPr>
          <w:p>
            <w:pPr>
              <w:spacing w:after="0"/>
              <w:rPr>
                <w:sz w:val="4"/>
                <w:szCs w:val="4"/>
                <w:color w:val="auto"/>
              </w:rPr>
            </w:pPr>
          </w:p>
        </w:tc>
        <w:tc>
          <w:tcPr>
            <w:tcW w:w="116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Noncontrolling</w:t>
            </w: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line="20" w:lineRule="exact"/>
              <w:rPr>
                <w:sz w:val="1"/>
                <w:szCs w:val="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line="20" w:lineRule="exact"/>
              <w:rPr>
                <w:sz w:val="1"/>
                <w:szCs w:val="1"/>
                <w:color w:val="auto"/>
              </w:rPr>
            </w:pPr>
          </w:p>
        </w:tc>
      </w:tr>
      <w:tr>
        <w:trPr>
          <w:trHeight w:val="170"/>
        </w:trPr>
        <w:tc>
          <w:tcPr>
            <w:tcW w:w="24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paid-in capital</w:t>
            </w:r>
          </w:p>
        </w:tc>
        <w:tc>
          <w:tcPr>
            <w:tcW w:w="160" w:type="dxa"/>
            <w:vAlign w:val="bottom"/>
          </w:tcPr>
          <w:p>
            <w:pPr>
              <w:spacing w:after="0"/>
              <w:rPr>
                <w:sz w:val="14"/>
                <w:szCs w:val="14"/>
                <w:color w:val="auto"/>
              </w:rPr>
            </w:pPr>
          </w:p>
        </w:tc>
        <w:tc>
          <w:tcPr>
            <w:tcW w:w="820" w:type="dxa"/>
            <w:vAlign w:val="bottom"/>
          </w:tcPr>
          <w:p>
            <w:pPr>
              <w:jc w:val="center"/>
              <w:ind w:right="98"/>
              <w:spacing w:after="0"/>
              <w:rPr>
                <w:sz w:val="20"/>
                <w:szCs w:val="20"/>
                <w:color w:val="auto"/>
              </w:rPr>
            </w:pPr>
            <w:r>
              <w:rPr>
                <w:rFonts w:ascii="Arial" w:cs="Arial" w:eastAsia="Arial" w:hAnsi="Arial"/>
                <w:sz w:val="13"/>
                <w:szCs w:val="13"/>
                <w:b w:val="1"/>
                <w:bCs w:val="1"/>
                <w:color w:val="auto"/>
                <w:w w:val="89"/>
              </w:rPr>
              <w:t>(deficit)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3"/>
              </w:rPr>
              <w:t>comprehensive loss</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Equity</w:t>
            </w: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42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234,638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(21,848)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(16,061)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197,021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197,219</w:t>
            </w: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(5,362)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(5,362)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(5,359)</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 net of tax</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w:t>
            </w: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Arial" w:cs="Arial" w:eastAsia="Arial" w:hAnsi="Arial"/>
                <w:sz w:val="13"/>
                <w:szCs w:val="13"/>
                <w:color w:val="auto"/>
              </w:rPr>
              <w:t>Share-based payments</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1,262</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settlement of restricted stock units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w:t>
            </w:r>
          </w:p>
        </w:tc>
        <w:tc>
          <w:tcPr>
            <w:tcW w:w="0" w:type="dxa"/>
            <w:vAlign w:val="bottom"/>
          </w:tcPr>
          <w:p>
            <w:pPr>
              <w:spacing w:after="0"/>
              <w:rPr>
                <w:sz w:val="1"/>
                <w:szCs w:val="1"/>
                <w:color w:val="auto"/>
              </w:rPr>
            </w:pPr>
          </w:p>
        </w:tc>
      </w:tr>
      <w:tr>
        <w:trPr>
          <w:trHeight w:val="169"/>
        </w:trPr>
        <w:tc>
          <w:tcPr>
            <w:tcW w:w="242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29,347</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235,413</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(27,210)</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(16,653)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191,843</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192,044</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2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42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720" w:type="dxa"/>
            <w:vAlign w:val="bottom"/>
          </w:tcPr>
          <w:p>
            <w:pPr>
              <w:jc w:val="right"/>
              <w:spacing w:after="0"/>
              <w:rPr>
                <w:sz w:val="20"/>
                <w:szCs w:val="20"/>
                <w:color w:val="auto"/>
              </w:rPr>
            </w:pPr>
            <w:r>
              <w:rPr>
                <w:rFonts w:ascii="Arial" w:cs="Arial" w:eastAsia="Arial" w:hAnsi="Arial"/>
                <w:sz w:val="13"/>
                <w:szCs w:val="13"/>
                <w:color w:val="auto"/>
              </w:rPr>
              <w:t>28,945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289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229,205</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77,613</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(21,285)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285,822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286,022</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(98,509)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(98,509)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(98,522)</w:t>
            </w: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Arial" w:cs="Arial" w:eastAsia="Arial" w:hAnsi="Arial"/>
                <w:sz w:val="13"/>
                <w:szCs w:val="13"/>
                <w:color w:val="auto"/>
              </w:rPr>
              <w:t>Other comprehensive loss, net of tax</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(17,009)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(17,009)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(17,015)</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1,425</w:t>
            </w:r>
          </w:p>
        </w:tc>
        <w:tc>
          <w:tcPr>
            <w:tcW w:w="0" w:type="dxa"/>
            <w:vAlign w:val="bottom"/>
          </w:tcPr>
          <w:p>
            <w:pPr>
              <w:spacing w:after="0"/>
              <w:rPr>
                <w:sz w:val="1"/>
                <w:szCs w:val="1"/>
                <w:color w:val="auto"/>
              </w:rPr>
            </w:pPr>
          </w:p>
        </w:tc>
      </w:tr>
      <w:tr>
        <w:trPr>
          <w:trHeight w:val="169"/>
        </w:trPr>
        <w:tc>
          <w:tcPr>
            <w:tcW w:w="2420" w:type="dxa"/>
            <w:vAlign w:val="bottom"/>
          </w:tcPr>
          <w:p>
            <w:pPr>
              <w:ind w:left="20"/>
              <w:spacing w:after="0"/>
              <w:rPr>
                <w:sz w:val="20"/>
                <w:szCs w:val="20"/>
                <w:color w:val="auto"/>
              </w:rPr>
            </w:pPr>
            <w:r>
              <w:rPr>
                <w:rFonts w:ascii="Arial" w:cs="Arial" w:eastAsia="Arial" w:hAnsi="Arial"/>
                <w:sz w:val="13"/>
                <w:szCs w:val="13"/>
                <w:color w:val="auto"/>
              </w:rPr>
              <w:t>Net settlement of restricted stock units</w:t>
            </w:r>
          </w:p>
        </w:tc>
        <w:tc>
          <w:tcPr>
            <w:tcW w:w="720" w:type="dxa"/>
            <w:vAlign w:val="bottom"/>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201"/>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230,472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171,572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171,753</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186"/>
        </w:trPr>
        <w:tc>
          <w:tcPr>
            <w:tcW w:w="78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r>
      <w:tr>
        <w:trPr>
          <w:trHeight w:val="220"/>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195"/>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(98,522)</w:t>
            </w:r>
          </w:p>
        </w:tc>
      </w:tr>
      <w:tr>
        <w:trPr>
          <w:trHeight w:val="186"/>
        </w:trPr>
        <w:tc>
          <w:tcPr>
            <w:tcW w:w="788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8,565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9,467</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Impairment charges</w:t>
            </w:r>
          </w:p>
        </w:tc>
        <w:tc>
          <w:tcPr>
            <w:tcW w:w="100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w w:val="98"/>
              </w:rPr>
              <w:t>106,062</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866</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(13,739)</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Share-based compensation expense</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1,262</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1,345</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Fair value adjustments to contingent consideration</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Foreign currency (gain) loss</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307</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w:t>
            </w:r>
          </w:p>
        </w:tc>
      </w:tr>
      <w:tr>
        <w:trPr>
          <w:trHeight w:val="186"/>
        </w:trPr>
        <w:tc>
          <w:tcPr>
            <w:tcW w:w="788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 net of effect of acquisitions and dispositions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(5,417)</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7,884</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Inventories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(405)</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assets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(4,944)</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942</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(1,526)</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6,881</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(3,315)</w:t>
            </w:r>
          </w:p>
        </w:tc>
      </w:tr>
      <w:tr>
        <w:trPr>
          <w:trHeight w:val="186"/>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taxes payable</w:t>
            </w: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86"/>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3,148</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6,107</w:t>
            </w:r>
          </w:p>
        </w:tc>
      </w:tr>
      <w:tr>
        <w:trPr>
          <w:trHeight w:val="188"/>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0"/>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property, plant and equipment</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(4,003)</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(4,301)</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Purchase of intangible assets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business, net of cash acquired</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6"/>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Proceeds from sale of equipment</w:t>
            </w: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588</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184</w:t>
            </w:r>
          </w:p>
        </w:tc>
      </w:tr>
      <w:tr>
        <w:trPr>
          <w:trHeight w:val="186"/>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(4,176)</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(4,204)</w:t>
            </w:r>
          </w:p>
        </w:tc>
      </w:tr>
      <w:tr>
        <w:trPr>
          <w:trHeight w:val="188"/>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0"/>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finance lease obligations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Proceeds from borrowings of long-term debt</w:t>
            </w:r>
          </w:p>
        </w:tc>
        <w:tc>
          <w:tcPr>
            <w:tcW w:w="100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280</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long-term debt</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(2,323)</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(1,639)</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Proceeds from revolver</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23,000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13,500</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revolver</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(17,750)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Payment of financing costs</w:t>
            </w:r>
          </w:p>
        </w:tc>
        <w:tc>
          <w:tcPr>
            <w:tcW w:w="100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(522)</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 of contingent consideration for business acquisitions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w:t>
            </w:r>
          </w:p>
        </w:tc>
      </w:tr>
      <w:tr>
        <w:trPr>
          <w:trHeight w:val="186"/>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Taxes paid related to net share settlement of share-based awards</w:t>
            </w: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r>
      <w:tr>
        <w:trPr>
          <w:trHeight w:val="186"/>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492</w:t>
            </w:r>
          </w:p>
        </w:tc>
      </w:tr>
      <w:tr>
        <w:trPr>
          <w:trHeight w:val="186"/>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Effect of exchange rate changes on cash and cash equivalents</w:t>
            </w: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(990)</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w:t>
            </w:r>
          </w:p>
        </w:tc>
      </w:tr>
      <w:tr>
        <w:trPr>
          <w:trHeight w:val="186"/>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2,011</w:t>
            </w:r>
          </w:p>
        </w:tc>
      </w:tr>
      <w:tr>
        <w:trPr>
          <w:trHeight w:val="186"/>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25,760</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15,016</w:t>
            </w:r>
          </w:p>
        </w:tc>
      </w:tr>
      <w:tr>
        <w:trPr>
          <w:trHeight w:val="186"/>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00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24,177</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17,027</w:t>
            </w:r>
          </w:p>
        </w:tc>
      </w:tr>
      <w:tr>
        <w:trPr>
          <w:trHeight w:val="177"/>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paid</w:t>
            </w: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95"/>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net</w:t>
            </w: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2,916</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2,726</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Income taxes, net of refunds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2,877</w:t>
            </w:r>
          </w:p>
        </w:tc>
        <w:tc>
          <w:tcPr>
            <w:tcW w:w="10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61</w:t>
            </w:r>
          </w:p>
        </w:tc>
      </w:tr>
      <w:tr>
        <w:trPr>
          <w:trHeight w:val="192"/>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and financing</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Equipment acquired through finance lease obligations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643</w:t>
            </w:r>
          </w:p>
        </w:tc>
        <w:tc>
          <w:tcPr>
            <w:tcW w:w="100" w:type="dxa"/>
            <w:vAlign w:val="bottom"/>
          </w:tcPr>
          <w:p>
            <w:pPr>
              <w:spacing w:after="0"/>
              <w:rPr>
                <w:sz w:val="15"/>
                <w:szCs w:val="15"/>
                <w:color w:val="auto"/>
              </w:rPr>
            </w:pP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667</w:t>
            </w:r>
          </w:p>
        </w:tc>
      </w:tr>
    </w:tbl>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Mistras Group, Inc. and subsidiaries (the Company) is a leading “OneSource™” multinational provider of integrated technology-enabled asset protection solutions helping to maximize the safety and operational uptime for civilization's most critical industrial and civil assets.</w:t>
      </w:r>
    </w:p>
    <w:p>
      <w:pPr>
        <w:spacing w:after="0" w:line="19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Backed by an innovative, data-driven asset protection portfolio, proprietary technologies, and decades-long legacy of industry leadership, the Company helps clients in the oil and gas, aerospace and defense, power generation, civil infrastructure, and manufacturing industries towards achieving and maintaining operational excellence. By supporting these organizations that help fuel our vehicles and power our society; inspecting components that are trusted for commercial, defense, and space craft; and building real-time monitoring equipment to enable safe travel across bridges, the Company helps the world at large.</w:t>
      </w:r>
    </w:p>
    <w:p>
      <w:pPr>
        <w:spacing w:after="0" w:line="21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enhances value for its clients by integrating asset protection throughout supply chains and centralizing integrity data through a suite of Industrial IoT-connected digital software and monitoring solutions.</w:t>
      </w:r>
    </w:p>
    <w:p>
      <w:pPr>
        <w:spacing w:after="0" w:line="19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1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Company serves a global customer base of companies with asset-intensive infrastructure, including companies in the oil and gas, commercial aerospace and defense, fossil and nuclear power, alternative and renewable energy, public infrastructure, chemicals, transportation, primary metals and metalworking, pharmaceutical/biotechnology and food processing industries, and research and engineering institutions.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COVID-19 coronavirus (COVID-19) pandemic has caused significant volatility in domestic and international markets and is expected to continue to result in significant economic disruption.</w:t>
      </w:r>
    </w:p>
    <w:p>
      <w:pPr>
        <w:spacing w:after="0" w:line="19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Company's businesses have been classified as non-healthcare critical infrastructure as defined by the U.S. Centers for Disease Control and Prevention (CDC). As a result, a majority of the Company's customers have been and currently remain open for business. North American facilities have remained, and currently remain operating, with modified staffing in certain locations where appropriate. Similarly, our European facilities have remained, and currently remain operating, with modified staffing in certain locations where appropriate, but at a slower pace than North America.</w:t>
      </w:r>
    </w:p>
    <w:p>
      <w:pPr>
        <w:spacing w:after="0" w:line="19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Overall, the Company has taken actions to ensure the health and safety of Company employees and those of its customers and suppliers; maintain business continuity and financial strength and stability; and serve customers as they provide essential products and services to the world.</w:t>
      </w:r>
    </w:p>
    <w:p>
      <w:pPr>
        <w:spacing w:after="0" w:line="173"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COVID-19 pandemic, significant volatility in oil prices, and decreased traffic in the aerospace industry have adversely affected the operations of the Company's customers, suppliers and contractors, and as a consequence, the Company's results of operations. These negative factors have also resulted in significant volatility and uncertainty in the markets in which the Company operates.</w:t>
      </w:r>
    </w:p>
    <w:p>
      <w:pPr>
        <w:spacing w:after="0" w:line="2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While the Company cannot fully assess the impact that the factors discussed above will have on its operations at this time, there were certain impacts that the Company identified resulting in impairment charges in 2020. See Note 8-</w:t>
      </w:r>
      <w:r>
        <w:rPr>
          <w:rFonts w:ascii="Arial" w:cs="Arial" w:eastAsia="Arial" w:hAnsi="Arial"/>
          <w:sz w:val="18"/>
          <w:szCs w:val="18"/>
          <w:b w:val="1"/>
          <w:bCs w:val="1"/>
          <w:i w:val="1"/>
          <w:iCs w:val="1"/>
          <w:color w:val="auto"/>
        </w:rPr>
        <w:t>Goodwill,</w:t>
      </w:r>
      <w:r>
        <w:rPr>
          <w:rFonts w:ascii="Arial" w:cs="Arial" w:eastAsia="Arial" w:hAnsi="Arial"/>
          <w:sz w:val="18"/>
          <w:szCs w:val="18"/>
          <w:color w:val="auto"/>
        </w:rPr>
        <w:t xml:space="preserve"> Note 9-</w:t>
      </w:r>
      <w:r>
        <w:rPr>
          <w:rFonts w:ascii="Arial" w:cs="Arial" w:eastAsia="Arial" w:hAnsi="Arial"/>
          <w:sz w:val="18"/>
          <w:szCs w:val="18"/>
          <w:b w:val="1"/>
          <w:bCs w:val="1"/>
          <w:i w:val="1"/>
          <w:iCs w:val="1"/>
          <w:color w:val="auto"/>
        </w:rPr>
        <w:t>Intangible Assets</w:t>
      </w:r>
      <w:r>
        <w:rPr>
          <w:rFonts w:ascii="Arial" w:cs="Arial" w:eastAsia="Arial" w:hAnsi="Arial"/>
          <w:sz w:val="18"/>
          <w:szCs w:val="18"/>
          <w:color w:val="auto"/>
        </w:rPr>
        <w:t xml:space="preserve"> and Note 13-</w:t>
      </w:r>
      <w:r>
        <w:rPr>
          <w:rFonts w:ascii="Arial" w:cs="Arial" w:eastAsia="Arial" w:hAnsi="Arial"/>
          <w:sz w:val="18"/>
          <w:szCs w:val="18"/>
          <w:b w:val="1"/>
          <w:bCs w:val="1"/>
          <w:i w:val="1"/>
          <w:iCs w:val="1"/>
          <w:color w:val="auto"/>
        </w:rPr>
        <w:t>Leases</w:t>
      </w:r>
      <w:r>
        <w:rPr>
          <w:rFonts w:ascii="Arial" w:cs="Arial" w:eastAsia="Arial" w:hAnsi="Arial"/>
          <w:sz w:val="18"/>
          <w:szCs w:val="18"/>
          <w:color w:val="auto"/>
        </w:rPr>
        <w:t xml:space="preserve"> for additional information.</w:t>
      </w:r>
    </w:p>
    <w:p>
      <w:pPr>
        <w:spacing w:after="0" w:line="21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To respond to the economic downturn resulting from the factors discussed above, in March 2020 the Company initiated a temporary cost reduction and efficiency program. The Company reinstated several of the temporary cost reductions initiatives undertaken during 2020; although, the Company continues to manage and evaluate these actions in responding to the pandemic.</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is currently unable to predict with certainty the overall impact that the factors discussed above may have on its business, results of operations or liquidity or in other ways which the Company cannot yet determine. The Company will continue to monitor market conditions and respond accordingly. As of March 31, 2021, the cash balance was approximately $24.2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Unaudited Condensed Consolidated Financial Statements contained in this report have been prepared in conformity with U.S. generally accepted accounting principles ("GAAP") and Securities and Exchange Commission guidance allowing for reduced disclosure for interim periods. In the opinion of management, the Unaudited Condensed Consolidated Financial Statements include all adjustments, which are of a normal recurring nature, necessary for a fair presentation of the results for the interim periods of the years ending December 31, 2021 and December 31, 2020.</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2020 Annual Report on Form 10-K ("2020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accompanying Unaudited Condensed Consolidated Financial Statements include the accounts of Mistras Group, Inc. as well as its wholly-owned subsidiaries, majority-owned subsidiaries and consolidated variable interest entities (VIE). For subsidiaries in which the Company’s ownership interest is less than 100%, the non-controlling interests are reported in stockholders’ equity in the accompanying Condensed Consolidated Balance Sheets. The non-controlling interests in net results, net of tax, is classified separately in the accompanying Unaudited Condensed Consolidated Statements of Loss. All significant intercompany accounts and transactions have been eliminated in consolidation. The results of operations of companies acquired are included from the date of acquisition.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three months ended March 31, 2021 and 2020, no customer represented 10% or more of the Company's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Company’s significant accounting policies are disclosed in Note 1–</w:t>
      </w:r>
      <w:r>
        <w:rPr>
          <w:rFonts w:ascii="Arial" w:cs="Arial" w:eastAsia="Arial" w:hAnsi="Arial"/>
          <w:sz w:val="18"/>
          <w:szCs w:val="18"/>
          <w:b w:val="1"/>
          <w:bCs w:val="1"/>
          <w:i w:val="1"/>
          <w:iCs w:val="1"/>
          <w:color w:val="auto"/>
        </w:rPr>
        <w:t>Summary of Significant Accounting Policies and Practices</w:t>
      </w:r>
      <w:r>
        <w:rPr>
          <w:rFonts w:ascii="Arial" w:cs="Arial" w:eastAsia="Arial" w:hAnsi="Arial"/>
          <w:sz w:val="18"/>
          <w:szCs w:val="18"/>
          <w:color w:val="auto"/>
        </w:rPr>
        <w:t xml:space="preserve"> in the 2020 Annual Report. On an ongoing basis, the Company evaluates its estimates and assumptions, including among other things, those related to revenue recognition, long-lived assets, goodwill and acquisitions. Since the date of the 2020 Annual Report, there have been no material changes to the Company's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Income taxes are accounted for under the asset and liability method. Deferred income tax assets and liabilities are recognized for the future tax consequences attributable to differences between the financial statement carrying amounts of existing assets and liabilities and their respective tax bases and tax credit carry-forwards.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tax rates is recognized in income in the period that includes the enactment date. A valuation allowance is provided if it is more likely than not that some or all of a deferred income tax asset will not be realized. A current tax liability or asset is recognized for the estimated taxes payable or refundable on tax returns for the current and prior years. US GAAP prescribes a minimum recognition threshold a tax position is required to meet before being recognized in the financial statements. US GAAP also provides guidance on de-recognition, measurement, and classification of amounts relating to uncertain tax positions, accounting for and disclosure of interest and penalties, accounting in interim periods and disclosures required. Interest and penalties related to unrecognized tax positions are recognized as incurred within “provision for income taxes” in the consolidated statements of income.</w:t>
      </w:r>
    </w:p>
    <w:p>
      <w:pPr>
        <w:spacing w:after="0" w:line="1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continues to evaluate its deferred tax assets each period to determine if a valuation allowance is required based on whether it is more likely than not that some portion of these deferred tax assets will not be realized. As of March 31, 2021 management concluded that it is more likely than not that a substantial portion of the Company's deferred tax assets will be realized. As part of the Company's analysis, it considered both positive and negative factors that impact profitability and whether those factors would lead to a change in the estimate of the Company's deferred tax assets that may be realized in the future.</w:t>
      </w:r>
    </w:p>
    <w:p>
      <w:pPr>
        <w:spacing w:after="0" w:line="21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Company’s effective income tax rate was approximately 32.7% and 13.6% for the three months ended March 31, 2021 and 2020, respectively. The effective income tax rate benefit for the three months ended March 31, 2021 was higher than the statutory rate due to the capitalization of certain non-US intercompany balances which resulted in a deductible foreign exchange loss in the US. The effective income tax rate for the three months ended March 31, 2020 was lower than the statutory rate primarily due to impairments recorded during the interim period for which no income tax benefits will be realized by the Company. However, this unfavorable impact on the Company's effective income tax rate was partially offset by income tax benefits of the CARES Act.</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response to the COVID-19 pandemic, the American Rescue Plan Act was signed into law on March 11, 2021. This act, among other things, provides economic relief provisions to individuals and funding to certain businesses and programs. The Company is currently evaluating the impact of this guidance on its consolidated financial position, results of operations, and cash flows, but does not expect it to have a material impact.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ASU removes certain exceptions from the guidance in ASC 740 related to intra-period tax allocations, interim calculations and the recognition of deferred tax liabilities for outside basis differences and clarifies and simplifies several other aspects of accounting for income taxes. Different transition methods apply to the various income tax simplifications. The Company adopted ASU 2019-12 effective January 1, 2021. The impact of adopting this standard was not material to the Company’s consolidated financial position, results of operations, and cash flows.</w:t>
      </w:r>
    </w:p>
    <w:p>
      <w:pPr>
        <w:spacing w:after="0" w:line="21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The amendments provide optional guidance for a limited period of time to ease the potential burden in accounting for (or recognizing the effects of) reference rate reform on financial reporting. The guidance provides optional expedients and exceptions for applying U.S. GAAP to contract modifications and hedging relationships, subject to meeting certain criteria, that reference LIBOR or another rate that is expected to be discontinued. The amendments in ASU 2020-04 are effective for all entities as of March 12, 2020 through December 31, 2022. The Company is currently evaluating applicable contracts and the available expedients provided by the new guidance.</w:t>
      </w:r>
    </w:p>
    <w:p>
      <w:pPr>
        <w:spacing w:after="0" w:line="200" w:lineRule="exact"/>
        <w:rPr>
          <w:sz w:val="20"/>
          <w:szCs w:val="20"/>
          <w:color w:val="auto"/>
        </w:rPr>
      </w:pPr>
    </w:p>
    <w:p>
      <w:pPr>
        <w:spacing w:after="0" w:line="2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The Company derives the majority of its revenue by providing services on a time and material basis, and are short-term in nature. The Company accounts for revenue in accordance with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4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1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For these arrangements, revenue is recognized on a cost-to-cost method tracked on an input basis.</w:t>
      </w:r>
    </w:p>
    <w:p>
      <w:pPr>
        <w:spacing w:after="0" w:line="1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any significant remaining performance obligations to be satisfied within one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5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majority of the Company's revenues are short-term in nature. The Company has many master service agreements (MSAs) that specify an overall framework and contract terms when the Company and customers agree upon services or products to be provided.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 the disaggregated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 by industry was as follows: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March 31, 2021</w:t>
            </w: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Oil &amp; Gas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92,748</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16,175</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13,995</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Power generation &amp; Transmission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8,271</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10,777</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8,069</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4"/>
              </w:rPr>
              <w:t>(1,199)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r>
      <w:tr>
        <w:trPr>
          <w:trHeight w:val="223"/>
        </w:trPr>
        <w:tc>
          <w:tcPr>
            <w:tcW w:w="368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124,298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(1,199)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153,735</w:t>
            </w:r>
          </w:p>
        </w:tc>
      </w:tr>
      <w:tr>
        <w:trPr>
          <w:trHeight w:val="20"/>
        </w:trPr>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798"/>
        </w:trPr>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March 31, 2020</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Oil &amp; Gas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92,498</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22,214</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18,274</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Power generation &amp; Transmission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7,646</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8,127</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7,538</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4"/>
              </w:rPr>
              <w:t>(1,287)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r>
      <w:tr>
        <w:trPr>
          <w:trHeight w:val="223"/>
        </w:trPr>
        <w:tc>
          <w:tcPr>
            <w:tcW w:w="368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128,873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(1,287)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159,465</w:t>
            </w:r>
          </w:p>
        </w:tc>
      </w:tr>
      <w:tr>
        <w:trPr>
          <w:trHeight w:val="21"/>
        </w:trPr>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Revenue per key geographic location was as follows: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March 31, 2021</w:t>
            </w: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104,546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105,823</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20,059</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26,036</w:t>
            </w:r>
          </w:p>
        </w:tc>
      </w:tr>
      <w:tr>
        <w:trPr>
          <w:trHeight w:val="230"/>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153,735</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778"/>
        </w:trPr>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March 31, 2020</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110,583</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20,365</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26,304</w:t>
            </w:r>
          </w:p>
        </w:tc>
      </w:tr>
      <w:tr>
        <w:trPr>
          <w:trHeight w:val="229"/>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159,465</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5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(contract assets), and customer advances and deposits (contract liabilities) on the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Consolidated Balance Sheets at the end of each reporting period within accounts receivable, net or accrued expenses and other current liabilities.</w:t>
      </w:r>
    </w:p>
    <w:p>
      <w:pPr>
        <w:spacing w:after="0" w:line="19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Revenue recognized during the three months ended March 31, 2021 and 2020 that was included in the contract liability balance at the beginning of such year was $1.9 million and $1.6 million, respectively. Changes in the contract asset and liability balances during these periods were not materially impacted by any other factors. The Company applies a practical expedient to expense incremental costs incurred related to obtaining a contract. The Company’s expenses are expected to be amortized over a period less than one year.</w:t>
      </w:r>
    </w:p>
    <w:p>
      <w:pPr>
        <w:spacing w:after="0" w:line="2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Share-Based Compensation</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has share-based incentive awards outstanding to its eligible employees and non-employee directors under two equity incentive plans: (i) the 2009 Long-Term Incentive Plan (the "2009 Plan") and (ii) the 2016 Long-Term Incentive Plan (the "2016 Plan"). No further awards may be granted under the 2009 Plan, although one stock option award granted under the 2009 Plan remains outstanding in accordance with its terms. Awards granted under the 2016 Plan may be in the form of stock options, restricted stock units and other forms of share-based incentives, including performance restricted stock units, stock appreciation rights and deferred stock rights. At the annual shareholders meeting on May 19, 2020, the Company’s shareholders approved an amendment to increase the total number of shares that may be issued under the 2016 Plan by 2.0 million, for a total of 3.7 million shares that may be issued under the 2016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each of the three months ended March 31, 2021 and 2020, the Company did not recognize any share-based compensation expense related to the stock option award, as the one outstanding stock option award was already fully vested. No unrecognized compensation costs remained related to the stock option award as of March 31, 2021.</w:t>
      </w:r>
    </w:p>
    <w:p>
      <w:pPr>
        <w:spacing w:after="0" w:line="211"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The following table sets forth a summary of the stock option activity, weighted-average exercise prices and options outstanding as of March 31, 2021 and 2020:</w:t>
      </w:r>
    </w:p>
    <w:p>
      <w:pPr>
        <w:ind w:left="7000"/>
        <w:spacing w:after="0"/>
        <w:rPr>
          <w:sz w:val="20"/>
          <w:szCs w:val="20"/>
          <w:color w:val="auto"/>
        </w:rPr>
      </w:pPr>
      <w:r>
        <w:rPr>
          <w:rFonts w:ascii="Arial" w:cs="Arial" w:eastAsia="Arial" w:hAnsi="Arial"/>
          <w:sz w:val="14"/>
          <w:szCs w:val="14"/>
          <w:b w:val="1"/>
          <w:bCs w:val="1"/>
          <w:color w:val="auto"/>
        </w:rPr>
        <w:t>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40" w:type="dxa"/>
            <w:vAlign w:val="bottom"/>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3"/>
          </w:tcPr>
          <w:p>
            <w:pPr>
              <w:jc w:val="right"/>
              <w:ind w:right="884"/>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16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5"/>
              </w:rPr>
              <w:t>Common</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16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2"/>
              </w:rPr>
              <w:t>Common</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center"/>
              <w:ind w:right="218"/>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424"/>
              <w:spacing w:after="0" w:line="135"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center"/>
              <w:ind w:right="21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160" w:type="dxa"/>
            <w:vAlign w:val="bottom"/>
          </w:tcPr>
          <w:p>
            <w:pPr>
              <w:jc w:val="center"/>
              <w:ind w:left="308"/>
              <w:spacing w:after="0" w:line="135" w:lineRule="exact"/>
              <w:rPr>
                <w:sz w:val="20"/>
                <w:szCs w:val="20"/>
                <w:color w:val="auto"/>
              </w:rPr>
            </w:pPr>
            <w:r>
              <w:rPr>
                <w:rFonts w:ascii="Arial" w:cs="Arial" w:eastAsia="Arial" w:hAnsi="Arial"/>
                <w:sz w:val="14"/>
                <w:szCs w:val="14"/>
                <w:b w:val="1"/>
                <w:bCs w:val="1"/>
                <w:color w:val="auto"/>
                <w:w w:val="89"/>
              </w:rPr>
              <w:t>Stock</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404"/>
              <w:spacing w:after="0" w:line="135"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left="268"/>
              <w:spacing w:after="0" w:line="135" w:lineRule="exact"/>
              <w:rPr>
                <w:sz w:val="20"/>
                <w:szCs w:val="20"/>
                <w:color w:val="auto"/>
              </w:rPr>
            </w:pPr>
            <w:r>
              <w:rPr>
                <w:rFonts w:ascii="Arial" w:cs="Arial" w:eastAsia="Arial" w:hAnsi="Arial"/>
                <w:sz w:val="14"/>
                <w:szCs w:val="14"/>
                <w:b w:val="1"/>
                <w:bCs w:val="1"/>
                <w:color w:val="auto"/>
                <w:w w:val="89"/>
              </w:rPr>
              <w:t>Stock</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center"/>
              <w:ind w:right="218"/>
              <w:spacing w:after="0" w:line="13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8"/>
        </w:trPr>
        <w:tc>
          <w:tcPr>
            <w:tcW w:w="47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4"/>
              </w:rPr>
              <w:t>Options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404"/>
              <w:spacing w:after="0"/>
              <w:rPr>
                <w:sz w:val="20"/>
                <w:szCs w:val="20"/>
                <w:color w:val="auto"/>
              </w:rPr>
            </w:pPr>
            <w:r>
              <w:rPr>
                <w:rFonts w:ascii="Arial" w:cs="Arial" w:eastAsia="Arial" w:hAnsi="Arial"/>
                <w:sz w:val="14"/>
                <w:szCs w:val="14"/>
                <w:b w:val="1"/>
                <w:bCs w:val="1"/>
                <w:color w:val="auto"/>
                <w:w w:val="93"/>
              </w:rPr>
              <w:t>Price</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0"/>
              </w:rPr>
              <w:t>Options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2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22.35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30"/>
        </w:trPr>
        <w:tc>
          <w:tcPr>
            <w:tcW w:w="59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64"/>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126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126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Expired or forfeited</w:t>
            </w: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tcPr>
          <w:p>
            <w:pPr>
              <w:jc w:val="right"/>
              <w:ind w:right="864"/>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4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22.35</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For the three months ended March 31, 2021 and March 31, 2020, the Company recognized share-based compensation expense related to restricted stock unit awards of $0.9 million and $1.1 million, respectively. As of March 31, 2021, there was $8.7 million of unrecognized compensation costs, net of estimated forfeitures, related to restricted stock unit awards, which is expected to be recognized over a remaining weighted-average period of 3.0 years. Upon vesting, restricted stock units are generally net share-settled to cover the required withholding tax and the remaining amount is converted into an equivalent number of shares of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vesting activity of restricted stock unit awards, with the respective fair value of the awards, is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68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8"/>
              </w:rPr>
              <w:t>Three months ended March 31,</w:t>
            </w:r>
          </w:p>
        </w:tc>
        <w:tc>
          <w:tcPr>
            <w:tcW w:w="48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r>
      <w:tr>
        <w:trPr>
          <w:trHeight w:val="224"/>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awards vested</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Fair value of awards vested</w:t>
            </w:r>
          </w:p>
        </w:tc>
        <w:tc>
          <w:tcPr>
            <w:tcW w:w="980" w:type="dxa"/>
            <w:vAlign w:val="bottom"/>
          </w:tcPr>
          <w:p>
            <w:pPr>
              <w:jc w:val="right"/>
              <w:ind w:right="80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0"/>
                <w:szCs w:val="20"/>
                <w:color w:val="auto"/>
              </w:rPr>
            </w:pPr>
          </w:p>
        </w:tc>
        <w:tc>
          <w:tcPr>
            <w:tcW w:w="1040" w:type="dxa"/>
            <w:vAlign w:val="bottom"/>
          </w:tcPr>
          <w:p>
            <w:pPr>
              <w:jc w:val="right"/>
              <w:ind w:right="85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454</w:t>
            </w:r>
          </w:p>
        </w:tc>
      </w:tr>
    </w:tbl>
    <w:p>
      <w:pPr>
        <w:spacing w:after="0" w:line="336" w:lineRule="exact"/>
        <w:rPr>
          <w:sz w:val="20"/>
          <w:szCs w:val="20"/>
          <w:color w:val="auto"/>
        </w:rPr>
      </w:pPr>
    </w:p>
    <w:p>
      <w:pPr>
        <w:ind w:right="700"/>
        <w:spacing w:after="0" w:line="269" w:lineRule="auto"/>
        <w:rPr>
          <w:sz w:val="20"/>
          <w:szCs w:val="20"/>
          <w:color w:val="auto"/>
        </w:rPr>
      </w:pPr>
      <w:r>
        <w:rPr>
          <w:rFonts w:ascii="Arial" w:cs="Arial" w:eastAsia="Arial" w:hAnsi="Arial"/>
          <w:sz w:val="18"/>
          <w:szCs w:val="18"/>
          <w:color w:val="auto"/>
        </w:rPr>
        <w:t>A summary of the fully-vested common stock the Company issued to its six non-employee directors, in connection with its non-employee director compensation plan, is as follows:</w:t>
      </w: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Borders>
              <w:bottom w:val="single" w:sz="8" w:color="auto"/>
            </w:tcBorders>
            <w:gridSpan w:val="8"/>
          </w:tcPr>
          <w:p>
            <w:pPr>
              <w:ind w:left="6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74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Awards issued</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Grant date fair value of awards issued</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82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20"/>
                <w:szCs w:val="20"/>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6"/>
        </w:trPr>
        <w:tc>
          <w:tcPr>
            <w:tcW w:w="6660" w:type="dxa"/>
            <w:vAlign w:val="bottom"/>
            <w:gridSpan w:val="5"/>
          </w:tcPr>
          <w:p>
            <w:pPr>
              <w:jc w:val="right"/>
              <w:ind w:right="110"/>
              <w:spacing w:after="0"/>
              <w:rPr>
                <w:sz w:val="20"/>
                <w:szCs w:val="20"/>
                <w:color w:val="auto"/>
              </w:rPr>
            </w:pPr>
            <w:r>
              <w:rPr>
                <w:rFonts w:ascii="Arial" w:cs="Arial" w:eastAsia="Arial" w:hAnsi="Arial"/>
                <w:sz w:val="18"/>
                <w:szCs w:val="18"/>
                <w:color w:val="auto"/>
                <w:w w:val="90"/>
              </w:rPr>
              <w:t>A summary of the Company's outstanding, non-vested restricted share units is as follows: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79"/>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78"/>
              <w:spacing w:after="0" w:line="130"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54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9"/>
              </w:rPr>
              <w:t>Grant-Date</w:t>
            </w:r>
          </w:p>
        </w:tc>
        <w:tc>
          <w:tcPr>
            <w:tcW w:w="100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00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Outstanding at beginning of period:</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Released</w:t>
            </w:r>
          </w:p>
        </w:tc>
        <w:tc>
          <w:tcPr>
            <w:tcW w:w="1540" w:type="dxa"/>
            <w:vAlign w:val="bottom"/>
          </w:tcPr>
          <w:p>
            <w:pPr>
              <w:jc w:val="right"/>
              <w:spacing w:after="0"/>
              <w:rPr>
                <w:sz w:val="20"/>
                <w:szCs w:val="20"/>
                <w:color w:val="auto"/>
              </w:rPr>
            </w:pPr>
            <w:r>
              <w:rPr>
                <w:rFonts w:ascii="Arial" w:cs="Arial" w:eastAsia="Arial" w:hAnsi="Arial"/>
                <w:sz w:val="18"/>
                <w:szCs w:val="18"/>
                <w:color w:val="auto"/>
              </w:rPr>
              <w:t>(111)</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Outstanding at end of period: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19"/>
                <w:szCs w:val="19"/>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5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Company maintains Performance Restricted Stock Units (PRSUs) that have been granted to select executives and senior officers whose ultimate payout is based on the Company’s performance over a one-year period based on specific metrics approved by the Compensation Committee of the Board of Directors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2020, the Compensation Committee approved the following four metrics:</w:t>
      </w:r>
    </w:p>
    <w:p>
      <w:pPr>
        <w:spacing w:after="0" w:line="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Revenue</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defined as net income attributable to the Company plus: interest expense, provision for income taxes,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Arial" w:cs="Arial" w:eastAsia="Arial" w:hAnsi="Arial"/>
          <w:sz w:val="16"/>
          <w:szCs w:val="16"/>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as a percentage of 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Return on Average Book Equity </w:t>
      </w:r>
      <w:r>
        <w:rPr>
          <w:rFonts w:ascii="Arial" w:cs="Arial" w:eastAsia="Arial" w:hAnsi="Arial"/>
          <w:sz w:val="18"/>
          <w:szCs w:val="18"/>
          <w:color w:val="auto"/>
        </w:rPr>
        <w:t>defined as net income divided by average book value of shareholders equity.</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free cash flow and return on average book equity criteria are relative metrics, the performance of which are based upon how the Company performs relative to a peer group.</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For 2021, the Compensation Committee made changes to the Company’s equity incentive compensation plan for its executive officers and approved the new target awards for 2021. For 2021, the three metrics are:</w:t>
      </w:r>
    </w:p>
    <w:p>
      <w:pPr>
        <w:spacing w:after="0" w:line="1" w:lineRule="exact"/>
        <w:rPr>
          <w:sz w:val="20"/>
          <w:szCs w:val="20"/>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net cash provided by operating activities less purchases of property, plant, equipment and intangible assets and is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approved by the Compensation Committee.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as defined in the 2020 metric section above.</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Total Shareholder Return (TSR) </w:t>
      </w:r>
      <w:r>
        <w:rPr>
          <w:rFonts w:ascii="Arial" w:cs="Arial" w:eastAsia="Arial" w:hAnsi="Arial"/>
          <w:sz w:val="16"/>
          <w:szCs w:val="16"/>
          <w:color w:val="auto"/>
        </w:rPr>
        <w:t>measures the total return to shareholders of the Company during 2021 versus the total return to the shareholders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a predefined peer group of companies that provide inspection, testing, certification or similar industrial services. The return will be measured by the year over year percent change in share price. The share prices used to calculate the return are the average share price during the 20-trading day period ending on the initial measurement date (the last 20 trading days of 2020), compared to the average share price during the 20-trading day period ending on the final measurement date (the last 20 trading days of 2021). Any cash dividends or distributions paid in 2021 will be added to calculate the return to shareholders during the year. TSR is considered a market condition for which the fair value of PRSUs with this condition is determined using a Monte Carlo valuation model. Key assumptions in the Monte Carlo valuation model included:</w:t>
      </w:r>
    </w:p>
    <w:p>
      <w:pPr>
        <w:spacing w:after="0" w:line="4" w:lineRule="exact"/>
        <w:rPr>
          <w:rFonts w:ascii="Arial" w:cs="Arial" w:eastAsia="Arial" w:hAnsi="Arial"/>
          <w:sz w:val="16"/>
          <w:szCs w:val="16"/>
          <w:color w:val="auto"/>
        </w:rPr>
      </w:pPr>
    </w:p>
    <w:p>
      <w:pPr>
        <w:ind w:left="1300" w:right="20" w:hanging="320"/>
        <w:spacing w:after="0" w:line="250" w:lineRule="auto"/>
        <w:tabs>
          <w:tab w:leader="none" w:pos="129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Expected volatility of the Company’s common stock at the date of grant was estimated based on a historical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rate for the approximate 1-year performance period.</w:t>
      </w: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The dividend yield assumption was based on historical and anticipated dividend payouts (assumed at zero).</w:t>
      </w:r>
    </w:p>
    <w:p>
      <w:pPr>
        <w:spacing w:after="0" w:line="9" w:lineRule="exact"/>
        <w:rPr>
          <w:rFonts w:ascii="Arial" w:cs="Arial" w:eastAsia="Arial" w:hAnsi="Arial"/>
          <w:sz w:val="18"/>
          <w:szCs w:val="18"/>
          <w:color w:val="auto"/>
        </w:rPr>
      </w:pPr>
    </w:p>
    <w:p>
      <w:pPr>
        <w:ind w:left="1300" w:hanging="320"/>
        <w:spacing w:after="0" w:line="260" w:lineRule="auto"/>
        <w:tabs>
          <w:tab w:leader="none" w:pos="129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assumption was based on observed interest rates consistent with the approximate 1-year performance measurement period.</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PRSUs are equity-classified and compensation costs are initially measured using the fair value of the underlying stock at the date of grant. Compensation costs related to the PRSUs are subsequently adjusted for changes in the expected outcomes of the performance conditions. Compensation cost related to the PRSUs with a market condition is not reversed if the market condition is not achieved, provided the employee requisite service has been rendered. PRSUs generally vest ratably on each of the first four anniversary dates upon completion of the performance period, for a total requisite service period of up to five years and have no dividend rights.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PRSU activity is as follows:</w:t>
      </w:r>
    </w:p>
    <w:p>
      <w:pPr>
        <w:spacing w:after="0" w:line="41"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Three months ended March 31,</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4740" w:type="dxa"/>
            <w:vAlign w:val="bottom"/>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13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77"/>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jc w:val="center"/>
              <w:ind w:right="157"/>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9"/>
              </w:rPr>
              <w:t>Grant-Date</w:t>
            </w:r>
          </w:p>
        </w:tc>
        <w:tc>
          <w:tcPr>
            <w:tcW w:w="104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Units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jc w:val="center"/>
              <w:ind w:right="197"/>
              <w:spacing w:after="0" w:line="135"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0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Outstanding at beginning of period:</w:t>
            </w: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gridSpan w:val="2"/>
          </w:tcPr>
          <w:p>
            <w:pPr>
              <w:ind w:left="140"/>
              <w:spacing w:after="0"/>
              <w:rPr>
                <w:sz w:val="20"/>
                <w:szCs w:val="20"/>
                <w:color w:val="auto"/>
              </w:rPr>
            </w:pPr>
            <w:r>
              <w:rPr>
                <w:rFonts w:ascii="Arial" w:cs="Arial" w:eastAsia="Arial" w:hAnsi="Arial"/>
                <w:sz w:val="18"/>
                <w:szCs w:val="18"/>
                <w:color w:val="auto"/>
              </w:rPr>
              <w:t>Performance condition adjustments</w:t>
            </w:r>
          </w:p>
        </w:tc>
        <w:tc>
          <w:tcPr>
            <w:tcW w:w="520" w:type="dxa"/>
            <w:vAlign w:val="bottom"/>
          </w:tcPr>
          <w:p>
            <w:pPr>
              <w:jc w:val="right"/>
              <w:spacing w:after="0"/>
              <w:rPr>
                <w:sz w:val="20"/>
                <w:szCs w:val="20"/>
                <w:color w:val="auto"/>
              </w:rPr>
            </w:pPr>
            <w:r>
              <w:rPr>
                <w:rFonts w:ascii="Arial" w:cs="Arial" w:eastAsia="Arial" w:hAnsi="Arial"/>
                <w:sz w:val="18"/>
                <w:szCs w:val="18"/>
                <w:color w:val="auto"/>
              </w:rPr>
              <w:t>(125)</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Released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120"/>
        <w:spacing w:after="0" w:line="294" w:lineRule="auto"/>
        <w:rPr>
          <w:sz w:val="20"/>
          <w:szCs w:val="20"/>
          <w:color w:val="auto"/>
        </w:rPr>
      </w:pPr>
      <w:r>
        <w:rPr>
          <w:rFonts w:ascii="Arial" w:cs="Arial" w:eastAsia="Arial" w:hAnsi="Arial"/>
          <w:sz w:val="16"/>
          <w:szCs w:val="16"/>
          <w:color w:val="auto"/>
        </w:rPr>
        <w:t>During the three months ended March 31, 2021 and March 31, 2020, the Compensation Committee approved the final calculation of the award metrics for calendar year 2020 and calendar year 2019, respectively. As a result, the calendar year 2020 PRSUs decreased by approximately 125,000 units (related to not achieving the 2020 Return on Average Book Equity metric) and the calendar year 2019 PRSUs increased by approximately 1,000 units.</w:t>
      </w:r>
    </w:p>
    <w:p>
      <w:pPr>
        <w:spacing w:after="0" w:line="1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three months ended March 31, 2021 and March 31, 2020, the Company recognized aggregate share-based compensation expense related to the awards described above of approximately $0.1 million and $0.3 million, respectively. At March 31, 2021, there was $2.7 million of total unrecognized compensation costs related to approximately 375,000 non-vested PRSUs, which is expected to be recognized over a remaining weighted-average period of 2.7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Earnings (loss) per Share</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Basic earnings (loss)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 (2) 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5"/>
        </w:trPr>
        <w:tc>
          <w:tcPr>
            <w:tcW w:w="8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loss per share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attributable to Mistras Group, Inc.</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(98,509)</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28,963</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Basic loss per share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57"/>
        </w:trPr>
        <w:tc>
          <w:tcPr>
            <w:tcW w:w="80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Diluted loss per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Net loss attributable to Mistras Group, Inc.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(5,362)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(98,509)</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28,963</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stock options outstanding</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Dilutive effect of restricted stock units outstanding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 loss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40" w:type="dxa"/>
            <w:vAlign w:val="bottom"/>
            <w:vMerge w:val="continue"/>
          </w:tcPr>
          <w:p>
            <w:pPr>
              <w:spacing w:after="0"/>
              <w:rPr>
                <w:sz w:val="17"/>
                <w:szCs w:val="17"/>
                <w:color w:val="auto"/>
              </w:rPr>
            </w:pPr>
          </w:p>
        </w:tc>
        <w:tc>
          <w:tcPr>
            <w:tcW w:w="360" w:type="dxa"/>
            <w:vAlign w:val="bottom"/>
          </w:tcPr>
          <w:p>
            <w:pPr>
              <w:jc w:val="right"/>
              <w:ind w:right="170"/>
              <w:spacing w:after="0" w:line="204"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4" w:lineRule="exact"/>
              <w:rPr>
                <w:sz w:val="20"/>
                <w:szCs w:val="20"/>
                <w:color w:val="auto"/>
              </w:rPr>
            </w:pPr>
            <w:r>
              <w:rPr>
                <w:rFonts w:ascii="Arial" w:cs="Arial" w:eastAsia="Arial" w:hAnsi="Arial"/>
                <w:sz w:val="18"/>
                <w:szCs w:val="18"/>
                <w:color w:val="auto"/>
              </w:rPr>
              <w:t>(0.18)</w:t>
            </w:r>
          </w:p>
        </w:tc>
        <w:tc>
          <w:tcPr>
            <w:tcW w:w="120" w:type="dxa"/>
            <w:vAlign w:val="bottom"/>
          </w:tcPr>
          <w:p>
            <w:pPr>
              <w:spacing w:after="0"/>
              <w:rPr>
                <w:sz w:val="17"/>
                <w:szCs w:val="17"/>
                <w:color w:val="auto"/>
              </w:rPr>
            </w:pPr>
          </w:p>
        </w:tc>
        <w:tc>
          <w:tcPr>
            <w:tcW w:w="360" w:type="dxa"/>
            <w:vAlign w:val="bottom"/>
          </w:tcPr>
          <w:p>
            <w:pPr>
              <w:jc w:val="right"/>
              <w:ind w:right="170"/>
              <w:spacing w:after="0" w:line="204"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4"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313"/>
        </w:trPr>
        <w:tc>
          <w:tcPr>
            <w:tcW w:w="8040" w:type="dxa"/>
            <w:vAlign w:val="bottom"/>
          </w:tcPr>
          <w:p>
            <w:pPr>
              <w:spacing w:after="0"/>
              <w:rPr>
                <w:sz w:val="20"/>
                <w:szCs w:val="20"/>
                <w:color w:val="auto"/>
              </w:rPr>
            </w:pPr>
            <w:r>
              <w:rPr>
                <w:rFonts w:ascii="Arial" w:cs="Arial" w:eastAsia="Arial" w:hAnsi="Arial"/>
                <w:sz w:val="18"/>
                <w:szCs w:val="18"/>
                <w:color w:val="auto"/>
              </w:rPr>
              <w:t>_______________</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80" w:right="560" w:hanging="172"/>
        <w:spacing w:after="0" w:line="261" w:lineRule="auto"/>
        <w:tabs>
          <w:tab w:leader="none" w:pos="183"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2021 and 2020, 509,000 and 99,000 shares, respectively, related to restricted stock were excluded from the calculation of diluted EPS due to the net loss for the period.</w:t>
      </w:r>
    </w:p>
    <w:p>
      <w:pPr>
        <w:spacing w:after="0" w:line="200" w:lineRule="exact"/>
        <w:rPr>
          <w:sz w:val="20"/>
          <w:szCs w:val="20"/>
          <w:color w:val="auto"/>
        </w:rPr>
      </w:pPr>
    </w:p>
    <w:p>
      <w:pPr>
        <w:spacing w:after="0" w:line="2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Expense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course of its acquisition activities, the Company incurs costs in connection with due diligence, such as professional fees, and other expenses. Additionally, the Company adjusts the fair value of acquisition-related contingent consideration liabilities on a quarterly basis. These amounts are reported as Acquisition-related expense, net on the Unaudited Condensed Consolidated Statements of Loss and were as follows for the three months ended March 31, 2021 and 2020:</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r>
      <w:tr>
        <w:trPr>
          <w:trHeight w:val="224"/>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Due diligence, professional fees and other transaction costs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Adjustments to fair value of contingent consideration liabilities</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r>
      <w:tr>
        <w:trPr>
          <w:trHeight w:val="248"/>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expense, net</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contingent consideration liabilities are included in Accrued expenses and other current liabilities and Other long-term liabilities on the Condensed Consolidated Balance Sheets.</w:t>
      </w:r>
    </w:p>
    <w:p>
      <w:pPr>
        <w:spacing w:after="0" w:line="200" w:lineRule="exact"/>
        <w:rPr>
          <w:sz w:val="20"/>
          <w:szCs w:val="20"/>
          <w:color w:val="auto"/>
        </w:rPr>
      </w:pPr>
    </w:p>
    <w:p>
      <w:pPr>
        <w:spacing w:after="0" w:line="2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6"/>
                <w:szCs w:val="16"/>
                <w:color w:val="auto"/>
              </w:rPr>
            </w:pPr>
          </w:p>
        </w:tc>
        <w:tc>
          <w:tcPr>
            <w:tcW w:w="138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December 31, 2020</w:t>
            </w:r>
          </w:p>
        </w:tc>
      </w:tr>
      <w:tr>
        <w:trPr>
          <w:trHeight w:val="256"/>
        </w:trPr>
        <w:tc>
          <w:tcPr>
            <w:tcW w:w="80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115,841</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(8,213)</w:t>
            </w: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107,628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The Company had $19.8 million and $11.9 million of unbilled revenue accrued as of March 31, 2021 and December 31, 2020, respectively. These amounts are included in the trade accounts receivable balances above. Unbilled revenue is generally billed in the subsequent quarter to their revenue recognition.</w:t>
      </w:r>
    </w:p>
    <w:p>
      <w:pPr>
        <w:spacing w:after="0" w:line="15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was contracted to perform inspections of welds on various pipeline projects in Texas for a customer. As of December 31, 2019, approximately $1.4 million of past due receivables were outstanding from this customer. The Company received notice from the customer in December 2019, alleging that the work performed was not in compliance with the contract. The Company recorded a full reserve for this matter during 2019 and the status of this situation has not changed since 2019. See Note 14-</w:t>
      </w:r>
      <w:r>
        <w:rPr>
          <w:rFonts w:ascii="Arial" w:cs="Arial" w:eastAsia="Arial" w:hAnsi="Arial"/>
          <w:sz w:val="17"/>
          <w:szCs w:val="17"/>
          <w:b w:val="1"/>
          <w:bCs w:val="1"/>
          <w:i w:val="1"/>
          <w:iCs w:val="1"/>
          <w:color w:val="auto"/>
        </w:rPr>
        <w:t>Commitments and Contingencies</w:t>
      </w:r>
      <w:r>
        <w:rPr>
          <w:rFonts w:ascii="Arial" w:cs="Arial" w:eastAsia="Arial" w:hAnsi="Arial"/>
          <w:sz w:val="17"/>
          <w:szCs w:val="17"/>
          <w:color w:val="auto"/>
        </w:rPr>
        <w:t xml:space="preserve"> for additional details.</w:t>
      </w:r>
    </w:p>
    <w:p>
      <w:pPr>
        <w:spacing w:after="0" w:line="19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Plant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Useful Life</w:t>
            </w:r>
          </w:p>
        </w:tc>
        <w:tc>
          <w:tcPr>
            <w:tcW w:w="200" w:type="dxa"/>
            <w:vAlign w:val="bottom"/>
          </w:tcPr>
          <w:p>
            <w:pPr>
              <w:spacing w:after="0"/>
              <w:rPr>
                <w:sz w:val="14"/>
                <w:szCs w:val="14"/>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4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8"/>
        </w:trPr>
        <w:tc>
          <w:tcPr>
            <w:tcW w:w="6940" w:type="dxa"/>
            <w:vAlign w:val="bottom"/>
          </w:tcPr>
          <w:p>
            <w:pPr>
              <w:spacing w:after="0"/>
              <w:rPr>
                <w:sz w:val="16"/>
                <w:szCs w:val="16"/>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94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25,282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25,731</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19,902</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Machinery and equipment</w:t>
            </w: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234,331</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282,688</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(190,007)</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92,681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Depreciation and amortization expense for each of the three months ended March 31, 2021 and 2020 was approximately $6.1 million and $6.1 million,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is shown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International</w:t>
            </w: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Products and Systems</w:t>
            </w:r>
          </w:p>
        </w:tc>
        <w:tc>
          <w:tcPr>
            <w:tcW w:w="360" w:type="dxa"/>
            <w:vAlign w:val="bottom"/>
          </w:tcPr>
          <w:p>
            <w:pPr>
              <w:spacing w:after="0"/>
              <w:rPr>
                <w:sz w:val="16"/>
                <w:szCs w:val="16"/>
                <w:color w:val="auto"/>
              </w:rPr>
            </w:pPr>
          </w:p>
        </w:tc>
        <w:tc>
          <w:tcPr>
            <w:tcW w:w="1180" w:type="dxa"/>
            <w:vAlign w:val="bottom"/>
          </w:tcPr>
          <w:p>
            <w:pPr>
              <w:jc w:val="right"/>
              <w:ind w:right="534"/>
              <w:spacing w:after="0"/>
              <w:rPr>
                <w:sz w:val="20"/>
                <w:szCs w:val="20"/>
                <w:color w:val="auto"/>
              </w:rPr>
            </w:pPr>
            <w:r>
              <w:rPr>
                <w:rFonts w:ascii="Arial" w:cs="Arial" w:eastAsia="Arial" w:hAnsi="Arial"/>
                <w:sz w:val="14"/>
                <w:szCs w:val="14"/>
                <w:b w:val="1"/>
                <w:bCs w:val="1"/>
                <w:color w:val="auto"/>
              </w:rPr>
              <w:t>Total</w:t>
            </w: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15,896</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206,008</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Goodwill acquired during the period</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191,411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15,249</w:t>
            </w: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206,660</w:t>
            </w:r>
          </w:p>
        </w:tc>
      </w:tr>
      <w:tr>
        <w:trPr>
          <w:trHeight w:val="20"/>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19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During the first quarter of 2020, the Company’s market capitalization declined significantly compared to the fourth quarter of 2019. Over the same period, the equity value of the Company’s peer group, and the overall U.S. stock market also declined significantly amid market volatility. In addition, oil prices had dropped significantly. These declines were driven in large part by the uncertainty surrounding the COVID-19 pandemic and other macroeconomic events such as the geopolitical tensions between OPEC and Russia. Based on these factors, the Company concluded that multiple triggering events occurred and, accordingly, an interim quantitative goodwill impairment test was performed as of the testing date for each reporting unit as of March 31, 2020 (“testing date”). During the first quarter of 2020, the Company also performed an analysis to determine any impairment of long-lived assets (see Note 9-</w:t>
      </w:r>
      <w:r>
        <w:rPr>
          <w:rFonts w:ascii="Arial" w:cs="Arial" w:eastAsia="Arial" w:hAnsi="Arial"/>
          <w:sz w:val="17"/>
          <w:szCs w:val="17"/>
          <w:b w:val="1"/>
          <w:bCs w:val="1"/>
          <w:i w:val="1"/>
          <w:iCs w:val="1"/>
          <w:color w:val="auto"/>
        </w:rPr>
        <w:t>Intangible Assets</w:t>
      </w:r>
      <w:r>
        <w:rPr>
          <w:rFonts w:ascii="Arial" w:cs="Arial" w:eastAsia="Arial" w:hAnsi="Arial"/>
          <w:sz w:val="17"/>
          <w:szCs w:val="17"/>
          <w:color w:val="auto"/>
        </w:rPr>
        <w:t>) based on the triggering events noted above.</w:t>
      </w:r>
    </w:p>
    <w:p>
      <w:pPr>
        <w:spacing w:after="0" w:line="207"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In performing the interim quantitative goodwill impairment test and consistent with prior practice, the Company determined the fair value of each of the reporting units using a combination of the income approach and the market approach by assessing each of these valuation methodologies based upon availability and relevance of comparable company data and determining the appropriate weighting.</w:t>
      </w:r>
    </w:p>
    <w:p>
      <w:pPr>
        <w:spacing w:after="0" w:line="209"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Under the income approach, the fair value for each of the reporting units was determined based on the present value of estimated future cash flows, discounted at an appropriate risk-adjusted rate. The Company used internal forecasts, updated for recent events, to estimate future cash flows with cash flows beyond the specific operating plans estimated using a terminal value calculation, which incorporates historical and forecasted trends, including an estimate of long-term future growth rates, based on the Company’s most recent views of the long-term outlook for each reporting unit. The internal forecasts include assumptions about future market recovery, including the expected demand for the Company’s goods and services. Due to the inherent uncertainties involved in making estimates and assumptions, actual results may differ from those assumed in the forecasts. The Company derived the discount rates using a capital asset pricing model and analyzing published rates for industries relevant to the reporting units to estimate the cost of equity financing. The Company used discount rates that are commensurate with the risks and uncertainties inherent in the respective businesses and in the internally developed forecasts, updated for recent events.</w:t>
      </w:r>
    </w:p>
    <w:p>
      <w:pPr>
        <w:spacing w:after="0" w:line="211"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The market approach valuations were derived from metrics of publicly traded companies or historically completed transactions of comparable businesses. The selection of comparable businesses was based on the markets in which the reporting units operate considering risk profiles, size, geography, and diversity of products and services.</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Based upon the results of the interim quantitative goodwill impairment test during the first quarter of 2020, the Company recorded an aggregate impairment charge of $77.1 million, which consisted of $57.2 million in the services reporting unit within the Services segment, and $19.3 million in the European reporting unit and $0.6 million in the Brazilian reporting unit, both within the International segment. The impairment was calculated based on the difference between the estimated fair value and the carrying value of the reporting units and are included in Impairment charges on the Unaudited Condensed Consolidated Statements of Loss for the three months ended March 31, 2020. Subsequent to March 31, 2020 through March 31, 2021, the Company did not identify any changes in circumstances that would indicate the carrying value of goodwill may not be recoverable. Significant adverse changes in future periods could negatively affect the Company's key assumptions and may result in future goodwill impairment charges which could be material.</w:t>
      </w:r>
    </w:p>
    <w:p>
      <w:pPr>
        <w:spacing w:after="0" w:line="2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Company's cumulative goodwill impairment as of March 31, 2021 and December 31, 2020 was $100.2 million, of which $57.2 million related to the Services segment, $29.8 million related to the International segment and $13.2 million related to the Products and Systems segment.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March 31, 2021</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Useful Life</w:t>
            </w:r>
          </w:p>
        </w:tc>
        <w:tc>
          <w:tcPr>
            <w:tcW w:w="180" w:type="dxa"/>
            <w:vAlign w:val="bottom"/>
          </w:tcPr>
          <w:p>
            <w:pPr>
              <w:spacing w:after="0"/>
              <w:rPr>
                <w:sz w:val="11"/>
                <w:szCs w:val="11"/>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82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Impairment</w:t>
            </w:r>
          </w:p>
        </w:tc>
        <w:tc>
          <w:tcPr>
            <w:tcW w:w="160" w:type="dxa"/>
            <w:vAlign w:val="bottom"/>
          </w:tcPr>
          <w:p>
            <w:pPr>
              <w:spacing w:after="0"/>
              <w:rPr>
                <w:sz w:val="11"/>
                <w:szCs w:val="11"/>
                <w:color w:val="auto"/>
              </w:rPr>
            </w:pPr>
          </w:p>
        </w:tc>
        <w:tc>
          <w:tcPr>
            <w:tcW w:w="82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89"/>
        </w:trPr>
        <w:tc>
          <w:tcPr>
            <w:tcW w:w="232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38,246</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Software/Technology</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51,657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77,326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27,933</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Covenants not to compete</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2-12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68,642</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three months ended March 31, 2021 and 2020 was approximately $2.5 million and $3.4 million, respectively.</w:t>
      </w:r>
    </w:p>
    <w:p>
      <w:pPr>
        <w:spacing w:after="0" w:line="23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As described in Note 8-</w:t>
      </w:r>
      <w:r>
        <w:rPr>
          <w:rFonts w:ascii="Arial" w:cs="Arial" w:eastAsia="Arial" w:hAnsi="Arial"/>
          <w:sz w:val="17"/>
          <w:szCs w:val="17"/>
          <w:b w:val="1"/>
          <w:bCs w:val="1"/>
          <w:i w:val="1"/>
          <w:iCs w:val="1"/>
          <w:color w:val="auto"/>
        </w:rPr>
        <w:t>Goodwill</w:t>
      </w:r>
      <w:r>
        <w:rPr>
          <w:rFonts w:ascii="Arial" w:cs="Arial" w:eastAsia="Arial" w:hAnsi="Arial"/>
          <w:sz w:val="17"/>
          <w:szCs w:val="17"/>
          <w:color w:val="auto"/>
        </w:rPr>
        <w:t>, during the first quarter of 2020, there were negative market indicators that were determined to be triggering events indicating a potential impairment of certain long-lived assets within asset groups in the Services, International, and Products and Systems segments, as well as Corporate. The asset groups are groupings of assets and liabilities determined at the lowest level for which identifiable cash flows are largely independent of the cash flows of other assets and liabilities. Recoverability testing indicated that certain intangible assets and right of use assets (See Note 13-</w:t>
      </w:r>
      <w:r>
        <w:rPr>
          <w:rFonts w:ascii="Arial" w:cs="Arial" w:eastAsia="Arial" w:hAnsi="Arial"/>
          <w:sz w:val="17"/>
          <w:szCs w:val="17"/>
          <w:b w:val="1"/>
          <w:bCs w:val="1"/>
          <w:i w:val="1"/>
          <w:iCs w:val="1"/>
          <w:color w:val="auto"/>
        </w:rPr>
        <w:t>Leases</w:t>
      </w:r>
      <w:r>
        <w:rPr>
          <w:rFonts w:ascii="Arial" w:cs="Arial" w:eastAsia="Arial" w:hAnsi="Arial"/>
          <w:sz w:val="17"/>
          <w:szCs w:val="17"/>
          <w:color w:val="auto"/>
        </w:rPr>
        <w:t>) were potentially impaired. For asset groups that required an impairment measurement, similar to the valuations performed to determine the goodwill impairment, the Company used income and market approaches to estimate the fair value of the long-lived assets, which requires significant judgment in evaluation of the useful lives of the assets, economic and industry trends, estimated future cash flows, discount rates, and other factors. The result of the analysis was an aggregate impairment charge of $28.8 million, which consisted of $25.9 million to software/technology, $2.2 million to customer relationships, $0.5 million to other intangibles and $0.2 million to covenants not to compete, all of which are in the Services reporting unit within the Services segment and are included in Impairment charges on the Unaudited Condensed Consolidated Statements of Income (Loss) for three months ended March 31, 2020.</w:t>
      </w:r>
    </w:p>
    <w:p>
      <w:pPr>
        <w:spacing w:after="0" w:line="200" w:lineRule="exact"/>
        <w:rPr>
          <w:sz w:val="20"/>
          <w:szCs w:val="20"/>
          <w:color w:val="auto"/>
        </w:rPr>
      </w:pPr>
    </w:p>
    <w:p>
      <w:pPr>
        <w:spacing w:after="0" w:line="25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6"/>
                <w:szCs w:val="16"/>
                <w:color w:val="auto"/>
              </w:rPr>
            </w:pPr>
          </w:p>
        </w:tc>
        <w:tc>
          <w:tcPr>
            <w:tcW w:w="138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December 31, 2020</w:t>
            </w:r>
          </w:p>
        </w:tc>
      </w:tr>
      <w:tr>
        <w:trPr>
          <w:trHeight w:val="256"/>
        </w:trPr>
        <w:tc>
          <w:tcPr>
            <w:tcW w:w="80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wages and related employee benefits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30,214</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Contingent consideration, current portion</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workers’ compensation and health benefits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6,538</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accrual</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Right-of-use liability - Operating</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10,348</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23,633</w:t>
            </w: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83,629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78,500</w:t>
            </w:r>
          </w:p>
        </w:tc>
      </w:tr>
      <w:tr>
        <w:trPr>
          <w:trHeight w:val="21"/>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6"/>
                <w:szCs w:val="16"/>
                <w:color w:val="auto"/>
              </w:rPr>
            </w:pPr>
          </w:p>
        </w:tc>
        <w:tc>
          <w:tcPr>
            <w:tcW w:w="138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December 31, 2020</w:t>
            </w:r>
          </w:p>
        </w:tc>
      </w:tr>
      <w:tr>
        <w:trPr>
          <w:trHeight w:val="256"/>
        </w:trPr>
        <w:tc>
          <w:tcPr>
            <w:tcW w:w="80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120,312</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w w:val="92"/>
              </w:rPr>
              <w:t>Senior secured term loan, net of unamortized debt issuance costs of $0.2 million and 0.3 million, respectively</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87,891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89,745</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10,159</w:t>
            </w: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222,306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220,216</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w:t>
            </w: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211,161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209,538</w:t>
            </w:r>
          </w:p>
        </w:tc>
      </w:tr>
      <w:tr>
        <w:trPr>
          <w:trHeight w:val="21"/>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Company has a credit agreement with its banking group (as amended, the "Credit Agreement") which provides the Company with a revolving line of credit and a $100 million senior secured term loan A facility. Pursuant to the Amendment described below, the revolving line of credit was reduced from $300 million to $175 million. Both the revolving line of credit and the term loan A facility under the Credit Agreement have a maturity date of December 12, 2023.</w:t>
      </w:r>
    </w:p>
    <w:p>
      <w:pPr>
        <w:spacing w:after="0" w:line="21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May 15, 2020, the Company entered into the Third Amendment (the “Amendment”) to the Credit Agreement. The amendment was needed because the Company determined that as a result of the uncertain impact of the COVID-19 pandemic and the significant drop in oil prices, it would not meet the then existing financial covenants in the Credit Agreement for upcoming quarters. Accordingly, the Amendment modified the financial covenants to provide for:</w:t>
      </w:r>
    </w:p>
    <w:p>
      <w:pPr>
        <w:spacing w:after="0" w:line="2" w:lineRule="exact"/>
        <w:rPr>
          <w:sz w:val="20"/>
          <w:szCs w:val="20"/>
          <w:color w:val="auto"/>
        </w:rPr>
      </w:pPr>
    </w:p>
    <w:p>
      <w:pPr>
        <w:ind w:right="60" w:firstLine="8"/>
        <w:spacing w:after="0" w:line="281" w:lineRule="auto"/>
        <w:tabs>
          <w:tab w:leader="none" w:pos="155" w:val="left"/>
        </w:tabs>
        <w:numPr>
          <w:ilvl w:val="0"/>
          <w:numId w:val="6"/>
        </w:numPr>
        <w:rPr>
          <w:rFonts w:ascii="Arial" w:cs="Arial" w:eastAsia="Arial" w:hAnsi="Arial"/>
          <w:sz w:val="16"/>
          <w:szCs w:val="16"/>
          <w:color w:val="auto"/>
        </w:rPr>
      </w:pPr>
      <w:r>
        <w:rPr>
          <w:rFonts w:ascii="Arial" w:cs="Arial" w:eastAsia="Arial" w:hAnsi="Arial"/>
          <w:sz w:val="16"/>
          <w:szCs w:val="16"/>
          <w:color w:val="auto"/>
        </w:rPr>
        <w:t>elimination of the Funded Debt Leverage Ratio (as defined in the Credit Agreement) for the quarters ended June 30 and September 30, 2020 and increased the Funded Debt Leverage ratio to no greater than 5.25 to 1 beginning for the quarter ending December 31, 2020 and decreasing each successive quarter to no greater than 3.50 to 1 for the quarter ended September 30, 2021, and all quarterly periods thereafter; ii) an elimination of the minimum Fixed Charge Coverage Ratio (as defined in the Credit Agreement) for the quarters ended June 30, September 30 and December 31, 2020), a decrease to 1.0 to 1 for the quarter ending March 31, 2021 and returning to 1.25 to 1 for the quarter ending June 30, 2021 and thereafter; iii) the addition of a minimum EBITDA covenant requiring $3.44 million for the three months ending June 30, 2020, $24.25 million for the six months ending September 30, 2020, and $38.55 million for the nine months ending December 31, 2020, with no requirement thereafter; and iv) the addition of a minimum Liquidity (as defined in the Amendment) covenant of not less than $20.0 million at all times through September 30, 2020 and ceasing thereafter. In addition, the Amendment set a LIBOR floor of 1.0% applicable to all LIBOR loans, and increased the LIBOR margin range to 1.50% to 4.15%, in addition to certain other modifications of the Credit Agreement. The Amendment also requires that the Company promptly prepay the outstanding amount under the revolving credit facility in an amount equal to the difference between (a) the aggregate sum of cash and cash equivalents of the Company and its subsidiaries held in the United States minus (b) $10.0 million if, for a period of two (2) consecutive business days, (i) the outstanding amount under the revolving credit facility exceeds</w:t>
      </w:r>
    </w:p>
    <w:p>
      <w:pPr>
        <w:spacing w:after="0" w:line="7" w:lineRule="exact"/>
        <w:rPr>
          <w:rFonts w:ascii="Arial" w:cs="Arial" w:eastAsia="Arial" w:hAnsi="Arial"/>
          <w:sz w:val="16"/>
          <w:szCs w:val="16"/>
          <w:color w:val="auto"/>
        </w:rPr>
      </w:pPr>
    </w:p>
    <w:p>
      <w:pPr>
        <w:spacing w:after="0" w:line="302" w:lineRule="auto"/>
        <w:rPr>
          <w:rFonts w:ascii="Arial" w:cs="Arial" w:eastAsia="Arial" w:hAnsi="Arial"/>
          <w:sz w:val="16"/>
          <w:szCs w:val="16"/>
          <w:color w:val="auto"/>
        </w:rPr>
      </w:pPr>
      <w:r>
        <w:rPr>
          <w:rFonts w:ascii="Arial" w:cs="Arial" w:eastAsia="Arial" w:hAnsi="Arial"/>
          <w:sz w:val="16"/>
          <w:szCs w:val="16"/>
          <w:color w:val="auto"/>
        </w:rPr>
        <w:t>$75.0 million and (ii) the sum of such cash and cash equivalents exceeds $10.0 million. The Amendment reduced the Company's total available loan capacity, amongst other things, and as a result, the Company expensed approximately $0.6 million in capitalized debt issuance costs during the second quarter of 2020, which was included in Selling, general and administrative expenses on the Unaudited Condensed Consolidated Statements of Income Loss.</w:t>
      </w:r>
    </w:p>
    <w:p>
      <w:pPr>
        <w:spacing w:after="0" w:line="128"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The Credit Agreement provides that the Company may not make any acquisitions prior to June 30, 2021, and thereafter only if the Company's Funded Debt Leverage Ratio is less than 2.50 to 1, and after giving effect to such acquisition, its pro forma Funded Debt Leverage Ratio will not be greater than 3.25 to</w:t>
      </w:r>
    </w:p>
    <w:p>
      <w:pPr>
        <w:spacing w:after="0" w:line="1" w:lineRule="exact"/>
        <w:rPr>
          <w:sz w:val="20"/>
          <w:szCs w:val="20"/>
          <w:color w:val="auto"/>
        </w:rPr>
      </w:pPr>
    </w:p>
    <w:p>
      <w:pPr>
        <w:ind w:right="140" w:firstLine="8"/>
        <w:spacing w:after="0" w:line="238"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received an amendment from the lenders to complete an immaterial acquisition during three months ended March 31, 2021. The Credit Agreement also limits the Company’s ability to, among other things, create liens, make investments, incur more indebtedness, merge or consolidate, make dispositions of property, pay dividends and make distributions to stockholders or repurchase its stock, enter into a new line of business, enter into transactions with affiliates and enter into burdensome agreements.</w:t>
      </w:r>
    </w:p>
    <w:p>
      <w:pPr>
        <w:spacing w:after="0" w:line="21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Under the Credit Agreement, the Company may borrow up to $100 million in non-U.S. Dollar currencies and use up to $20 million of the credit limit for the issuance of letters of credit.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As of March 31, 2021, the Company had borrowings of $213.0 million and a total of $4.3 million of letters of credit outstanding under the Credit Agreement. The Company has capitalized costs associated with debt modifications of $1.0 million as of March 31, 2021, which is included in Other Assets on the Condensed Consolidated Balance Sheets.</w:t>
      </w:r>
    </w:p>
    <w:p>
      <w:pPr>
        <w:spacing w:after="0" w:line="209" w:lineRule="exact"/>
        <w:rPr>
          <w:sz w:val="20"/>
          <w:szCs w:val="20"/>
          <w:color w:val="auto"/>
        </w:rPr>
      </w:pPr>
    </w:p>
    <w:p>
      <w:pPr>
        <w:ind w:right="400"/>
        <w:spacing w:after="0" w:line="241" w:lineRule="auto"/>
        <w:rPr>
          <w:sz w:val="20"/>
          <w:szCs w:val="20"/>
          <w:color w:val="auto"/>
        </w:rPr>
      </w:pPr>
      <w:r>
        <w:rPr>
          <w:rFonts w:ascii="Arial" w:cs="Arial" w:eastAsia="Arial" w:hAnsi="Arial"/>
          <w:sz w:val="18"/>
          <w:szCs w:val="18"/>
          <w:color w:val="auto"/>
        </w:rPr>
        <w:t>As of March 31, 2021, the Company was in compliance with the terms of the Credit Agreement and will continuously monitor its compliance with the covenants contained in its Credit Agreement. The Company believes that it is probable that the Company will be able to comply with the financial covenants in the Credit Agreement and that sufficient credit remains available under the Credit Agreement to meet the Company's liquidity needs. However, due to the uncertainties being caused by the COVID-19 pandemic, the significant volatility in oil prices, and volatility in the aerospace production, such matters cannot be predicted with certainty.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debt</w:t>
      </w:r>
    </w:p>
    <w:p>
      <w:pPr>
        <w:spacing w:after="0" w:line="252"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The Company's other debt includes local bank financing provided at the local subsidiary level used to support working capital requirements and fund capital expenditures. At March 31, 2021, there was an aggregate of approximately $9.3 million outstanding, payable at various times through 2030. Monthly payments range from $1.0 thousand to $18.0 thousand and interest rates range from 0.4% to 3.5%.</w:t>
      </w:r>
    </w:p>
    <w:p>
      <w:pPr>
        <w:spacing w:after="0" w:line="1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25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the fair value of Level 3 contingent consideration: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r>
      <w:tr>
        <w:trPr>
          <w:trHeight w:val="187"/>
        </w:trPr>
        <w:tc>
          <w:tcPr>
            <w:tcW w:w="80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r>
      <w:tr>
        <w:trPr>
          <w:trHeight w:val="224"/>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(1,303)</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Accretion of liability</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Revaluation</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48"/>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measured at fair value on a recurring basis</w:t>
      </w:r>
    </w:p>
    <w:p>
      <w:pPr>
        <w:spacing w:after="0" w:line="225" w:lineRule="exact"/>
        <w:rPr>
          <w:sz w:val="20"/>
          <w:szCs w:val="20"/>
          <w:color w:val="auto"/>
        </w:rPr>
      </w:pPr>
    </w:p>
    <w:p>
      <w:pPr>
        <w:jc w:val="both"/>
        <w:ind w:right="580"/>
        <w:spacing w:after="0" w:line="311"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finance lease obligations approximates their carrying amounts based on anticipated interest rates which management believes would currently be available to the Company for similar issuances of debt.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3"/>
          <w:szCs w:val="13"/>
          <w:b w:val="1"/>
          <w:bCs w:val="1"/>
          <w:color w:val="auto"/>
        </w:rPr>
        <w:t>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Condensed Consolidated Balance Sheets include the following related to operating leases: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86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316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380" w:type="dxa"/>
            <w:vAlign w:val="bottom"/>
          </w:tcPr>
          <w:p>
            <w:pPr>
              <w:jc w:val="right"/>
              <w:ind w:right="94"/>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29"/>
        </w:trPr>
        <w:tc>
          <w:tcPr>
            <w:tcW w:w="4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9"/>
                <w:szCs w:val="19"/>
                <w:color w:val="auto"/>
              </w:rPr>
            </w:pPr>
          </w:p>
        </w:tc>
        <w:tc>
          <w:tcPr>
            <w:tcW w:w="3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ROU assets</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46,728</w:t>
            </w:r>
          </w:p>
        </w:tc>
        <w:tc>
          <w:tcPr>
            <w:tcW w:w="0" w:type="dxa"/>
            <w:vAlign w:val="bottom"/>
          </w:tcPr>
          <w:p>
            <w:pPr>
              <w:spacing w:after="0"/>
              <w:rPr>
                <w:sz w:val="1"/>
                <w:szCs w:val="1"/>
                <w:color w:val="auto"/>
              </w:rPr>
            </w:pPr>
          </w:p>
        </w:tc>
      </w:tr>
      <w:tr>
        <w:trPr>
          <w:trHeight w:val="378"/>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8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ROU - current</w:t>
            </w:r>
          </w:p>
        </w:tc>
        <w:tc>
          <w:tcPr>
            <w:tcW w:w="3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Accrued expenses and other current</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10,201</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0" w:type="dxa"/>
            <w:vAlign w:val="bottom"/>
          </w:tcPr>
          <w:p>
            <w:pPr>
              <w:spacing w:after="0"/>
              <w:rPr>
                <w:sz w:val="1"/>
                <w:szCs w:val="1"/>
                <w:color w:val="auto"/>
              </w:rPr>
            </w:pPr>
          </w:p>
        </w:tc>
      </w:tr>
      <w:tr>
        <w:trPr>
          <w:trHeight w:val="230"/>
        </w:trPr>
        <w:tc>
          <w:tcPr>
            <w:tcW w:w="4860" w:type="dxa"/>
            <w:vAlign w:val="bottom"/>
            <w:gridSpan w:val="2"/>
            <w:vMerge w:val="continue"/>
            <w:shd w:val="clear" w:color="auto" w:fill="CCEEFF"/>
          </w:tcPr>
          <w:p>
            <w:pPr>
              <w:spacing w:after="0"/>
              <w:rPr>
                <w:sz w:val="19"/>
                <w:szCs w:val="19"/>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ROU liability - long-term</w:t>
            </w:r>
          </w:p>
        </w:tc>
        <w:tc>
          <w:tcPr>
            <w:tcW w:w="3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37,689</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ROU liabilities</w:t>
            </w:r>
          </w:p>
        </w:tc>
        <w:tc>
          <w:tcPr>
            <w:tcW w:w="3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Included within the balance of operating leases is a lease for the Company’s headquarters which is with a related party. The ROU liability for this facility was approximately $3.6 million and $3.8 million as of March 31, 2021 and December 31, 2020, respectively. Total rent payments for this facility were approximately $0.5 million and $0.3 million for the three months ended March 31, 2021 and March 31, 2020, respectively. An agreement was reached with the related party to reduce rental payments by 20% and defer payments for 90 days for the lease of the Company’s headquarters, starting in June 2020 through December 2020 as part of COVID-19 related vendor concessions.</w:t>
      </w:r>
    </w:p>
    <w:p>
      <w:pPr>
        <w:spacing w:after="0" w:line="203" w:lineRule="exact"/>
        <w:rPr>
          <w:sz w:val="20"/>
          <w:szCs w:val="20"/>
          <w:color w:val="auto"/>
        </w:rPr>
      </w:pPr>
    </w:p>
    <w:p>
      <w:pPr>
        <w:ind w:right="380"/>
        <w:spacing w:after="0" w:line="258" w:lineRule="auto"/>
        <w:rPr>
          <w:sz w:val="20"/>
          <w:szCs w:val="20"/>
          <w:color w:val="auto"/>
        </w:rPr>
      </w:pPr>
      <w:r>
        <w:rPr>
          <w:rFonts w:ascii="Arial" w:cs="Arial" w:eastAsia="Arial" w:hAnsi="Arial"/>
          <w:sz w:val="17"/>
          <w:szCs w:val="17"/>
          <w:color w:val="auto"/>
        </w:rPr>
        <w:t>The total ROU assets attributable to finance leases were approximately $15.2 million and $15.8 million as of March 31, 2021 and December 31, 2020, respectively, which is included in Property, plant, and equipment, net on the Condensed Consolidated Balance Sheets.</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described in Note 9-</w:t>
      </w:r>
      <w:r>
        <w:rPr>
          <w:rFonts w:ascii="Arial" w:cs="Arial" w:eastAsia="Arial" w:hAnsi="Arial"/>
          <w:sz w:val="17"/>
          <w:szCs w:val="17"/>
          <w:b w:val="1"/>
          <w:bCs w:val="1"/>
          <w:i w:val="1"/>
          <w:iCs w:val="1"/>
          <w:color w:val="auto"/>
        </w:rPr>
        <w:t>Intangible Assets</w:t>
      </w:r>
      <w:r>
        <w:rPr>
          <w:rFonts w:ascii="Arial" w:cs="Arial" w:eastAsia="Arial" w:hAnsi="Arial"/>
          <w:sz w:val="17"/>
          <w:szCs w:val="17"/>
          <w:color w:val="auto"/>
        </w:rPr>
        <w:t>, the Company performed an analysis to determine whether there was any impairment of long-lived assets, which included the ROU assets, within the Services, International, and Products and Systems operating segments as well as Corporate. The result of the analysis was a $0.2 million impairment of a ROU asset in an asset group within the Services segment which is included in Impairment charges on the Unaudited Condensed Consolidated Statements of Loss for the three months ended March 31, 2020.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34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4860" w:type="dxa"/>
            <w:vAlign w:val="bottom"/>
          </w:tcPr>
          <w:p>
            <w:pPr>
              <w:ind w:left="20"/>
              <w:spacing w:after="0"/>
              <w:rPr>
                <w:sz w:val="20"/>
                <w:szCs w:val="20"/>
                <w:color w:val="auto"/>
              </w:rPr>
            </w:pPr>
            <w:r>
              <w:rPr>
                <w:rFonts w:ascii="Arial" w:cs="Arial" w:eastAsia="Arial" w:hAnsi="Arial"/>
                <w:sz w:val="18"/>
                <w:szCs w:val="18"/>
                <w:color w:val="auto"/>
              </w:rPr>
              <w:t>Finance lease expense</w:t>
            </w:r>
          </w:p>
        </w:tc>
        <w:tc>
          <w:tcPr>
            <w:tcW w:w="3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ROU assets</w:t>
            </w: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0"/>
        </w:trPr>
        <w:tc>
          <w:tcPr>
            <w:tcW w:w="4860" w:type="dxa"/>
            <w:vAlign w:val="bottom"/>
          </w:tcPr>
          <w:p>
            <w:pPr>
              <w:ind w:left="120"/>
              <w:spacing w:after="0"/>
              <w:rPr>
                <w:sz w:val="20"/>
                <w:szCs w:val="20"/>
                <w:color w:val="auto"/>
              </w:rPr>
            </w:pPr>
            <w:r>
              <w:rPr>
                <w:rFonts w:ascii="Arial" w:cs="Arial" w:eastAsia="Arial" w:hAnsi="Arial"/>
                <w:sz w:val="18"/>
                <w:szCs w:val="18"/>
                <w:color w:val="auto"/>
              </w:rPr>
              <w:t>Interest on lease liabilities</w:t>
            </w:r>
          </w:p>
        </w:tc>
        <w:tc>
          <w:tcPr>
            <w:tcW w:w="31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75"/>
        </w:trPr>
        <w:tc>
          <w:tcPr>
            <w:tcW w:w="4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Operating lease expense</w:t>
            </w:r>
          </w:p>
        </w:tc>
        <w:tc>
          <w:tcPr>
            <w:tcW w:w="3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Cost of revenue; Selling, general &amp;</w:t>
            </w:r>
          </w:p>
        </w:tc>
        <w:tc>
          <w:tcPr>
            <w:tcW w:w="3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3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line="176" w:lineRule="exact"/>
              <w:rPr>
                <w:sz w:val="20"/>
                <w:szCs w:val="20"/>
                <w:color w:val="auto"/>
              </w:rPr>
            </w:pPr>
            <w:r>
              <w:rPr>
                <w:rFonts w:ascii="Arial" w:cs="Arial" w:eastAsia="Arial" w:hAnsi="Arial"/>
                <w:sz w:val="18"/>
                <w:szCs w:val="18"/>
                <w:color w:val="auto"/>
              </w:rPr>
              <w:t>Short-term lease expense</w:t>
            </w:r>
          </w:p>
        </w:tc>
        <w:tc>
          <w:tcPr>
            <w:tcW w:w="3160" w:type="dxa"/>
            <w:vAlign w:val="bottom"/>
            <w:gridSpan w:val="2"/>
          </w:tcPr>
          <w:p>
            <w:pPr>
              <w:spacing w:after="0" w:line="176" w:lineRule="exact"/>
              <w:rPr>
                <w:sz w:val="20"/>
                <w:szCs w:val="20"/>
                <w:color w:val="auto"/>
              </w:rPr>
            </w:pPr>
            <w:r>
              <w:rPr>
                <w:rFonts w:ascii="Arial" w:cs="Arial" w:eastAsia="Arial" w:hAnsi="Arial"/>
                <w:sz w:val="18"/>
                <w:szCs w:val="18"/>
                <w:color w:val="auto"/>
              </w:rPr>
              <w:t>Cost of revenue; Selling, general &amp;</w:t>
            </w:r>
          </w:p>
        </w:tc>
        <w:tc>
          <w:tcPr>
            <w:tcW w:w="3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administrative expenses</w:t>
            </w: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Variable lease expense</w:t>
            </w:r>
          </w:p>
        </w:tc>
        <w:tc>
          <w:tcPr>
            <w:tcW w:w="3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Cost of revenue; Selling, general &amp;</w:t>
            </w:r>
          </w:p>
        </w:tc>
        <w:tc>
          <w:tcPr>
            <w:tcW w:w="3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Total</w:t>
            </w: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related to leases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652"/>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4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12"/>
        </w:trPr>
        <w:tc>
          <w:tcPr>
            <w:tcW w:w="40" w:type="dxa"/>
            <w:vAlign w:val="bottom"/>
          </w:tcPr>
          <w:p>
            <w:pPr>
              <w:spacing w:after="0"/>
              <w:rPr>
                <w:sz w:val="18"/>
                <w:szCs w:val="18"/>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w w:val="94"/>
              </w:rPr>
              <w:t>Cash paid for amounts included in the measurement of lease liabilities for finance and operating leases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7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Finance - financing cash flows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1,167</w:t>
            </w:r>
          </w:p>
        </w:tc>
      </w:tr>
      <w:tr>
        <w:trPr>
          <w:trHeight w:val="230"/>
        </w:trPr>
        <w:tc>
          <w:tcPr>
            <w:tcW w:w="40" w:type="dxa"/>
            <w:vAlign w:val="bottom"/>
          </w:tcPr>
          <w:p>
            <w:pPr>
              <w:spacing w:after="0"/>
              <w:rPr>
                <w:sz w:val="19"/>
                <w:szCs w:val="19"/>
                <w:color w:val="auto"/>
              </w:rPr>
            </w:pPr>
          </w:p>
        </w:tc>
        <w:tc>
          <w:tcPr>
            <w:tcW w:w="7780" w:type="dxa"/>
            <w:vAlign w:val="bottom"/>
          </w:tcPr>
          <w:p>
            <w:pPr>
              <w:ind w:left="280"/>
              <w:spacing w:after="0"/>
              <w:rPr>
                <w:sz w:val="20"/>
                <w:szCs w:val="20"/>
                <w:color w:val="auto"/>
              </w:rPr>
            </w:pPr>
            <w:r>
              <w:rPr>
                <w:rFonts w:ascii="Arial" w:cs="Arial" w:eastAsia="Arial" w:hAnsi="Arial"/>
                <w:sz w:val="18"/>
                <w:szCs w:val="18"/>
                <w:color w:val="auto"/>
              </w:rPr>
              <w:t>Finance - operating cash flows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217</w:t>
            </w:r>
          </w:p>
        </w:tc>
      </w:tr>
      <w:tr>
        <w:trPr>
          <w:trHeight w:val="229"/>
        </w:trPr>
        <w:tc>
          <w:tcPr>
            <w:tcW w:w="40" w:type="dxa"/>
            <w:vAlign w:val="bottom"/>
          </w:tcPr>
          <w:p>
            <w:pPr>
              <w:spacing w:after="0"/>
              <w:rPr>
                <w:sz w:val="19"/>
                <w:szCs w:val="19"/>
                <w:color w:val="auto"/>
              </w:rPr>
            </w:pPr>
          </w:p>
        </w:tc>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 operating cash flows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3,322</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3,291</w:t>
            </w:r>
          </w:p>
        </w:tc>
      </w:tr>
      <w:tr>
        <w:trPr>
          <w:trHeight w:val="229"/>
        </w:trPr>
        <w:tc>
          <w:tcPr>
            <w:tcW w:w="4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ROU assets obtained in the exchange for lease liabilities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Finance leases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667</w:t>
            </w:r>
          </w:p>
        </w:tc>
      </w:tr>
      <w:tr>
        <w:trPr>
          <w:trHeight w:val="229"/>
        </w:trPr>
        <w:tc>
          <w:tcPr>
            <w:tcW w:w="40" w:type="dxa"/>
            <w:vAlign w:val="bottom"/>
          </w:tcPr>
          <w:p>
            <w:pPr>
              <w:spacing w:after="0"/>
              <w:rPr>
                <w:sz w:val="19"/>
                <w:szCs w:val="19"/>
                <w:color w:val="auto"/>
              </w:rPr>
            </w:pPr>
          </w:p>
        </w:tc>
        <w:tc>
          <w:tcPr>
            <w:tcW w:w="778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1,625</w:t>
            </w:r>
          </w:p>
        </w:tc>
      </w:tr>
      <w:tr>
        <w:trPr>
          <w:trHeight w:val="230"/>
        </w:trPr>
        <w:tc>
          <w:tcPr>
            <w:tcW w:w="40" w:type="dxa"/>
            <w:vAlign w:val="bottom"/>
          </w:tcPr>
          <w:p>
            <w:pPr>
              <w:spacing w:after="0"/>
              <w:rPr>
                <w:sz w:val="20"/>
                <w:szCs w:val="20"/>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7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Finance leases</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40" w:type="dxa"/>
            <w:vAlign w:val="bottom"/>
          </w:tcPr>
          <w:p>
            <w:pPr>
              <w:spacing w:after="0"/>
              <w:rPr>
                <w:sz w:val="19"/>
                <w:szCs w:val="19"/>
                <w:color w:val="auto"/>
              </w:rPr>
            </w:pPr>
          </w:p>
        </w:tc>
        <w:tc>
          <w:tcPr>
            <w:tcW w:w="778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40" w:type="dxa"/>
            <w:vAlign w:val="bottom"/>
          </w:tcPr>
          <w:p>
            <w:pPr>
              <w:spacing w:after="0"/>
              <w:rPr>
                <w:sz w:val="20"/>
                <w:szCs w:val="20"/>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7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Finance leases</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30"/>
        </w:trPr>
        <w:tc>
          <w:tcPr>
            <w:tcW w:w="40" w:type="dxa"/>
            <w:vAlign w:val="bottom"/>
          </w:tcPr>
          <w:p>
            <w:pPr>
              <w:spacing w:after="0"/>
              <w:rPr>
                <w:sz w:val="20"/>
                <w:szCs w:val="20"/>
                <w:color w:val="auto"/>
              </w:rPr>
            </w:pPr>
          </w:p>
        </w:tc>
        <w:tc>
          <w:tcPr>
            <w:tcW w:w="778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701"/>
        </w:trPr>
        <w:tc>
          <w:tcPr>
            <w:tcW w:w="7820" w:type="dxa"/>
            <w:vAlign w:val="bottom"/>
            <w:gridSpan w:val="2"/>
          </w:tcPr>
          <w:p>
            <w:pPr>
              <w:spacing w:after="0"/>
              <w:rPr>
                <w:sz w:val="20"/>
                <w:szCs w:val="20"/>
                <w:color w:val="auto"/>
              </w:rPr>
            </w:pPr>
            <w:r>
              <w:rPr>
                <w:rFonts w:ascii="Arial" w:cs="Arial" w:eastAsia="Arial" w:hAnsi="Arial"/>
                <w:sz w:val="18"/>
                <w:szCs w:val="18"/>
                <w:color w:val="auto"/>
              </w:rPr>
              <w:t>Maturities of lease liabilities as of March 31, 2021 were as follows: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8"/>
        </w:trPr>
        <w:tc>
          <w:tcPr>
            <w:tcW w:w="40" w:type="dxa"/>
            <w:vAlign w:val="bottom"/>
          </w:tcPr>
          <w:p>
            <w:pPr>
              <w:spacing w:after="0"/>
              <w:rPr>
                <w:sz w:val="24"/>
                <w:szCs w:val="24"/>
                <w:color w:val="auto"/>
              </w:rPr>
            </w:pPr>
          </w:p>
        </w:tc>
        <w:tc>
          <w:tcPr>
            <w:tcW w:w="77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Finance</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Operating</w:t>
            </w:r>
          </w:p>
        </w:tc>
      </w:tr>
      <w:tr>
        <w:trPr>
          <w:trHeight w:val="229"/>
        </w:trPr>
        <w:tc>
          <w:tcPr>
            <w:tcW w:w="40" w:type="dxa"/>
            <w:vAlign w:val="bottom"/>
          </w:tcPr>
          <w:p>
            <w:pPr>
              <w:spacing w:after="0"/>
              <w:rPr>
                <w:sz w:val="19"/>
                <w:szCs w:val="19"/>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w:t>
            </w:r>
          </w:p>
        </w:tc>
      </w:tr>
      <w:tr>
        <w:trPr>
          <w:trHeight w:val="229"/>
        </w:trPr>
        <w:tc>
          <w:tcPr>
            <w:tcW w:w="4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4,214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10,863</w:t>
            </w:r>
          </w:p>
        </w:tc>
      </w:tr>
      <w:tr>
        <w:trPr>
          <w:trHeight w:val="230"/>
        </w:trPr>
        <w:tc>
          <w:tcPr>
            <w:tcW w:w="40" w:type="dxa"/>
            <w:vAlign w:val="bottom"/>
          </w:tcPr>
          <w:p>
            <w:pPr>
              <w:spacing w:after="0"/>
              <w:rPr>
                <w:sz w:val="19"/>
                <w:szCs w:val="19"/>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9,233</w:t>
            </w:r>
          </w:p>
        </w:tc>
      </w:tr>
      <w:tr>
        <w:trPr>
          <w:trHeight w:val="230"/>
        </w:trPr>
        <w:tc>
          <w:tcPr>
            <w:tcW w:w="4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2,385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7,045</w:t>
            </w:r>
          </w:p>
        </w:tc>
      </w:tr>
      <w:tr>
        <w:trPr>
          <w:trHeight w:val="230"/>
        </w:trPr>
        <w:tc>
          <w:tcPr>
            <w:tcW w:w="40" w:type="dxa"/>
            <w:vAlign w:val="bottom"/>
          </w:tcPr>
          <w:p>
            <w:pPr>
              <w:spacing w:after="0"/>
              <w:rPr>
                <w:sz w:val="19"/>
                <w:szCs w:val="19"/>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r>
      <w:tr>
        <w:trPr>
          <w:trHeight w:val="229"/>
        </w:trPr>
        <w:tc>
          <w:tcPr>
            <w:tcW w:w="40" w:type="dxa"/>
            <w:vAlign w:val="bottom"/>
          </w:tcPr>
          <w:p>
            <w:pPr>
              <w:spacing w:after="0"/>
              <w:rPr>
                <w:sz w:val="19"/>
                <w:szCs w:val="19"/>
                <w:color w:val="auto"/>
              </w:rPr>
            </w:pPr>
          </w:p>
        </w:tc>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758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12,141</w:t>
            </w:r>
          </w:p>
        </w:tc>
      </w:tr>
      <w:tr>
        <w:trPr>
          <w:trHeight w:val="223"/>
        </w:trPr>
        <w:tc>
          <w:tcPr>
            <w:tcW w:w="40" w:type="dxa"/>
            <w:vAlign w:val="bottom"/>
          </w:tcPr>
          <w:p>
            <w:pPr>
              <w:spacing w:after="0"/>
              <w:rPr>
                <w:sz w:val="19"/>
                <w:szCs w:val="19"/>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15,682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53,765</w:t>
            </w:r>
          </w:p>
        </w:tc>
      </w:tr>
      <w:tr>
        <w:trPr>
          <w:trHeight w:val="229"/>
        </w:trPr>
        <w:tc>
          <w:tcPr>
            <w:tcW w:w="40" w:type="dxa"/>
            <w:vAlign w:val="bottom"/>
          </w:tcPr>
          <w:p>
            <w:pPr>
              <w:spacing w:after="0"/>
              <w:rPr>
                <w:sz w:val="19"/>
                <w:szCs w:val="19"/>
                <w:color w:val="auto"/>
              </w:rPr>
            </w:pPr>
          </w:p>
        </w:tc>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discount</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1,318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7,757</w:t>
            </w:r>
          </w:p>
        </w:tc>
      </w:tr>
      <w:tr>
        <w:trPr>
          <w:trHeight w:val="248"/>
        </w:trPr>
        <w:tc>
          <w:tcPr>
            <w:tcW w:w="40" w:type="dxa"/>
            <w:vAlign w:val="bottom"/>
          </w:tcPr>
          <w:p>
            <w:pPr>
              <w:spacing w:after="0"/>
              <w:rPr>
                <w:sz w:val="21"/>
                <w:szCs w:val="21"/>
                <w:color w:val="auto"/>
              </w:rPr>
            </w:pPr>
          </w:p>
        </w:tc>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14,364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46,008</w:t>
            </w:r>
          </w:p>
        </w:tc>
      </w:tr>
      <w:tr>
        <w:trPr>
          <w:trHeight w:val="20"/>
        </w:trPr>
        <w:tc>
          <w:tcPr>
            <w:tcW w:w="40" w:type="dxa"/>
            <w:vAlign w:val="bottom"/>
          </w:tcPr>
          <w:p>
            <w:pPr>
              <w:spacing w:after="0" w:line="20" w:lineRule="exact"/>
              <w:rPr>
                <w:sz w:val="1"/>
                <w:szCs w:val="1"/>
                <w:color w:val="auto"/>
              </w:rPr>
            </w:pPr>
          </w:p>
        </w:tc>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Government Investigations</w:t>
      </w:r>
    </w:p>
    <w:p>
      <w:pPr>
        <w:spacing w:after="0" w:line="2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is subject to periodic lawsuits, investigations and claims that arise in the ordinary course of business. The Company cannot predict with certainty the ultimate resolution of lawsuits, investigations and claims asserted against it. Except possibly for certain of the matters described below, the Company does not believe that any currently pending legal proceeding to which the Company is a party will have a material adverse effect on its business, results of operations, cash flows or financial condition. The costs of defense and amounts that may be recovered against the Company may be covered by insurance for certain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was contracted to perform inspections of welds on various pipeline projects in Texas for a customer. As of December 31, 2019, approximately $1.4 million of past due receivables were outstanding from this customer. The customer provided the Company with notice in December 2019, alleging that the Company’s inspection of 66 welds (out of approximately 16,000 welds inspected) were not in compliance with the contract, claimed approximately $7.6 million in damages, and requested that the Company pay these damages and any other damages incurred. The Company has filed a lawsuit in the District Court of Bexar County, Texas, 37th Judicial District, in an action captioned Mistras Group, Inc. v. Epic Y-Grade Pipeline LP, to recover the $1.4 million and other amounts due to the Company. The customer filed a counterclaim, alleging breach of contract and seeking recovery of its alleged damages. The Company believes that any successful claim by the customer regarding the Company’s workmanship will be covered by insurance, subject to payment of a deductible. At this time, the Company is unable to determine whether it has any liability in connection with this matter and if so, the amount or range of any such liability, and accordingly, has not established any accruals for this matter. Accordingly, the Company recorded a reserve in the amount of $1.4 million during the twelve months ended December 31, 2019 for these past due receivables.</w:t>
      </w:r>
    </w:p>
    <w:p>
      <w:pPr>
        <w:spacing w:after="0" w:line="195"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 xml:space="preserve">Two proceedings have been filed in California Superior Court for the County of Los Angeles regarding alleged violations of the California Labor Code. Both cases are captioned </w:t>
      </w:r>
      <w:r>
        <w:rPr>
          <w:rFonts w:ascii="Arial" w:cs="Arial" w:eastAsia="Arial" w:hAnsi="Arial"/>
          <w:sz w:val="17"/>
          <w:szCs w:val="17"/>
          <w:i w:val="1"/>
          <w:iCs w:val="1"/>
          <w:color w:val="auto"/>
        </w:rPr>
        <w:t>Justin Price v. Mistras Group, Inc.</w:t>
      </w:r>
      <w:r>
        <w:rPr>
          <w:rFonts w:ascii="Arial" w:cs="Arial" w:eastAsia="Arial" w:hAnsi="Arial"/>
          <w:sz w:val="17"/>
          <w:szCs w:val="17"/>
          <w:color w:val="auto"/>
        </w:rPr>
        <w:t>, one being a purported class action lawsuit on behalf of current and former Mistras employees in California and the other was filed on behalf of the State of California under the California Private Attorney General Act on the basis of the same alleged violations. Both cases are requesting payment of all damages, including unpaid wages, and various fines and penalties available under California law. On May 4, 2021, the Company agreed to a settlement whereby the Company will pay $2.3 million to resolve the allegations in these proceedings and will be responsible for the employer portion of payroll taxes on the amount of the settlement allocated to wages. The settlement is subject to court approval and will cover claims dating back to June 2016 through July 31, 2021. The Company recorded expense of approximately $1.6 million during the three months ended March 31, 2021 related to this settlement, which is in addition to expense of $0.8 million the Company recorded during the three months ended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Related Contingencies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of Company’s subsidiaries had significant reductions in their unionized workers in 2018. The collective bargaining agreements for these employees required contributions for these employees to national multi-employer pension funds. The reduction in employees resulted a subsidiary incurring a complete withdrawal to one of the pension funds under the Employee Retirement Income Security Act of 1974 ("ERISA"), which was fully satisfied in 2019. The Company has determined that the subsidiary is likely to incur partial or complete withdrawal liability to the other pension fund. The balance of the estimated total amount of this potential liability as of March 31, 2021 is approximately $2.5 million, and the charges related to this liability were incurred in 2018 and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labor disputes</w:t>
      </w:r>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December 2019, the Company executed an agreement to sell the rights of certain customer "staff leasing" contracts related to its German subsidiary for total consideration of approximately $0.1 million, effective January 1, 2020. No other assets or liabilities other than those employee benefits related to employees working on the customer contracts were included in the sale. As of March 31, 2021, the Company has approximately $0.2 million of accrued estimated severance payment obligations, which takes into account the Company's estimate with respect to the employees that have been or will be transitioned to the German subsidiaries' other customers. The $0.2 million of estimated obligations is net of $0.4 million in payments made and $0.9 million in reversals due to employees being transitioned to customer contracts.</w:t>
      </w:r>
    </w:p>
    <w:p>
      <w:pPr>
        <w:spacing w:after="0" w:line="20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is entitled to indemnification on certain labor claims from the sellers of a company acquired by its Brazilian subsidiary. The Company and the seller entered into a settlement agreement for $1.0 million, which provides for payment in two installments, the first for approximately 31% of the settlement and the second for the remaining 69%. The first installment in the amount of $0.3 million was paid by the sellers in December 2020 and the Company recognized that amount as a gain in selling, general and administrative expenses in the same period. The remaining payment for $0.6 million was received in the first quarter of 2021 and the Company recognized that amount as a gain in selling, general and administrative expenses in the same period.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disposition related contingencies</w:t>
      </w:r>
    </w:p>
    <w:p>
      <w:pPr>
        <w:spacing w:after="0" w:line="2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is liable for contingent consideration in connection with certain of its acquisitions. As of March 31, 2021, total potential acquisition-related contingent consideration ranged from zero to approximately $4.3 million and would be payable upon the achievement of specific performance metrics by certain of the acquired companies over the next 1.5 years.</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2018, the Company sold a subsidiary in the Products and Systems segment. As part of the sale, the Company entered into a three-year agreement to purchase products from the buyer, with a cumulative commitment of $2.3 million, of which $1.1 million is remaining as of March 31, 2021. The agreement is based on third-party pricing and the Company's planned purchase requirements over the three-year purchase period to meet the minimum contractual purchases.</w:t>
      </w:r>
    </w:p>
    <w:p>
      <w:pPr>
        <w:spacing w:after="0" w:line="200" w:lineRule="exact"/>
        <w:rPr>
          <w:sz w:val="20"/>
          <w:szCs w:val="20"/>
          <w:color w:val="auto"/>
        </w:rPr>
      </w:pPr>
    </w:p>
    <w:p>
      <w:pPr>
        <w:spacing w:after="0" w:line="2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900" w:hanging="244"/>
        <w:spacing w:after="0" w:line="259" w:lineRule="auto"/>
        <w:tabs>
          <w:tab w:leader="none" w:pos="89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predominantly in North America, with the largest concentration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followed by Canada, consisting primarily of NDT, inspection, mechanical and engineering services that are used to evaluate the safety, structural integrity and reliability of critical energy, industrial and public infrastructure and commercial aerospace components. PCMS software and pipeline related software and data analysis solutions are included in this segment.</w:t>
      </w:r>
    </w:p>
    <w:p>
      <w:pPr>
        <w:spacing w:after="0" w:line="186" w:lineRule="exact"/>
        <w:rPr>
          <w:rFonts w:ascii="Arial" w:cs="Arial" w:eastAsia="Arial" w:hAnsi="Arial"/>
          <w:sz w:val="18"/>
          <w:szCs w:val="18"/>
          <w:i w:val="1"/>
          <w:iCs w:val="1"/>
          <w:color w:val="auto"/>
        </w:rPr>
      </w:pPr>
    </w:p>
    <w:p>
      <w:pPr>
        <w:ind w:left="900" w:right="160" w:hanging="244"/>
        <w:spacing w:after="0" w:line="263"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other segments to select markets within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Africa, Asia and South America, but not to customers in China and South Korea, which are served by the Products and Systems segment.</w:t>
      </w:r>
    </w:p>
    <w:p>
      <w:pPr>
        <w:spacing w:after="0" w:line="183" w:lineRule="exact"/>
        <w:rPr>
          <w:rFonts w:ascii="Arial" w:cs="Arial" w:eastAsia="Arial" w:hAnsi="Arial"/>
          <w:sz w:val="18"/>
          <w:szCs w:val="18"/>
          <w:color w:val="auto"/>
        </w:rPr>
      </w:pPr>
    </w:p>
    <w:p>
      <w:pPr>
        <w:ind w:left="900" w:right="180" w:hanging="244"/>
        <w:spacing w:after="0" w:line="277"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w:t>
      </w:r>
    </w:p>
    <w:p>
      <w:pPr>
        <w:spacing w:after="0" w:line="184" w:lineRule="exact"/>
        <w:rPr>
          <w:sz w:val="20"/>
          <w:szCs w:val="20"/>
          <w:color w:val="auto"/>
        </w:rPr>
      </w:pPr>
    </w:p>
    <w:p>
      <w:pPr>
        <w:ind w:firstLine="42"/>
        <w:spacing w:after="0" w:line="254" w:lineRule="auto"/>
        <w:rPr>
          <w:sz w:val="20"/>
          <w:szCs w:val="20"/>
          <w:color w:val="auto"/>
        </w:rPr>
      </w:pPr>
      <w:r>
        <w:rPr>
          <w:rFonts w:ascii="Arial" w:cs="Arial" w:eastAsia="Arial" w:hAnsi="Arial"/>
          <w:sz w:val="18"/>
          <w:szCs w:val="18"/>
          <w:color w:val="auto"/>
        </w:rPr>
        <w:t>The accounting policies of the reportable segments are the same as those described in Note 1</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Description of Business and Basis of Presentation</w:t>
      </w:r>
      <w:r>
        <w:rPr>
          <w:rFonts w:ascii="Arial" w:cs="Arial" w:eastAsia="Arial" w:hAnsi="Arial"/>
          <w:sz w:val="18"/>
          <w:szCs w:val="18"/>
          <w:color w:val="auto"/>
        </w:rPr>
        <w:t>. Segment income from operations is one of the primary performance measures used by the chief operating decision maker, to assess the performance of each segment and make resource allocation decisions. Certain general and administrative costs such as human resources, information technology and training are allocated to the segments. Segment income from operations excludes interest and other financial charges and income taxes. 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Selected consolidated financial information by segment for the periods shown was as follows: (with intercompany transactions eliminated in Corporate and eliminations)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12"/>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128,873</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29,067</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r>
      <w:tr>
        <w:trPr>
          <w:trHeight w:val="229"/>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159,465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8"/>
        </w:trPr>
        <w:tc>
          <w:tcPr>
            <w:tcW w:w="80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12"/>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32,237</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8,023</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30"/>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Income (loss) from operations by operating segment includes intercompany transactions, which are eliminated in Corporate and eliminations.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160" w:type="dxa"/>
            <w:vAlign w:val="bottom"/>
            <w:tcBorders>
              <w:bottom w:val="single" w:sz="8" w:color="auto"/>
            </w:tcBorders>
            <w:gridSpan w:val="5"/>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12"/>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(81,494)</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(20,419)</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r>
      <w:tr>
        <w:trPr>
          <w:trHeight w:val="230"/>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(7,893)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(7,635)</w:t>
            </w: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(111,228)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8"/>
        </w:trPr>
        <w:tc>
          <w:tcPr>
            <w:tcW w:w="8040" w:type="dxa"/>
            <w:vAlign w:val="bottom"/>
          </w:tcPr>
          <w:p>
            <w:pPr>
              <w:spacing w:after="0"/>
              <w:rPr>
                <w:sz w:val="24"/>
                <w:szCs w:val="24"/>
                <w:color w:val="auto"/>
              </w:rPr>
            </w:pPr>
          </w:p>
        </w:tc>
        <w:tc>
          <w:tcPr>
            <w:tcW w:w="3160" w:type="dxa"/>
            <w:vAlign w:val="bottom"/>
            <w:tcBorders>
              <w:bottom w:val="single" w:sz="8" w:color="auto"/>
            </w:tcBorders>
            <w:gridSpan w:val="5"/>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12"/>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2,140</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6"/>
                <w:szCs w:val="16"/>
                <w:color w:val="auto"/>
              </w:rPr>
            </w:pPr>
          </w:p>
        </w:tc>
        <w:tc>
          <w:tcPr>
            <w:tcW w:w="138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December 31, 2020</w:t>
            </w: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58,917</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8,664</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29"/>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750"/>
        </w:trPr>
        <w:tc>
          <w:tcPr>
            <w:tcW w:w="8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24"/>
                <w:szCs w:val="24"/>
                <w:color w:val="auto"/>
              </w:rPr>
            </w:pPr>
          </w:p>
        </w:tc>
        <w:tc>
          <w:tcPr>
            <w:tcW w:w="138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December 31, 2020</w:t>
            </w: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427,636</w:t>
            </w: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122,184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129,228</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10,996</w:t>
            </w:r>
          </w:p>
        </w:tc>
      </w:tr>
      <w:tr>
        <w:trPr>
          <w:trHeight w:val="229"/>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15,453</w:t>
            </w: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584,401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583,313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color w:val="auto"/>
        </w:rPr>
        <w:t xml:space="preserve"> for revenue by geographic area for the three months ended March 31, 2021 and 2020.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described in Note 14-</w:t>
      </w:r>
      <w:r>
        <w:rPr>
          <w:rFonts w:ascii="Arial" w:cs="Arial" w:eastAsia="Arial" w:hAnsi="Arial"/>
          <w:sz w:val="18"/>
          <w:szCs w:val="18"/>
          <w:b w:val="1"/>
          <w:bCs w:val="1"/>
          <w:i w:val="1"/>
          <w:iCs w:val="1"/>
          <w:color w:val="auto"/>
        </w:rPr>
        <w:t>Committments and Contingencies</w:t>
      </w:r>
      <w:r>
        <w:rPr>
          <w:rFonts w:ascii="Arial" w:cs="Arial" w:eastAsia="Arial" w:hAnsi="Arial"/>
          <w:sz w:val="18"/>
          <w:szCs w:val="18"/>
          <w:color w:val="auto"/>
        </w:rPr>
        <w:t xml:space="preserve">, on May 4, 2021, the Company agreed to a settlement of the two California cases, </w:t>
      </w:r>
      <w:r>
        <w:rPr>
          <w:rFonts w:ascii="Arial" w:cs="Arial" w:eastAsia="Arial" w:hAnsi="Arial"/>
          <w:sz w:val="18"/>
          <w:szCs w:val="18"/>
          <w:i w:val="1"/>
          <w:iCs w:val="1"/>
          <w:color w:val="auto"/>
        </w:rPr>
        <w:t>Justin Price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 Mistras Group, Inc. </w:t>
      </w:r>
      <w:r>
        <w:rPr>
          <w:rFonts w:ascii="Arial" w:cs="Arial" w:eastAsia="Arial" w:hAnsi="Arial"/>
          <w:sz w:val="18"/>
          <w:szCs w:val="18"/>
          <w:color w:val="auto"/>
        </w:rPr>
        <w:t>Pursuant to the settlement, the Company will pay $2.3 million to resolve the allegations in these proceedings and will be responsible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employer portion of payroll taxes on the amount of the settlement allocated to wages. The settlement is subject to court approval, and will cover claims dating back to June 2016 through July 31, 2021. The Company recorded expense of approximately $1.6 million during the three months ended March 31, 2021 related to this settlement, which is in addition to expense of $0.8 million the Company recorded during the three months ended December 31, 2020.</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following Management’s Discussion and Analysis (“MD&amp;A”) provides a discussion of our results of operations and financial position for the three months ended March 31, 2021 and 2020. The MD&amp;A should be read together with our Unaudited Condensed Consolidated Financial Statements and related notes included in Item 1 in this Quarterly Report on Form 10-Q and our audited consolidated financial statements and related notes included in our Annual Report on Form 10-K for the year ended December 31, 2020, filed with the Securities and Exchange Commission on March 16, 2021 (“2020 Annual Report”). Unless otherwise specified or the context otherwise requires, “Mistras,” “the Company,” “we,” “us” and “our” refer to Mistras Group, Inc. and its consolidated subsidiaries. The MD&amp;A includes the following sections:</w:t>
      </w:r>
    </w:p>
    <w:p>
      <w:pPr>
        <w:spacing w:after="0" w:line="17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Overview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Note about Non-GAAP Measures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2020 Annual Report as well as those discussed in this Quarterly Report on Form 10-Q and in our other filings with the SEC.</w:t>
      </w:r>
    </w:p>
    <w:p>
      <w:pPr>
        <w:spacing w:after="0" w:line="19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At the time of this report, the COVID-19 pandemic is continuing to have a negative impact on us and our key markets and is causing significant economic disruption worldwide. Our discussion below is qualified by the unknown impact that the COVID-19 pandemic will continue to have on our business and the economy in general, including the duration of the health risk the COVID-19 pandemic will cause and the resulting economic disruption.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a leading "one source" multinational provider of integrated technology-enabled asset protection solutions, helping to maximize the safety and operational uptime for civilization’s most critical industrial and civil assets. Backed by an innovative, data-driven asset protection portfolio, proprietary technologies, and decades-long legacy of industry leadership, the Company leads clients in the oil and gas, aerospace and defense, power generation, infrastructure, and manufacturing industries towards achieving and maintaining operational excellence. By supporting these organizations that help fuel our vehicles and power our society; inspecting components that are trusted for commercial, defense, and space craft; and building real-time monitoring equipment to enable safe travel across bridges, the Company helps the world at large.</w:t>
      </w:r>
    </w:p>
    <w:p>
      <w:pPr>
        <w:spacing w:after="0" w:line="20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 The Company enhances value for its clients by</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r>
        <w:rPr>
          <w:rFonts w:ascii="Arial" w:cs="Arial" w:eastAsia="Arial" w:hAnsi="Arial"/>
          <w:sz w:val="18"/>
          <w:szCs w:val="18"/>
          <w:color w:val="auto"/>
        </w:rPr>
        <w:t>March 31,</w:t>
      </w:r>
    </w:p>
    <w:p>
      <w:pPr>
        <w:spacing w:after="0" w:line="200" w:lineRule="exact"/>
        <w:rPr>
          <w:sz w:val="20"/>
          <w:szCs w:val="20"/>
          <w:color w:val="auto"/>
        </w:rPr>
      </w:pPr>
    </w:p>
    <w:p>
      <w:pPr>
        <w:spacing w:after="0" w:line="2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integrating asset protection throughout supply chains and centralizing integrity data through a suite of Industrial IoT-connected digital software and monitoring solutions.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three reportable segments: Services, International, and Products and Systems.</w:t>
      </w:r>
    </w:p>
    <w:p>
      <w:pPr>
        <w:spacing w:after="0" w:line="63" w:lineRule="exact"/>
        <w:rPr>
          <w:sz w:val="20"/>
          <w:szCs w:val="20"/>
          <w:color w:val="auto"/>
        </w:rPr>
      </w:pPr>
    </w:p>
    <w:p>
      <w:pPr>
        <w:ind w:left="660" w:right="420" w:hanging="328"/>
        <w:spacing w:after="0" w:line="24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followed by</w:t>
      </w:r>
      <w:r>
        <w:rPr>
          <w:rFonts w:ascii="Arial" w:cs="Arial" w:eastAsia="Arial" w:hAnsi="Arial"/>
          <w:sz w:val="18"/>
          <w:szCs w:val="18"/>
          <w:i w:val="1"/>
          <w:iCs w:val="1"/>
          <w:color w:val="auto"/>
        </w:rPr>
        <w:t xml:space="preserve"> </w:t>
      </w:r>
      <w:r>
        <w:rPr>
          <w:rFonts w:ascii="Arial" w:cs="Arial" w:eastAsia="Arial" w:hAnsi="Arial"/>
          <w:sz w:val="18"/>
          <w:szCs w:val="18"/>
          <w:color w:val="auto"/>
        </w:rPr>
        <w:t>Canada, consisting primarily of NDT, inspection, mechanical and engineering services that are used to evaluate the structural integrity and reliability of critical energy, industrial and public infrastructure and commercial aerospace components. PCMS software and pipeline related software and data analysis solutions are included in this segment.</w:t>
      </w:r>
    </w:p>
    <w:p>
      <w:pPr>
        <w:spacing w:after="0" w:line="25" w:lineRule="exact"/>
        <w:rPr>
          <w:rFonts w:ascii="Arial" w:cs="Arial" w:eastAsia="Arial" w:hAnsi="Arial"/>
          <w:sz w:val="18"/>
          <w:szCs w:val="18"/>
          <w:color w:val="auto"/>
        </w:rPr>
      </w:pPr>
    </w:p>
    <w:p>
      <w:pPr>
        <w:ind w:left="660" w:right="40" w:hanging="328"/>
        <w:spacing w:after="0" w:line="298"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offers services, products and systems similar to those of the other segments to select markets within Europe, the Middle East, Africa,</w:t>
      </w:r>
      <w:r>
        <w:rPr>
          <w:rFonts w:ascii="Arial" w:cs="Arial" w:eastAsia="Arial" w:hAnsi="Arial"/>
          <w:sz w:val="17"/>
          <w:szCs w:val="17"/>
          <w:i w:val="1"/>
          <w:iCs w:val="1"/>
          <w:color w:val="auto"/>
        </w:rPr>
        <w:t xml:space="preserve"> </w:t>
      </w:r>
      <w:r>
        <w:rPr>
          <w:rFonts w:ascii="Arial" w:cs="Arial" w:eastAsia="Arial" w:hAnsi="Arial"/>
          <w:sz w:val="17"/>
          <w:szCs w:val="17"/>
          <w:color w:val="auto"/>
        </w:rPr>
        <w:t>Asia and South America, but not to customers in China and South Korea, which are served by the Products and Systems segment.</w:t>
      </w:r>
    </w:p>
    <w:p>
      <w:pPr>
        <w:ind w:left="660" w:right="7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instrumentation, predominantly in the United States.</w:t>
      </w:r>
    </w:p>
    <w:p>
      <w:pPr>
        <w:spacing w:after="0" w:line="19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the oil and gas (downstream, midstream, upstream and petrochemical), commercial aerospace and defense, power generation (fossil, nuclear, alternative, renewable, and transmission and distribution), public infrastructure, chemicals, transportation, primary metals and metalworking pharmaceutical/biotechnology and food processing industries, and research and engineering institutions.</w:t>
      </w:r>
    </w:p>
    <w:p>
      <w:pPr>
        <w:spacing w:after="0" w:line="193"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will enhance our advantages over our competition.</w:t>
      </w:r>
    </w:p>
    <w:p>
      <w:pPr>
        <w:spacing w:after="0" w:line="19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believe long-term growth can be realized in all of our target markets. Our level of business and financial results are impacted by world-wide macro- and micro-economic conditions generally, as well as those within our target markets. Among other things, we expect the timing of our oil and gas customers inspection spend to be impacted by oil price fluctuations.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COVID-19 pandemic has caused significant volatility in domestic and international markets and is expected to continue to result in significant economic disruption.</w:t>
      </w:r>
    </w:p>
    <w:p>
      <w:pPr>
        <w:spacing w:after="0" w:line="19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businesses have been classified as non-healthcare critical infrastructure as defined by the U.S. Centers for Disease Control and Prevention (CDC). As a result, a majority of our customers have been and currently remain open for business. Our North American facilities have remained, and currently remain operating, with modified staffing in certain locations where appropriate. Similarly, our European facilities have remained, and currently remain operating, with modified staffing in certain locations where appropriate, but at a slower pace than North America.</w:t>
      </w:r>
    </w:p>
    <w:p>
      <w:pPr>
        <w:spacing w:after="0" w:line="19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Overall, we have taken actions to ensure the health and safety of our employees and those of its customers and suppliers; maintain business continuity and financial strength and stability; and serve our customers as they provide essential products and services to the world.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(tabular dollars are in thousands)</w:t>
      </w:r>
      <w:r>
        <w:rPr>
          <w:rFonts w:ascii="Arial" w:cs="Arial" w:eastAsia="Arial" w:hAnsi="Arial"/>
          <w:sz w:val="18"/>
          <w:szCs w:val="18"/>
          <w:color w:val="auto"/>
        </w:rPr>
        <w:t>March 31,</w:t>
      </w:r>
    </w:p>
    <w:p>
      <w:pPr>
        <w:spacing w:after="0" w:line="200" w:lineRule="exact"/>
        <w:rPr>
          <w:sz w:val="20"/>
          <w:szCs w:val="20"/>
          <w:color w:val="auto"/>
        </w:rPr>
      </w:pPr>
    </w:p>
    <w:p>
      <w:pPr>
        <w:spacing w:after="0" w:line="281"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COVID-19 pandemic, significant volatility in oil prices and decreased traffic in the aerospace industry have adversely affected our workforce and operations, as well as the operations of our customers, suppliers and contractors. These negative factors have also resulted in significant volatility and uncertainty in the markets in which we operate.</w:t>
      </w:r>
    </w:p>
    <w:p>
      <w:pPr>
        <w:spacing w:after="0" w:line="21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While we cannot fully assess the impact that the COVID-19 pandemic or the significant volatility in oil prices will continue to have on our operations at this time, there are certain impacts that we have identified resulting in impairment charges in 2020. See Note 8-</w:t>
      </w:r>
      <w:r>
        <w:rPr>
          <w:rFonts w:ascii="Arial" w:cs="Arial" w:eastAsia="Arial" w:hAnsi="Arial"/>
          <w:sz w:val="16"/>
          <w:szCs w:val="16"/>
          <w:b w:val="1"/>
          <w:bCs w:val="1"/>
          <w:i w:val="1"/>
          <w:iCs w:val="1"/>
          <w:color w:val="auto"/>
        </w:rPr>
        <w:t>Goodwill,</w:t>
      </w:r>
      <w:r>
        <w:rPr>
          <w:rFonts w:ascii="Arial" w:cs="Arial" w:eastAsia="Arial" w:hAnsi="Arial"/>
          <w:sz w:val="16"/>
          <w:szCs w:val="16"/>
          <w:color w:val="auto"/>
        </w:rPr>
        <w:t xml:space="preserve"> Note 9-</w:t>
      </w:r>
      <w:r>
        <w:rPr>
          <w:rFonts w:ascii="Arial" w:cs="Arial" w:eastAsia="Arial" w:hAnsi="Arial"/>
          <w:sz w:val="16"/>
          <w:szCs w:val="16"/>
          <w:b w:val="1"/>
          <w:bCs w:val="1"/>
          <w:i w:val="1"/>
          <w:iCs w:val="1"/>
          <w:color w:val="auto"/>
        </w:rPr>
        <w:t>Intangible Assets</w:t>
      </w:r>
      <w:r>
        <w:rPr>
          <w:rFonts w:ascii="Arial" w:cs="Arial" w:eastAsia="Arial" w:hAnsi="Arial"/>
          <w:sz w:val="16"/>
          <w:szCs w:val="16"/>
          <w:color w:val="auto"/>
        </w:rPr>
        <w:t xml:space="preserve"> and Note 13-</w:t>
      </w:r>
      <w:r>
        <w:rPr>
          <w:rFonts w:ascii="Arial" w:cs="Arial" w:eastAsia="Arial" w:hAnsi="Arial"/>
          <w:sz w:val="16"/>
          <w:szCs w:val="16"/>
          <w:b w:val="1"/>
          <w:bCs w:val="1"/>
          <w:i w:val="1"/>
          <w:iCs w:val="1"/>
          <w:color w:val="auto"/>
        </w:rPr>
        <w:t>Leases</w:t>
      </w:r>
      <w:r>
        <w:rPr>
          <w:rFonts w:ascii="Arial" w:cs="Arial" w:eastAsia="Arial" w:hAnsi="Arial"/>
          <w:sz w:val="16"/>
          <w:szCs w:val="16"/>
          <w:color w:val="auto"/>
        </w:rPr>
        <w:t xml:space="preserve"> to the Notes to the Unaudited Condensed Consolidated Financial Statements included in this Quarterly Report for additional information.</w:t>
      </w:r>
    </w:p>
    <w:p>
      <w:pPr>
        <w:spacing w:after="0" w:line="230"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To respond to the economic downturn resulting from the factors discussed above, in March 2020 we initiated a temporary cost reduction and efficiency program. The Company has reinstated several of the temporary cost reduction initiatives undertaken during 2020, although, the Company continues to manage and evaluate these actions in responding to the pandemic. Our cash position and liquidity remains strong. As of March 31, 2021, the cash balance was approximately $24.2 million.</w:t>
      </w:r>
    </w:p>
    <w:p>
      <w:pPr>
        <w:spacing w:after="0" w:line="215"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In April 2021, the Biden Administration announced aggressive initiatives to battle climate change, which includes a significant reduction in the use of fossil fuels and a transition to electric vehicles and increased use of alternative energy. Any legislation or regulations that may be adopted to implement these measures may have a negative our customers in the oil and gas market over the long-term, which presently is our largest market, but will likely benefit the alternative energy market, such as wind energy, for which we provide products and services. At this time, it is difficult to determine the magnitude and timing of the impact that climate change initiatives and legislation, if any, will have on these markets and the resulting impact on our business and operational results.</w:t>
      </w:r>
    </w:p>
    <w:p>
      <w:pPr>
        <w:spacing w:after="0" w:line="21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are currently unable to predict with certainty the overall impact that the COVID-19 pandemic, volatility in oil prices and climate change initiatives to reduce the use of fossil fuels may have on our business, results of operations, liquidity or in other ways which we cannot yet determine. We will continue to monitor market conditions and respond accordingly. Refer to Item 1A. Risk Factors in Part I of our 2020 Annual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prepares its consolidated financial statements in accordance with U.S. GAAP. In this MD&amp;A under the heading "Income (loss) from Operations", the non-GAAP financial performance measure "Income (loss) before special items” is used for each of our three operating segments, the Corporate segment and the "Total Company", with tables reconciling the measure to a financial measure under GAAP. This presentation excludes from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our or any individual segment's core business operations. The acquisition related costs and special items can be a net expense or credit in any given period. Our management uses this non-GAAP measure as a measure of operating performance and liquidity to assist in comparing performance from period to period on a consistent basis, as a measure for planning and forecasting overall expectations and for evaluating actual results against such expectations. We believe investors and other users of our financial statements benefit from the presentation of this non-GAAP measure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the reported GAAP financial performance and/or necessarily comparable to the non-GAAP financial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r>
        <w:rPr>
          <w:rFonts w:ascii="Arial" w:cs="Arial" w:eastAsia="Arial" w:hAnsi="Arial"/>
          <w:sz w:val="18"/>
          <w:szCs w:val="18"/>
          <w:color w:val="auto"/>
        </w:rPr>
        <w:t>March 31,</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results of operations for the three months ended March 31, 2021 and 2020 were as follows: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77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24"/>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153,735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159,465</w:t>
            </w:r>
          </w:p>
        </w:tc>
      </w:tr>
      <w:tr>
        <w:trPr>
          <w:trHeight w:val="229"/>
        </w:trPr>
        <w:tc>
          <w:tcPr>
            <w:tcW w:w="77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40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40,001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40,644</w:t>
            </w: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Gross profit as a % of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25.5 %</w:t>
            </w:r>
          </w:p>
        </w:tc>
      </w:tr>
      <w:tr>
        <w:trPr>
          <w:trHeight w:val="229"/>
        </w:trPr>
        <w:tc>
          <w:tcPr>
            <w:tcW w:w="77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40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(4,746)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(111,228)</w:t>
            </w: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Loss from Operations as a % of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(69.8)%</w:t>
            </w:r>
          </w:p>
        </w:tc>
      </w:tr>
      <w:tr>
        <w:trPr>
          <w:trHeight w:val="229"/>
        </w:trPr>
        <w:tc>
          <w:tcPr>
            <w:tcW w:w="7780" w:type="dxa"/>
            <w:vAlign w:val="bottom"/>
          </w:tcPr>
          <w:p>
            <w:pPr>
              <w:spacing w:after="0"/>
              <w:rPr>
                <w:sz w:val="20"/>
                <w:szCs w:val="20"/>
                <w:color w:val="auto"/>
              </w:rPr>
            </w:pPr>
            <w:r>
              <w:rPr>
                <w:rFonts w:ascii="Arial" w:cs="Arial" w:eastAsia="Arial" w:hAnsi="Arial"/>
                <w:sz w:val="18"/>
                <w:szCs w:val="18"/>
                <w:b w:val="1"/>
                <w:bCs w:val="1"/>
                <w:color w:val="auto"/>
              </w:rPr>
              <w:t>Loss before benefit for income taxes</w:t>
            </w:r>
          </w:p>
        </w:tc>
        <w:tc>
          <w:tcPr>
            <w:tcW w:w="40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(7,959)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(114,017)</w:t>
            </w: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(5,359)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(98,522)</w:t>
            </w:r>
          </w:p>
        </w:tc>
      </w:t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Net Loss attributable to Mistras Group, Inc.</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(5,362)</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(98,509)</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Revenue was $153.7 million for the three months ended March 31, 2021, a decrease of $5.7 million, or 3.6%, compared with the three months ended March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Revenue by segment for the three months ended March 31, 2021 and 2020 were as follows: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12"/>
        </w:trPr>
        <w:tc>
          <w:tcPr>
            <w:tcW w:w="80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128,873</w:t>
            </w:r>
          </w:p>
        </w:tc>
      </w:tr>
      <w:tr>
        <w:trPr>
          <w:trHeight w:val="230"/>
        </w:trPr>
        <w:tc>
          <w:tcPr>
            <w:tcW w:w="802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29,067</w:t>
            </w:r>
          </w:p>
        </w:tc>
      </w:tr>
      <w:tr>
        <w:trPr>
          <w:trHeight w:val="229"/>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Products and Systems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r>
      <w:tr>
        <w:trPr>
          <w:trHeight w:val="230"/>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and eliminations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r>
      <w:tr>
        <w:trPr>
          <w:trHeight w:val="248"/>
        </w:trPr>
        <w:tc>
          <w:tcPr>
            <w:tcW w:w="8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159,465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5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the three months ended March 31, 2021, total revenue decreased 3.6% versus the prior year comparable period due predominantly to a single-digit organic decline offset by low single-digit favorable impact of foreign exchange rates. The decrease in revenue across all our segments, other than Products and Systems, was primarily the result of the impact of COVID-19, which disrupted the timing of projects or purchases for many of our customers. Services segment revenue decreased 3.6%, driven predominantly by a single-digit organic decline, partially offset by low single-digit favorable impact of foreign exchange rates. International segment revenue decreased 4.9%, due predominantly to the double-digit organic decline partially offset by high single-digit favorable impact of foreign exchange rates. Products and Systems segment revenue increased by 6.2%, due to organic growth.</w:t>
      </w:r>
    </w:p>
    <w:p>
      <w:pPr>
        <w:spacing w:after="0" w:line="19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Oil and gas customer revenue comprised approximately 60% and 58% of total revenue for the three months ended March 31, 2021 and 2020, respectively. Aerospace and defense customer revenue comprised approximately 11% and 14% of total revenue for the three months ended March 31, 2021 and 2020, respectively. The Company’s top ten customers comprised approximately 35% of total revenue for the three months ended March 31, 2021, as compared to 34% for the three months ended March 31, 2020, with no customer accounting for 10% or more of total revenue in either three-month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r>
        <w:rPr>
          <w:rFonts w:ascii="Arial" w:cs="Arial" w:eastAsia="Arial" w:hAnsi="Arial"/>
          <w:sz w:val="18"/>
          <w:szCs w:val="18"/>
          <w:color w:val="auto"/>
        </w:rPr>
        <w:t>March 31,</w:t>
      </w:r>
    </w:p>
    <w:p>
      <w:pPr>
        <w:spacing w:after="0" w:line="200" w:lineRule="exact"/>
        <w:rPr>
          <w:sz w:val="20"/>
          <w:szCs w:val="20"/>
          <w:color w:val="auto"/>
        </w:rPr>
      </w:pPr>
    </w:p>
    <w:p>
      <w:pPr>
        <w:spacing w:after="0" w:line="2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Gross profit decreased by $0.6 million, or 1.6%, in the three months ended March 31, 2021 versus the prior year comparable period, on a decrease in revenue of 3.6%.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three months ended March 31, 2021 and 2020 was as follows: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7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12"/>
        </w:trPr>
        <w:tc>
          <w:tcPr>
            <w:tcW w:w="77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31,076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32,237</w:t>
            </w: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i w:val="1"/>
                <w:iCs w:val="1"/>
                <w:color w:val="auto"/>
              </w:rPr>
              <w:t>% of segment revenue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25.0 %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25.0 %</w:t>
            </w: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International</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7,625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8,023</w:t>
            </w: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i w:val="1"/>
                <w:iCs w:val="1"/>
                <w:color w:val="auto"/>
              </w:rPr>
              <w:t>% of segment revenue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27.6 %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27.6 %</w:t>
            </w: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Products and Systems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368</w:t>
            </w: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i w:val="1"/>
                <w:iCs w:val="1"/>
                <w:color w:val="auto"/>
              </w:rPr>
              <w:t>% of segment revenue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42.9 %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13.1 %</w:t>
            </w: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eliminations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w:t>
            </w:r>
          </w:p>
        </w:tc>
      </w:tr>
      <w:tr>
        <w:trPr>
          <w:trHeight w:val="223"/>
        </w:trPr>
        <w:tc>
          <w:tcPr>
            <w:tcW w:w="77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40,001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40,644</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778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 of total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25.5 %</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Gross profit margin was 26.0% and 25.5% for the three-month periods ended March 31, 2021 and 2020, respectively. COVID-19, the volatility in oil prices and a decrease in aerospace production have had a significant unfavorable impact on sales volume; however, gross profit margin improved due primarily to better employee utilization and, to a lesser extent, the favorable impact of mix of sales particularly in Products and Systems. Services segment realized a consistent gross profit margin of 25.0% during the three months ended March 31, 2021 and 2020. International segment realized a consistent gross profit margin of 27.6% during the three months ended March 31, 2021 and 2020. Products and Systems segment gross margin had a year-on-year increase of 2,980 basis points to 42.9% during the three months ended March 31, 2021 due to favorable sales mix, as compared to gross margin of 13.1% during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three months ended March 31, 2021 and 2020 was as follows: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14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8040" w:type="dxa"/>
            <w:vAlign w:val="bottom"/>
          </w:tcPr>
          <w:p>
            <w:pPr>
              <w:spacing w:after="0"/>
              <w:rPr>
                <w:sz w:val="16"/>
                <w:szCs w:val="16"/>
                <w:color w:val="auto"/>
              </w:rPr>
            </w:pPr>
          </w:p>
        </w:tc>
        <w:tc>
          <w:tcPr>
            <w:tcW w:w="9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96"/>
              </w:rPr>
              <w:t>2021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12"/>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39,639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41,558</w:t>
            </w: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Impairment charges</w:t>
            </w:r>
          </w:p>
        </w:tc>
        <w:tc>
          <w:tcPr>
            <w:tcW w:w="9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106,062</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engineering</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3,970</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litigation charges, net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Acquisition-related expense (benefit), net</w:t>
            </w: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(542)</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5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Operating expenses decreased $107.1 million, or 71%, for the three months ended March 31, 2021 compared to the three months ended March 31, 2020, due to the absence of any impairment charges in the current period compared to $106.1 million in impairment charges in 2020. Selling, general and administrative expenses decreased $1.9 million during the three months ended March 31, 2021 compared to the three months ended March 31, 2020, due to continued temporary cost reduction and efficiency programs further detailed in the </w:t>
      </w:r>
      <w:r>
        <w:rPr>
          <w:rFonts w:ascii="Arial" w:cs="Arial" w:eastAsia="Arial" w:hAnsi="Arial"/>
          <w:sz w:val="18"/>
          <w:szCs w:val="18"/>
          <w:b w:val="1"/>
          <w:bCs w:val="1"/>
          <w:i w:val="1"/>
          <w:iCs w:val="1"/>
          <w:color w:val="auto"/>
        </w:rPr>
        <w:t>Recent Developments</w:t>
      </w:r>
      <w:r>
        <w:rPr>
          <w:rFonts w:ascii="Arial" w:cs="Arial" w:eastAsia="Arial" w:hAnsi="Arial"/>
          <w:sz w:val="18"/>
          <w:szCs w:val="18"/>
          <w:color w:val="auto"/>
        </w:rPr>
        <w:t xml:space="preserve"> section above. Depreciation and amortization decreased $0.9</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r>
        <w:rPr>
          <w:rFonts w:ascii="Arial" w:cs="Arial" w:eastAsia="Arial" w:hAnsi="Arial"/>
          <w:sz w:val="18"/>
          <w:szCs w:val="18"/>
          <w:color w:val="auto"/>
        </w:rPr>
        <w:t>March 31,</w:t>
      </w:r>
    </w:p>
    <w:p>
      <w:pPr>
        <w:spacing w:after="0" w:line="200" w:lineRule="exact"/>
        <w:rPr>
          <w:sz w:val="20"/>
          <w:szCs w:val="20"/>
          <w:color w:val="auto"/>
        </w:rPr>
      </w:pPr>
    </w:p>
    <w:p>
      <w:pPr>
        <w:spacing w:after="0" w:line="28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 xml:space="preserve">million during the three months ended March 31, 2021 compared to the three months ended March 31, 2020, due to the 2020 impairment charges reducing the net book value on certain of our intangible assets. This was partially offset during the three months ended March 31, 2021 by a $1.2 million increase in net legal settlement and litigation charges primarily related to the </w:t>
      </w:r>
      <w:r>
        <w:rPr>
          <w:rFonts w:ascii="Arial" w:cs="Arial" w:eastAsia="Arial" w:hAnsi="Arial"/>
          <w:sz w:val="17"/>
          <w:szCs w:val="17"/>
          <w:i w:val="1"/>
          <w:iCs w:val="1"/>
          <w:color w:val="auto"/>
        </w:rPr>
        <w:t>Justin Price v. Mistras Group, Inc.</w:t>
      </w:r>
      <w:r>
        <w:rPr>
          <w:rFonts w:ascii="Arial" w:cs="Arial" w:eastAsia="Arial" w:hAnsi="Arial"/>
          <w:sz w:val="17"/>
          <w:szCs w:val="17"/>
          <w:color w:val="auto"/>
        </w:rPr>
        <w:t xml:space="preserve"> matter more fully described in Note-</w:t>
      </w:r>
      <w:r>
        <w:rPr>
          <w:rFonts w:ascii="Arial" w:cs="Arial" w:eastAsia="Arial" w:hAnsi="Arial"/>
          <w:sz w:val="17"/>
          <w:szCs w:val="17"/>
          <w:i w:val="1"/>
          <w:iCs w:val="1"/>
          <w:color w:val="auto"/>
        </w:rPr>
        <w:t>14</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Commitments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and Contingencies </w:t>
      </w:r>
      <w:r>
        <w:rPr>
          <w:rFonts w:ascii="Arial" w:cs="Arial" w:eastAsia="Arial" w:hAnsi="Arial"/>
          <w:sz w:val="17"/>
          <w:szCs w:val="17"/>
          <w:color w:val="auto"/>
        </w:rPr>
        <w:t>under the "Litigation and Commercial Claims" section to the Notes to Unaudited Condensed Consolidated Financial Statements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included in this Quarterly Report. During the three months ended March 31, 2021, there was approximately $0.2 million additional foreign currency exchange losses as compared with the prior period due to volatility in certain foreign currencies.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Operations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following table shows a reconciliation of the income (loss) from operations to income (loss) before special items for each of our three segments and for the Company in total:</w:t>
      </w: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160" w:type="dxa"/>
            <w:vAlign w:val="bottom"/>
            <w:tcBorders>
              <w:bottom w:val="single" w:sz="8" w:color="auto"/>
            </w:tcBorders>
            <w:gridSpan w:val="5"/>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0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Services: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Income (loss) from operations (GAAP)</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4,548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(81,494)</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86,200</w:t>
            </w: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Reorganization and other costs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litigation charges, net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Acquisition-related expense (benefit), net</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r>
      <w:tr>
        <w:trPr>
          <w:trHeight w:val="223"/>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before special items (non-GAAP)</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International:</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operations (GAAP)</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(20,419)</w:t>
            </w: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Impairment charges</w:t>
            </w:r>
          </w:p>
        </w:tc>
        <w:tc>
          <w:tcPr>
            <w:tcW w:w="9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19,862</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Loss before special items (non-GAAP)</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Products and Systems: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Loss from operations (GAAP)</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(1,680)</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Loss before special items (non-GAAP)</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(1,680)</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Corporate and Eliminations: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Loss from operations (GAAP)</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(7,893)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(7,635)</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litigation charges, net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Reorganization and other costs</w:t>
            </w:r>
          </w:p>
        </w:tc>
        <w:tc>
          <w:tcPr>
            <w:tcW w:w="9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expense, net</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Loss before special items (non-GAAP)</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(8,479)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(7,597)</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Company:</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03"/>
        </w:trPr>
        <w:tc>
          <w:tcPr>
            <w:tcW w:w="8040" w:type="dxa"/>
            <w:vAlign w:val="bottom"/>
          </w:tcPr>
          <w:p>
            <w:pPr>
              <w:ind w:left="140"/>
              <w:spacing w:after="0" w:line="202" w:lineRule="exact"/>
              <w:rPr>
                <w:sz w:val="20"/>
                <w:szCs w:val="20"/>
                <w:color w:val="auto"/>
              </w:rPr>
            </w:pPr>
            <w:r>
              <w:rPr>
                <w:rFonts w:ascii="Arial" w:cs="Arial" w:eastAsia="Arial" w:hAnsi="Arial"/>
                <w:sz w:val="18"/>
                <w:szCs w:val="18"/>
                <w:color w:val="auto"/>
              </w:rPr>
              <w:t>Loss from operations (GAAP)</w:t>
            </w:r>
          </w:p>
        </w:tc>
        <w:tc>
          <w:tcPr>
            <w:tcW w:w="940" w:type="dxa"/>
            <w:vAlign w:val="bottom"/>
            <w:tcBorders>
              <w:bottom w:val="single" w:sz="8" w:color="auto"/>
            </w:tcBorders>
          </w:tcPr>
          <w:p>
            <w:pPr>
              <w:jc w:val="right"/>
              <w:ind w:right="753"/>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(4,746)</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(111,228)</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106,062</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Reorganization and other costs (benefit)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litigation charges, net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Acquisition-related expense (benefit), net</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Loss before special items (non-GAAP)</w:t>
            </w: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section </w:t>
      </w:r>
      <w:r>
        <w:rPr>
          <w:rFonts w:ascii="Arial" w:cs="Arial" w:eastAsia="Arial" w:hAnsi="Arial"/>
          <w:sz w:val="18"/>
          <w:szCs w:val="18"/>
          <w:b w:val="1"/>
          <w:bCs w:val="1"/>
          <w:i w:val="1"/>
          <w:iCs w:val="1"/>
          <w:color w:val="auto"/>
        </w:rPr>
        <w:t>Note About Non-GAAP Measures</w:t>
      </w:r>
      <w:r>
        <w:rPr>
          <w:rFonts w:ascii="Arial" w:cs="Arial" w:eastAsia="Arial" w:hAnsi="Arial"/>
          <w:sz w:val="18"/>
          <w:szCs w:val="18"/>
          <w:color w:val="auto"/>
        </w:rPr>
        <w:t xml:space="preserve"> in this report for an explanation of the use of non-GAAP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(tabular dollars are in thousands)</w:t>
      </w:r>
      <w:r>
        <w:rPr>
          <w:rFonts w:ascii="Arial" w:cs="Arial" w:eastAsia="Arial" w:hAnsi="Arial"/>
          <w:sz w:val="18"/>
          <w:szCs w:val="18"/>
          <w:color w:val="auto"/>
        </w:rPr>
        <w:t>March 31,</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5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For the three months ended March 31, 2021, the loss from operations (GAAP) decreased $106.5 million or 96%, compared with the three months ended March 31, 2020, while the loss before special items (non-GAAP) decreased $2.5 million, or 43%. As a percentage of revenue, the loss before special items decreased by 150 basis points to (2.1)% in the three months ended March 31, 2021 from (3.6)% in the three months ended March 31, 2020.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expense was approximately $3.2 million and $2.8 million for the three months ended March 31, 2021 and 2020, respectively. The increase was due to a higher interest rate on our long-term debt as a result of the May 2020 Amendment to our Credit Agreement. The terms of our Credit Agreement are described in Note 11-</w:t>
      </w:r>
      <w:r>
        <w:rPr>
          <w:rFonts w:ascii="Arial" w:cs="Arial" w:eastAsia="Arial" w:hAnsi="Arial"/>
          <w:sz w:val="18"/>
          <w:szCs w:val="18"/>
          <w:b w:val="1"/>
          <w:bCs w:val="1"/>
          <w:color w:val="auto"/>
        </w:rPr>
        <w:t>Long-Term Debt</w:t>
      </w:r>
      <w:r>
        <w:rPr>
          <w:rFonts w:ascii="Arial" w:cs="Arial" w:eastAsia="Arial" w:hAnsi="Arial"/>
          <w:sz w:val="18"/>
          <w:szCs w:val="18"/>
          <w:color w:val="auto"/>
        </w:rPr>
        <w:t xml:space="preserve"> of the Notes to the Unaudited Condensed Consolidated Financial Statements, under the heading "</w:t>
      </w:r>
      <w:r>
        <w:rPr>
          <w:rFonts w:ascii="Arial" w:cs="Arial" w:eastAsia="Arial" w:hAnsi="Arial"/>
          <w:sz w:val="18"/>
          <w:szCs w:val="18"/>
          <w:i w:val="1"/>
          <w:iCs w:val="1"/>
          <w:color w:val="auto"/>
        </w:rPr>
        <w:t>Senior Credit</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Our effective income tax rate was approximately 32.7% and 13.6% for the three months ended March 31, 2021 and 2020, respectively. The effective income tax rate for the three months ended March 31, 2021 was higher than the statutory rate due to the capitalization of certain non-US intercompany balances which resulted in a deductible foreign exchange loss in the US. The effective income tax rate for the three months ended March 31, 2020 was lower than the statutory rate primarily due to impairments recorded during the interim period for which no income tax benefits will be realized by us. However, this unfavorable impact on our effective income tax rate was partially offset by income tax benefits of the CARES Act.</w:t>
      </w:r>
    </w:p>
    <w:p>
      <w:pPr>
        <w:spacing w:after="0" w:line="188" w:lineRule="exact"/>
        <w:rPr>
          <w:sz w:val="20"/>
          <w:szCs w:val="20"/>
          <w:color w:val="auto"/>
        </w:rPr>
      </w:pPr>
    </w:p>
    <w:p>
      <w:pPr>
        <w:jc w:val="both"/>
        <w:ind w:right="420"/>
        <w:spacing w:after="0" w:line="279" w:lineRule="auto"/>
        <w:rPr>
          <w:sz w:val="20"/>
          <w:szCs w:val="20"/>
          <w:color w:val="auto"/>
        </w:rPr>
      </w:pPr>
      <w:r>
        <w:rPr>
          <w:rFonts w:ascii="Arial" w:cs="Arial" w:eastAsia="Arial" w:hAnsi="Arial"/>
          <w:sz w:val="17"/>
          <w:szCs w:val="17"/>
          <w:color w:val="auto"/>
        </w:rPr>
        <w:t>On December 27, 2020, United States enacted the Consolidated Appropriations Act, 2021, (the "Appropriations Act") an additional stimulus package providing financial relief for individuals and small business. The Appropriations Act contains a variety of tax provisions, including full expensing of business meals in 2021 and 2022, and expansion of the employee retention tax credit. We are currently evaluating the impact of this guidance on our consolidated financial position, results of operations, and cash flows, but does not expect it to have a material impact.</w:t>
      </w:r>
    </w:p>
    <w:p>
      <w:pPr>
        <w:spacing w:after="0" w:line="19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response to the COVID-19 pandemic, the American Rescue Plan Act was signed into law on March 11, 2021. This act, among other things, provides economic relief provisions to individuals and funding to certain businesses and programs. We are currently evaluating the impact of this guidance on our consolidated financial position, results of operations, and cash flows, but does not expect it to have a material impact.</w:t>
      </w:r>
    </w:p>
    <w:p>
      <w:pPr>
        <w:spacing w:after="0" w:line="19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flows are summarized in the table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r>
      <w:tr>
        <w:trPr>
          <w:trHeight w:val="186"/>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r>
      <w:tr>
        <w:trPr>
          <w:trHeight w:val="212"/>
        </w:trPr>
        <w:tc>
          <w:tcPr>
            <w:tcW w:w="804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(4,176)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(4,204)</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(1,583)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r>
        <w:rPr>
          <w:rFonts w:ascii="Arial" w:cs="Arial" w:eastAsia="Arial" w:hAnsi="Arial"/>
          <w:sz w:val="18"/>
          <w:szCs w:val="18"/>
          <w:color w:val="auto"/>
        </w:rPr>
        <w:t>March 31,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three months ended March 31, 2021, cash provided by operating activities was $3.1 million, representing a year-on-year decrease of $3.0 million, or 48%. The decrease was primarily attributable to movements in working capital.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three months ended March 31, 2021 and 2020, cash used in investing activities was $4.2 million primarily attributable to capital expenditures of $4.4 million in both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5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Net cash provided by financing activities was $0.4 million for the three months ended March 31, 2021, compared to net cash provided by financing activities of $0.5 million for the three months ended March 31, 2020. During the three months ended March 31, 2021, net borrowings of debt were approximately $0.7 million lower as compared to 2020 resulting in debt paydown during the period. In addition, $0.3 million more taxes were paid related to net share settlement of share-based awards during the three months ended March 31, 2021, partially offset by $0.4 million less in payments for acquisition-related contingent consideration and $0.5 million less in debt finance cost payments.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an decrease of $1.0 million in the three months ended March 31, 2021, compared to a decrease of $0.4 million for the three months ended March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terms of our Credit Agreement (as modified) are described in Note 11-</w:t>
      </w:r>
      <w:r>
        <w:rPr>
          <w:rFonts w:ascii="Arial" w:cs="Arial" w:eastAsia="Arial" w:hAnsi="Arial"/>
          <w:sz w:val="18"/>
          <w:szCs w:val="18"/>
          <w:b w:val="1"/>
          <w:bCs w:val="1"/>
          <w:i w:val="1"/>
          <w:iCs w:val="1"/>
          <w:color w:val="auto"/>
        </w:rPr>
        <w:t>Long-Term Debt</w:t>
      </w:r>
      <w:r>
        <w:rPr>
          <w:rFonts w:ascii="Arial" w:cs="Arial" w:eastAsia="Arial" w:hAnsi="Arial"/>
          <w:sz w:val="18"/>
          <w:szCs w:val="18"/>
          <w:color w:val="auto"/>
        </w:rPr>
        <w:t xml:space="preserve"> of the Notes to the Unaudited Condensed Consolidated Financial Statements, under the heading "</w:t>
      </w:r>
      <w:r>
        <w:rPr>
          <w:rFonts w:ascii="Arial" w:cs="Arial" w:eastAsia="Arial" w:hAnsi="Arial"/>
          <w:sz w:val="18"/>
          <w:szCs w:val="18"/>
          <w:i w:val="1"/>
          <w:iCs w:val="1"/>
          <w:color w:val="auto"/>
        </w:rPr>
        <w:t>Senior Credit Facility</w:t>
      </w:r>
      <w:r>
        <w:rPr>
          <w:rFonts w:ascii="Arial" w:cs="Arial" w:eastAsia="Arial" w:hAnsi="Arial"/>
          <w:sz w:val="18"/>
          <w:szCs w:val="18"/>
          <w:color w:val="auto"/>
        </w:rPr>
        <w:t>".</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2021, we had cash and cash equivalents totaling $24.2 million and available borrowing capacity of $45.6 million under our Credit Agreement with borrowings of $213.0 million and $4.3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March 31, 2021, we were in compliance with the terms of the Credit Agreement and will continuously monitor our compliance with the covenants contained in the Credit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in our contractual obligations and outstanding indebtedness as disclosed in the 2020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During the three months ended March 31, 2021,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2020 Annual Report.</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significant changes to our quantitative and qualitative disclosures about market risk as discussed in Part II, Item 7A “Quantitative and Qualitative Disclosures About Market Risk,” included in the 2020 Annual Report.</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Pursuant to Rule 13a-15(b) under the Exchange Act, our management carried out an evaluation, under the supervision and with the participation of our President and Chief Executive Officer and our Executive Vice President, Chief Financial Officer and Treasurer, of the effectiveness of the design and operation of our disclosure controls (as defined in Rule 13a-15(e) of the Exchange Act) and procedures. Based upon that evaluation, our President and Chief Executive Officer and our Executive Vice President, Chief Financial Officer and Treasurer concluded that, as of March 31, 2021, our disclosure controls and procedures were effective.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31, 2021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See Note 14-</w:t>
      </w:r>
      <w:r>
        <w:rPr>
          <w:rFonts w:ascii="Arial" w:cs="Arial" w:eastAsia="Arial" w:hAnsi="Arial"/>
          <w:sz w:val="17"/>
          <w:szCs w:val="17"/>
          <w:b w:val="1"/>
          <w:bCs w:val="1"/>
          <w:i w:val="1"/>
          <w:iCs w:val="1"/>
          <w:color w:val="auto"/>
        </w:rPr>
        <w:t>Commitments and Contingencies</w:t>
      </w:r>
      <w:r>
        <w:rPr>
          <w:rFonts w:ascii="Arial" w:cs="Arial" w:eastAsia="Arial" w:hAnsi="Arial"/>
          <w:sz w:val="17"/>
          <w:szCs w:val="17"/>
          <w:color w:val="auto"/>
        </w:rPr>
        <w:t xml:space="preserve"> to the Notes to Unaudited Condensed Consolidated Financial Statements included in this Quarterly Report for a description of our legal proceedings. There have been no material developments with regard to any matters disclosed under Part I, Item 3 "Legal Proceedings" in our 2020 Annual Report, except as disclosed in such Note 14-</w:t>
      </w:r>
      <w:r>
        <w:rPr>
          <w:rFonts w:ascii="Arial" w:cs="Arial" w:eastAsia="Arial" w:hAnsi="Arial"/>
          <w:sz w:val="17"/>
          <w:szCs w:val="17"/>
          <w:b w:val="1"/>
          <w:bCs w:val="1"/>
          <w:i w:val="1"/>
          <w:iCs w:val="1"/>
          <w:color w:val="auto"/>
        </w:rPr>
        <w:t>Commitments and Contingencies</w:t>
      </w:r>
      <w:r>
        <w:rPr>
          <w:rFonts w:ascii="Arial" w:cs="Arial" w:eastAsia="Arial" w:hAnsi="Arial"/>
          <w:sz w:val="17"/>
          <w:szCs w:val="17"/>
          <w:color w:val="auto"/>
        </w:rPr>
        <w:t>.</w:t>
      </w:r>
    </w:p>
    <w:p>
      <w:pPr>
        <w:spacing w:after="0" w:line="16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risk factors discussed under the “Risk Factors” section included in our 2020 Annual Report. Except as described below, there have been no material changes to the risk factors previously disclosed in the 2020 Annual Report.</w:t>
      </w:r>
    </w:p>
    <w:p>
      <w:pPr>
        <w:spacing w:after="0" w:line="21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the first risk factor in our 2020 Annual Report, we discuss that we are susceptible to prolonged negative trends in the oil and gas industry due to our dependency on customers in that industry. Oil and gas customer revenue comprised approximately 60% of total revenue for the three months ended March 31, 2021. In April 2021, the Biden Administration announced plans to aggressively combat climate change, with initiatives that would significantly reduce the use of fossil fuels. Any legislation, regulations, or significant private industry action to implement these initiatives could have a negative impact on the oil and gas industry, and as a consequence, negatively impact our business and results of operations.</w:t>
      </w:r>
    </w:p>
    <w:p>
      <w:pPr>
        <w:spacing w:after="0" w:line="17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29" w:lineRule="exact"/>
        <w:rPr>
          <w:sz w:val="20"/>
          <w:szCs w:val="20"/>
          <w:color w:val="auto"/>
        </w:rPr>
      </w:pPr>
    </w:p>
    <w:p>
      <w:pPr>
        <w:ind w:left="660" w:right="8620" w:hanging="652"/>
        <w:spacing w:after="0" w:line="500" w:lineRule="auto"/>
        <w:tabs>
          <w:tab w:leader="none" w:pos="267"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i w:val="1"/>
          <w:iCs w:val="1"/>
          <w:color w:val="auto"/>
        </w:rPr>
      </w:pPr>
    </w:p>
    <w:p>
      <w:pPr>
        <w:ind w:left="660" w:right="6800" w:hanging="652"/>
        <w:spacing w:after="0" w:line="498" w:lineRule="auto"/>
        <w:tabs>
          <w:tab w:leader="none" w:pos="267"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shares of our common stock we acquired during the quarter as a result of the surrender of shares by employees to satisfy tax withholding obligations in connection with the vesting of restricted stock units.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25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 (or</w:t>
            </w:r>
          </w:p>
        </w:tc>
        <w:tc>
          <w:tcPr>
            <w:tcW w:w="220" w:type="dxa"/>
            <w:vAlign w:val="bottom"/>
          </w:tcPr>
          <w:p>
            <w:pPr>
              <w:spacing w:after="0"/>
              <w:rPr>
                <w:sz w:val="14"/>
                <w:szCs w:val="14"/>
                <w:color w:val="auto"/>
              </w:rPr>
            </w:pPr>
          </w:p>
        </w:tc>
        <w:tc>
          <w:tcPr>
            <w:tcW w:w="192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w w:val="99"/>
              </w:rPr>
              <w:t>Average Price Paid per</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 Purchased</w:t>
            </w:r>
          </w:p>
        </w:tc>
        <w:tc>
          <w:tcPr>
            <w:tcW w:w="220" w:type="dxa"/>
            <w:vAlign w:val="bottom"/>
          </w:tcPr>
          <w:p>
            <w:pPr>
              <w:spacing w:after="0"/>
              <w:rPr>
                <w:sz w:val="14"/>
                <w:szCs w:val="14"/>
                <w:color w:val="auto"/>
              </w:rPr>
            </w:pPr>
          </w:p>
        </w:tc>
        <w:tc>
          <w:tcPr>
            <w:tcW w:w="206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1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Month Ending</w:t>
            </w:r>
          </w:p>
        </w:tc>
        <w:tc>
          <w:tcPr>
            <w:tcW w:w="25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2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as Part of Publicly Announced</w:t>
            </w:r>
          </w:p>
        </w:tc>
        <w:tc>
          <w:tcPr>
            <w:tcW w:w="22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Shares that May Yet Be Purchased</w:t>
            </w:r>
          </w:p>
        </w:tc>
        <w:tc>
          <w:tcPr>
            <w:tcW w:w="0" w:type="dxa"/>
            <w:vAlign w:val="bottom"/>
          </w:tcPr>
          <w:p>
            <w:pPr>
              <w:spacing w:after="0"/>
              <w:rPr>
                <w:sz w:val="1"/>
                <w:szCs w:val="1"/>
                <w:color w:val="auto"/>
              </w:rPr>
            </w:pPr>
          </w:p>
        </w:tc>
      </w:tr>
      <w:tr>
        <w:trPr>
          <w:trHeight w:val="188"/>
        </w:trPr>
        <w:tc>
          <w:tcPr>
            <w:tcW w:w="1820" w:type="dxa"/>
            <w:vAlign w:val="bottom"/>
            <w:vMerge w:val="continue"/>
          </w:tcPr>
          <w:p>
            <w:pPr>
              <w:spacing w:after="0"/>
              <w:rPr>
                <w:sz w:val="16"/>
                <w:szCs w:val="16"/>
                <w:color w:val="auto"/>
              </w:rPr>
            </w:pPr>
          </w:p>
        </w:tc>
        <w:tc>
          <w:tcPr>
            <w:tcW w:w="2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Units) Purchased</w:t>
            </w:r>
          </w:p>
        </w:tc>
        <w:tc>
          <w:tcPr>
            <w:tcW w:w="220" w:type="dxa"/>
            <w:vAlign w:val="bottom"/>
          </w:tcPr>
          <w:p>
            <w:pPr>
              <w:spacing w:after="0"/>
              <w:rPr>
                <w:sz w:val="16"/>
                <w:szCs w:val="16"/>
                <w:color w:val="auto"/>
              </w:rPr>
            </w:pPr>
          </w:p>
        </w:tc>
        <w:tc>
          <w:tcPr>
            <w:tcW w:w="1920" w:type="dxa"/>
            <w:vAlign w:val="bottom"/>
          </w:tcPr>
          <w:p>
            <w:pPr>
              <w:jc w:val="right"/>
              <w:ind w:right="537"/>
              <w:spacing w:after="0"/>
              <w:rPr>
                <w:sz w:val="20"/>
                <w:szCs w:val="20"/>
                <w:color w:val="auto"/>
              </w:rPr>
            </w:pPr>
            <w:r>
              <w:rPr>
                <w:rFonts w:ascii="Arial" w:cs="Arial" w:eastAsia="Arial" w:hAnsi="Arial"/>
                <w:sz w:val="14"/>
                <w:szCs w:val="14"/>
                <w:b w:val="1"/>
                <w:bCs w:val="1"/>
                <w:color w:val="auto"/>
              </w:rPr>
              <w:t>Share (or Unit)</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220" w:type="dxa"/>
            <w:vAlign w:val="bottom"/>
          </w:tcPr>
          <w:p>
            <w:pPr>
              <w:spacing w:after="0"/>
              <w:rPr>
                <w:sz w:val="16"/>
                <w:szCs w:val="16"/>
                <w:color w:val="auto"/>
              </w:rPr>
            </w:pPr>
          </w:p>
        </w:tc>
        <w:tc>
          <w:tcPr>
            <w:tcW w:w="206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224"/>
        </w:trPr>
        <w:tc>
          <w:tcPr>
            <w:tcW w:w="1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31, 2021</w:t>
            </w: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340" w:type="dxa"/>
            <w:vAlign w:val="bottom"/>
            <w:tcBorders>
              <w:top w:val="single" w:sz="8" w:color="auto"/>
            </w:tcBorders>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auto"/>
            </w:tcBorders>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February 28, 2021</w:t>
            </w:r>
          </w:p>
        </w:tc>
        <w:tc>
          <w:tcPr>
            <w:tcW w:w="2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340" w:type="dxa"/>
            <w:vAlign w:val="bottom"/>
          </w:tcPr>
          <w:p>
            <w:pPr>
              <w:ind w:left="20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ind w:left="1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10.79</w:t>
            </w:r>
          </w:p>
        </w:tc>
        <w:tc>
          <w:tcPr>
            <w:tcW w:w="2340" w:type="dxa"/>
            <w:vAlign w:val="bottom"/>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On May 4, 2021, the Company agreed to a settlement of the two California cases, </w:t>
      </w:r>
      <w:r>
        <w:rPr>
          <w:rFonts w:ascii="Arial" w:cs="Arial" w:eastAsia="Arial" w:hAnsi="Arial"/>
          <w:sz w:val="18"/>
          <w:szCs w:val="18"/>
          <w:i w:val="1"/>
          <w:iCs w:val="1"/>
          <w:color w:val="auto"/>
        </w:rPr>
        <w:t>Justin Price v. Mistras Group, Inc</w:t>
      </w:r>
      <w:r>
        <w:rPr>
          <w:rFonts w:ascii="Arial" w:cs="Arial" w:eastAsia="Arial" w:hAnsi="Arial"/>
          <w:sz w:val="18"/>
          <w:szCs w:val="18"/>
          <w:color w:val="auto"/>
        </w:rPr>
        <w:t>., as described more fully in Note 16- Subsequent Events to our condensed consolidated financial statements in Item 1 of Part I of this report. Such information is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420" w:type="dxa"/>
            <w:vAlign w:val="bottom"/>
            <w:gridSpan w:val="8"/>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426"/>
        </w:trPr>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gridSpan w:val="5"/>
          </w:tcPr>
          <w:p>
            <w:pPr>
              <w:ind w:left="4640"/>
              <w:spacing w:after="0"/>
              <w:rPr>
                <w:sz w:val="20"/>
                <w:szCs w:val="20"/>
                <w:color w:val="auto"/>
              </w:rPr>
            </w:pPr>
            <w:r>
              <w:rPr>
                <w:rFonts w:ascii="Arial" w:cs="Arial" w:eastAsia="Arial" w:hAnsi="Arial"/>
                <w:sz w:val="14"/>
                <w:szCs w:val="14"/>
                <w:b w:val="1"/>
                <w:bCs w:val="1"/>
                <w:color w:val="auto"/>
              </w:rPr>
              <w:t>Description</w:t>
            </w:r>
          </w:p>
        </w:tc>
      </w:tr>
      <w:tr>
        <w:trPr>
          <w:trHeight w:val="188"/>
        </w:trPr>
        <w:tc>
          <w:tcPr>
            <w:tcW w:w="20" w:type="dxa"/>
            <w:vAlign w:val="bottom"/>
          </w:tcPr>
          <w:p>
            <w:pPr>
              <w:spacing w:after="0"/>
              <w:rPr>
                <w:sz w:val="16"/>
                <w:szCs w:val="16"/>
                <w:color w:val="auto"/>
              </w:rPr>
            </w:pPr>
          </w:p>
        </w:tc>
        <w:tc>
          <w:tcPr>
            <w:tcW w:w="320" w:type="dxa"/>
            <w:vAlign w:val="bottom"/>
            <w:tcBorders>
              <w:bottom w:val="single" w:sz="8" w:color="0000FF"/>
            </w:tcBorders>
          </w:tcPr>
          <w:p>
            <w:pPr>
              <w:spacing w:after="0" w:line="189" w:lineRule="exact"/>
              <w:rPr>
                <w:rFonts w:ascii="Arial" w:cs="Arial" w:eastAsia="Arial" w:hAnsi="Arial"/>
                <w:sz w:val="18"/>
                <w:szCs w:val="18"/>
                <w:color w:val="0000FF"/>
                <w:w w:val="85"/>
              </w:rPr>
            </w:pPr>
            <w:hyperlink w:anchor="page42">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60" w:type="dxa"/>
            <w:vAlign w:val="bottom"/>
            <w:tcBorders>
              <w:bottom w:val="single" w:sz="8" w:color="0000FF"/>
            </w:tcBorders>
            <w:gridSpan w:val="2"/>
          </w:tcPr>
          <w:p>
            <w:pPr>
              <w:spacing w:after="0" w:line="189" w:lineRule="exact"/>
              <w:rPr>
                <w:rFonts w:ascii="Arial" w:cs="Arial" w:eastAsia="Arial" w:hAnsi="Arial"/>
                <w:sz w:val="18"/>
                <w:szCs w:val="18"/>
                <w:color w:val="0000FF"/>
                <w:w w:val="90"/>
              </w:rPr>
            </w:pPr>
            <w:hyperlink w:anchor="page42">
              <w:r>
                <w:rPr>
                  <w:rFonts w:ascii="Arial" w:cs="Arial" w:eastAsia="Arial" w:hAnsi="Arial"/>
                  <w:sz w:val="18"/>
                  <w:szCs w:val="18"/>
                  <w:color w:val="0000FF"/>
                  <w:w w:val="90"/>
                </w:rPr>
                <w:t>Fourth Amendment, dated February 11, 2021, to the Fifth Amended and Restated Credit Agreement,</w:t>
              </w:r>
            </w:hyperlink>
          </w:p>
        </w:tc>
        <w:tc>
          <w:tcPr>
            <w:tcW w:w="2760" w:type="dxa"/>
            <w:vAlign w:val="bottom"/>
            <w:gridSpan w:val="3"/>
          </w:tcPr>
          <w:p>
            <w:pPr>
              <w:spacing w:after="0"/>
              <w:rPr>
                <w:sz w:val="16"/>
                <w:szCs w:val="16"/>
                <w:color w:val="auto"/>
              </w:rPr>
            </w:pPr>
          </w:p>
        </w:tc>
      </w:tr>
      <w:tr>
        <w:trPr>
          <w:trHeight w:val="480"/>
        </w:trPr>
        <w:tc>
          <w:tcPr>
            <w:tcW w:w="340" w:type="dxa"/>
            <w:vAlign w:val="bottom"/>
            <w:gridSpan w:val="2"/>
          </w:tcPr>
          <w:p>
            <w:pPr>
              <w:ind w:left="20"/>
              <w:spacing w:after="0"/>
              <w:rPr>
                <w:rFonts w:ascii="Arial" w:cs="Arial" w:eastAsia="Arial" w:hAnsi="Arial"/>
                <w:sz w:val="18"/>
                <w:szCs w:val="18"/>
                <w:color w:val="0000FF"/>
                <w:w w:val="85"/>
              </w:rPr>
            </w:pPr>
            <w:hyperlink w:anchor="page5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Certification of Chief Executive Officer pursuant to Rule 13a-14(a) under the Securities Exchange Act of 1934.</w:t>
              </w:r>
            </w:hyperlink>
          </w:p>
        </w:tc>
        <w:tc>
          <w:tcPr>
            <w:tcW w:w="1980" w:type="dxa"/>
            <w:vAlign w:val="bottom"/>
          </w:tcPr>
          <w:p>
            <w:pPr>
              <w:spacing w:after="0"/>
              <w:rPr>
                <w:sz w:val="24"/>
                <w:szCs w:val="24"/>
                <w:color w:val="auto"/>
              </w:rPr>
            </w:pPr>
          </w:p>
        </w:tc>
      </w:tr>
      <w:tr>
        <w:trPr>
          <w:trHeight w:val="439"/>
        </w:trPr>
        <w:tc>
          <w:tcPr>
            <w:tcW w:w="340" w:type="dxa"/>
            <w:vAlign w:val="bottom"/>
            <w:gridSpan w:val="2"/>
          </w:tcPr>
          <w:p>
            <w:pPr>
              <w:ind w:left="20"/>
              <w:spacing w:after="0"/>
              <w:rPr>
                <w:rFonts w:ascii="Arial" w:cs="Arial" w:eastAsia="Arial" w:hAnsi="Arial"/>
                <w:sz w:val="18"/>
                <w:szCs w:val="18"/>
                <w:color w:val="0000FF"/>
                <w:w w:val="85"/>
              </w:rPr>
            </w:pPr>
            <w:hyperlink w:anchor="page5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5"/>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Certification of Chief Financial Officer pursuant to Rule 13a-14(a) under the Securities Exchange Act of 1934.</w:t>
              </w:r>
            </w:hyperlink>
          </w:p>
        </w:tc>
      </w:tr>
      <w:tr>
        <w:trPr>
          <w:trHeight w:val="479"/>
        </w:trPr>
        <w:tc>
          <w:tcPr>
            <w:tcW w:w="20" w:type="dxa"/>
            <w:vAlign w:val="bottom"/>
          </w:tcPr>
          <w:p>
            <w:pPr>
              <w:spacing w:after="0"/>
              <w:rPr>
                <w:sz w:val="24"/>
                <w:szCs w:val="24"/>
                <w:color w:val="auto"/>
              </w:rPr>
            </w:pPr>
          </w:p>
        </w:tc>
        <w:tc>
          <w:tcPr>
            <w:tcW w:w="320" w:type="dxa"/>
            <w:vAlign w:val="bottom"/>
          </w:tcPr>
          <w:p>
            <w:pPr>
              <w:spacing w:after="0"/>
              <w:rPr>
                <w:rFonts w:ascii="Arial" w:cs="Arial" w:eastAsia="Arial" w:hAnsi="Arial"/>
                <w:sz w:val="18"/>
                <w:szCs w:val="18"/>
                <w:color w:val="0000FF"/>
                <w:w w:val="85"/>
              </w:rPr>
            </w:pPr>
            <w:hyperlink w:anchor="page58">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top w:val="single" w:sz="8" w:color="0000FF"/>
            </w:tcBorders>
            <w:gridSpan w:val="3"/>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Certification pursuant to Section 906 of the Sarbanes-Oxley Act of 2002.</w:t>
              </w:r>
            </w:hyperlink>
          </w:p>
        </w:tc>
        <w:tc>
          <w:tcPr>
            <w:tcW w:w="2040" w:type="dxa"/>
            <w:vAlign w:val="bottom"/>
            <w:gridSpan w:val="2"/>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5"/>
          </w:tcPr>
          <w:p>
            <w:pPr>
              <w:spacing w:after="0"/>
              <w:rPr>
                <w:sz w:val="20"/>
                <w:szCs w:val="20"/>
                <w:color w:val="auto"/>
              </w:rPr>
            </w:pPr>
            <w:r>
              <w:rPr>
                <w:rFonts w:ascii="Arial" w:cs="Arial" w:eastAsia="Arial" w:hAnsi="Arial"/>
                <w:sz w:val="18"/>
                <w:szCs w:val="18"/>
                <w:color w:val="auto"/>
              </w:rPr>
              <w:t>XBRL Schema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5"/>
          </w:tcPr>
          <w:p>
            <w:pPr>
              <w:spacing w:after="0"/>
              <w:rPr>
                <w:sz w:val="20"/>
                <w:szCs w:val="20"/>
                <w:color w:val="auto"/>
              </w:rPr>
            </w:pPr>
            <w:r>
              <w:rPr>
                <w:rFonts w:ascii="Arial" w:cs="Arial" w:eastAsia="Arial" w:hAnsi="Arial"/>
                <w:sz w:val="18"/>
                <w:szCs w:val="18"/>
                <w:color w:val="auto"/>
              </w:rPr>
              <w:t>XBRL Calculation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5"/>
          </w:tcPr>
          <w:p>
            <w:pPr>
              <w:spacing w:after="0"/>
              <w:rPr>
                <w:sz w:val="20"/>
                <w:szCs w:val="20"/>
                <w:color w:val="auto"/>
              </w:rPr>
            </w:pPr>
            <w:r>
              <w:rPr>
                <w:rFonts w:ascii="Arial" w:cs="Arial" w:eastAsia="Arial" w:hAnsi="Arial"/>
                <w:sz w:val="18"/>
                <w:szCs w:val="18"/>
                <w:color w:val="auto"/>
              </w:rPr>
              <w:t>XBRL Labels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5"/>
          </w:tcPr>
          <w:p>
            <w:pPr>
              <w:spacing w:after="0"/>
              <w:rPr>
                <w:sz w:val="20"/>
                <w:szCs w:val="20"/>
                <w:color w:val="auto"/>
              </w:rPr>
            </w:pPr>
            <w:r>
              <w:rPr>
                <w:rFonts w:ascii="Arial" w:cs="Arial" w:eastAsia="Arial" w:hAnsi="Arial"/>
                <w:sz w:val="18"/>
                <w:szCs w:val="18"/>
                <w:color w:val="auto"/>
              </w:rPr>
              <w:t>XBRL Presentation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5"/>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MISTRAS GROUP, INC.</w:t>
      </w:r>
    </w:p>
    <w:p>
      <w:pPr>
        <w:spacing w:after="0" w:line="256" w:lineRule="exact"/>
        <w:rPr>
          <w:sz w:val="20"/>
          <w:szCs w:val="20"/>
          <w:color w:val="auto"/>
        </w:rPr>
      </w:pPr>
    </w:p>
    <w:p>
      <w:pPr>
        <w:ind w:left="4840"/>
        <w:spacing w:after="0"/>
        <w:tabs>
          <w:tab w:leader="none" w:pos="5280" w:val="left"/>
        </w:tabs>
        <w:rPr>
          <w:sz w:val="20"/>
          <w:szCs w:val="20"/>
          <w:color w:val="auto"/>
        </w:rPr>
      </w:pPr>
      <w:r>
        <w:rPr>
          <w:rFonts w:ascii="Arial" w:cs="Arial" w:eastAsia="Arial" w:hAnsi="Arial"/>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wp:posOffset>
            </wp:positionV>
            <wp:extent cx="37630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Edward J. Prajzner</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(Principal Financial and Accounting Officer and duly authorized officer)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20"/>
          </w:cols>
          <w:pgMar w:left="320" w:top="122" w:right="65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u w:val="single" w:color="auto"/>
          <w:color w:val="auto"/>
        </w:rPr>
        <w:t>FOURTH AMENDMENT TO</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u w:val="single" w:color="auto"/>
          <w:color w:val="auto"/>
        </w:rPr>
        <w:t>FIFTH AMENDED AND RESTATED CREDIT AGREEMENT</w:t>
      </w:r>
    </w:p>
    <w:p>
      <w:pPr>
        <w:spacing w:after="0" w:line="302"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THIS FOURTH AMENDMENT TO FIFTH AMENDED AND RESTATED CREDIT</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AGREEMENT </w:t>
      </w:r>
      <w:r>
        <w:rPr>
          <w:rFonts w:ascii="Arial" w:cs="Arial" w:eastAsia="Arial" w:hAnsi="Arial"/>
          <w:sz w:val="20"/>
          <w:szCs w:val="20"/>
          <w:color w:val="auto"/>
        </w:rPr>
        <w:t>(hereinafter referred to as this “</w:t>
      </w:r>
      <w:r>
        <w:rPr>
          <w:rFonts w:ascii="Arial" w:cs="Arial" w:eastAsia="Arial" w:hAnsi="Arial"/>
          <w:sz w:val="20"/>
          <w:szCs w:val="20"/>
          <w:u w:val="single" w:color="auto"/>
          <w:color w:val="auto"/>
        </w:rPr>
        <w:t>Amendment</w:t>
      </w:r>
      <w:r>
        <w:rPr>
          <w:rFonts w:ascii="Arial" w:cs="Arial" w:eastAsia="Arial" w:hAnsi="Arial"/>
          <w:sz w:val="20"/>
          <w:szCs w:val="20"/>
          <w:color w:val="auto"/>
        </w:rPr>
        <w:t>”), dated as of February 11, 2021, is executed by and 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4242435</wp:posOffset>
            </wp:positionH>
            <wp:positionV relativeFrom="paragraph">
              <wp:posOffset>-24765</wp:posOffset>
            </wp:positionV>
            <wp:extent cx="1524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2400" cy="8255"/>
                    </a:xfrm>
                    <a:prstGeom prst="rect">
                      <a:avLst/>
                    </a:prstGeom>
                    <a:noFill/>
                  </pic:spPr>
                </pic:pic>
              </a:graphicData>
            </a:graphic>
          </wp:anchor>
        </w:drawing>
      </w:r>
    </w:p>
    <w:p>
      <w:pPr>
        <w:spacing w:after="0" w:line="201"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20"/>
          <w:szCs w:val="20"/>
          <w:b w:val="1"/>
          <w:bCs w:val="1"/>
          <w:color w:val="auto"/>
        </w:rPr>
        <w:t>MISTRAS GROUP, INC.</w:t>
      </w:r>
      <w:r>
        <w:rPr>
          <w:rFonts w:ascii="Arial" w:cs="Arial" w:eastAsia="Arial" w:hAnsi="Arial"/>
          <w:sz w:val="20"/>
          <w:szCs w:val="20"/>
          <w:color w:val="auto"/>
        </w:rPr>
        <w:t>, a corporation duly organized, validly existing and in good standing under the laws of the State of</w:t>
      </w:r>
      <w:r>
        <w:rPr>
          <w:rFonts w:ascii="Arial" w:cs="Arial" w:eastAsia="Arial" w:hAnsi="Arial"/>
          <w:sz w:val="20"/>
          <w:szCs w:val="20"/>
          <w:b w:val="1"/>
          <w:bCs w:val="1"/>
          <w:color w:val="auto"/>
        </w:rPr>
        <w:t xml:space="preserve"> </w:t>
      </w:r>
      <w:r>
        <w:rPr>
          <w:rFonts w:ascii="Arial" w:cs="Arial" w:eastAsia="Arial" w:hAnsi="Arial"/>
          <w:sz w:val="20"/>
          <w:szCs w:val="20"/>
          <w:color w:val="auto"/>
        </w:rPr>
        <w:t>Delaware, having its principal office located at 195 Clarksville Road, Princeton Junction, New Jersey 08550 (hereinafter referred to as the “</w:t>
      </w:r>
      <w:r>
        <w:rPr>
          <w:rFonts w:ascii="Arial" w:cs="Arial" w:eastAsia="Arial" w:hAnsi="Arial"/>
          <w:sz w:val="20"/>
          <w:szCs w:val="20"/>
          <w:u w:val="single" w:color="auto"/>
          <w:color w:val="auto"/>
        </w:rPr>
        <w:t>Borrower</w:t>
      </w:r>
      <w:r>
        <w:rPr>
          <w:rFonts w:ascii="Arial" w:cs="Arial" w:eastAsia="Arial" w:hAnsi="Arial"/>
          <w:sz w:val="20"/>
          <w:szCs w:val="20"/>
          <w:color w:val="auto"/>
        </w:rPr>
        <w:t>”),</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AND</w:t>
      </w:r>
    </w:p>
    <w:p>
      <w:pPr>
        <w:spacing w:after="0" w:line="256" w:lineRule="exact"/>
        <w:rPr>
          <w:sz w:val="20"/>
          <w:szCs w:val="20"/>
          <w:color w:val="auto"/>
        </w:rPr>
      </w:pPr>
    </w:p>
    <w:p>
      <w:pPr>
        <w:jc w:val="both"/>
        <w:ind w:right="100" w:firstLine="648"/>
        <w:spacing w:after="0" w:line="253" w:lineRule="auto"/>
        <w:rPr>
          <w:sz w:val="20"/>
          <w:szCs w:val="20"/>
          <w:color w:val="auto"/>
        </w:rPr>
      </w:pPr>
      <w:r>
        <w:rPr>
          <w:rFonts w:ascii="Arial" w:cs="Arial" w:eastAsia="Arial" w:hAnsi="Arial"/>
          <w:sz w:val="20"/>
          <w:szCs w:val="20"/>
          <w:b w:val="1"/>
          <w:bCs w:val="1"/>
          <w:color w:val="auto"/>
        </w:rPr>
        <w:t>QUALITY SERVICES LABORATORIES, INC.</w:t>
      </w:r>
      <w:r>
        <w:rPr>
          <w:rFonts w:ascii="Arial" w:cs="Arial" w:eastAsia="Arial" w:hAnsi="Arial"/>
          <w:sz w:val="20"/>
          <w:szCs w:val="20"/>
          <w:color w:val="auto"/>
        </w:rPr>
        <w:t>, a corporation duly organized, validly existing and in good standing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laws of the State of Delaware, having its principal office located at 195 Clarksville Road, Princeton Junction, New Jersey 08550 (hereinafter referred to as “</w:t>
      </w:r>
      <w:r>
        <w:rPr>
          <w:rFonts w:ascii="Arial" w:cs="Arial" w:eastAsia="Arial" w:hAnsi="Arial"/>
          <w:sz w:val="20"/>
          <w:szCs w:val="20"/>
          <w:u w:val="single" w:color="auto"/>
          <w:color w:val="auto"/>
        </w:rPr>
        <w:t>QSL</w:t>
      </w:r>
      <w:r>
        <w:rPr>
          <w:rFonts w:ascii="Arial" w:cs="Arial" w:eastAsia="Arial" w:hAnsi="Arial"/>
          <w:sz w:val="20"/>
          <w:szCs w:val="20"/>
          <w:color w:val="auto"/>
        </w:rPr>
        <w:t>”),</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AND</w:t>
      </w:r>
    </w:p>
    <w:p>
      <w:pPr>
        <w:spacing w:after="0" w:line="243"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20"/>
          <w:szCs w:val="20"/>
          <w:b w:val="1"/>
          <w:bCs w:val="1"/>
          <w:color w:val="auto"/>
        </w:rPr>
        <w:t>MISTRAS INTERNATIONAL HOLDINGS INC.</w:t>
      </w:r>
      <w:r>
        <w:rPr>
          <w:rFonts w:ascii="Arial" w:cs="Arial" w:eastAsia="Arial" w:hAnsi="Arial"/>
          <w:sz w:val="20"/>
          <w:szCs w:val="20"/>
          <w:color w:val="auto"/>
        </w:rPr>
        <w:t>, a corporation duly organized, validly existing and in good standing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the laws of the State of Delaware, having its principal office located at 195 Clarksville Road, Princeton Junction, New Jersey 08550 (hereinafter referred to as “</w:t>
      </w:r>
      <w:r>
        <w:rPr>
          <w:rFonts w:ascii="Arial" w:cs="Arial" w:eastAsia="Arial" w:hAnsi="Arial"/>
          <w:sz w:val="20"/>
          <w:szCs w:val="20"/>
          <w:u w:val="single" w:color="auto"/>
          <w:color w:val="auto"/>
        </w:rPr>
        <w:t>MIH</w:t>
      </w:r>
      <w:r>
        <w:rPr>
          <w:rFonts w:ascii="Arial" w:cs="Arial" w:eastAsia="Arial" w:hAnsi="Arial"/>
          <w:sz w:val="20"/>
          <w:szCs w:val="20"/>
          <w:color w:val="auto"/>
        </w:rPr>
        <w:t>”),</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AND</w:t>
      </w:r>
    </w:p>
    <w:p>
      <w:pPr>
        <w:spacing w:after="0" w:line="256" w:lineRule="exact"/>
        <w:rPr>
          <w:sz w:val="20"/>
          <w:szCs w:val="20"/>
          <w:color w:val="auto"/>
        </w:rPr>
      </w:pPr>
    </w:p>
    <w:p>
      <w:pPr>
        <w:jc w:val="both"/>
        <w:ind w:right="100" w:firstLine="648"/>
        <w:spacing w:after="0" w:line="248" w:lineRule="auto"/>
        <w:rPr>
          <w:sz w:val="20"/>
          <w:szCs w:val="20"/>
          <w:color w:val="auto"/>
        </w:rPr>
      </w:pPr>
      <w:r>
        <w:rPr>
          <w:rFonts w:ascii="Arial" w:cs="Arial" w:eastAsia="Arial" w:hAnsi="Arial"/>
          <w:sz w:val="20"/>
          <w:szCs w:val="20"/>
          <w:b w:val="1"/>
          <w:bCs w:val="1"/>
          <w:color w:val="auto"/>
        </w:rPr>
        <w:t>WEST PENN NON-DESTRUCTIVE TESTING, LLC</w:t>
      </w:r>
      <w:r>
        <w:rPr>
          <w:rFonts w:ascii="Arial" w:cs="Arial" w:eastAsia="Arial" w:hAnsi="Arial"/>
          <w:sz w:val="20"/>
          <w:szCs w:val="20"/>
          <w:color w:val="auto"/>
        </w:rPr>
        <w:t>, a limited liability company duly organized, validly existing and in good</w:t>
      </w:r>
      <w:r>
        <w:rPr>
          <w:rFonts w:ascii="Arial" w:cs="Arial" w:eastAsia="Arial" w:hAnsi="Arial"/>
          <w:sz w:val="20"/>
          <w:szCs w:val="20"/>
          <w:b w:val="1"/>
          <w:bCs w:val="1"/>
          <w:color w:val="auto"/>
        </w:rPr>
        <w:t xml:space="preserve"> </w:t>
      </w:r>
      <w:r>
        <w:rPr>
          <w:rFonts w:ascii="Arial" w:cs="Arial" w:eastAsia="Arial" w:hAnsi="Arial"/>
          <w:sz w:val="20"/>
          <w:szCs w:val="20"/>
          <w:color w:val="auto"/>
        </w:rPr>
        <w:t>standing under the laws of the Commonwealth of Pennsylvania, having its principal office located at 1010 Industrial Boulevard, New Kensington, Pennsylvania 15068 (hereinafter referred to as “</w:t>
      </w:r>
      <w:r>
        <w:rPr>
          <w:rFonts w:ascii="Arial" w:cs="Arial" w:eastAsia="Arial" w:hAnsi="Arial"/>
          <w:sz w:val="20"/>
          <w:szCs w:val="20"/>
          <w:u w:val="single" w:color="auto"/>
          <w:color w:val="auto"/>
        </w:rPr>
        <w:t>West Penn</w:t>
      </w:r>
      <w:r>
        <w:rPr>
          <w:rFonts w:ascii="Arial" w:cs="Arial" w:eastAsia="Arial" w:hAnsi="Arial"/>
          <w:sz w:val="20"/>
          <w:szCs w:val="20"/>
          <w:color w:val="auto"/>
        </w:rPr>
        <w:t>”, and hereinafter QSL, MIH, and West Penn shall be collectively referred to as the “</w:t>
      </w:r>
      <w:r>
        <w:rPr>
          <w:rFonts w:ascii="Arial" w:cs="Arial" w:eastAsia="Arial" w:hAnsi="Arial"/>
          <w:sz w:val="20"/>
          <w:szCs w:val="20"/>
          <w:u w:val="single" w:color="auto"/>
          <w:color w:val="auto"/>
        </w:rPr>
        <w:t>Guarantors</w:t>
      </w:r>
      <w:r>
        <w:rPr>
          <w:rFonts w:ascii="Arial" w:cs="Arial" w:eastAsia="Arial" w:hAnsi="Arial"/>
          <w:sz w:val="20"/>
          <w:szCs w:val="20"/>
          <w:color w:val="auto"/>
        </w:rPr>
        <w:t>” and sometimes individually referred to as a “</w:t>
      </w:r>
      <w:r>
        <w:rPr>
          <w:rFonts w:ascii="Arial" w:cs="Arial" w:eastAsia="Arial" w:hAnsi="Arial"/>
          <w:sz w:val="20"/>
          <w:szCs w:val="20"/>
          <w:u w:val="single" w:color="auto"/>
          <w:color w:val="auto"/>
        </w:rPr>
        <w:t>Guarantor</w:t>
      </w:r>
      <w:r>
        <w:rPr>
          <w:rFonts w:ascii="Arial" w:cs="Arial" w:eastAsia="Arial" w:hAnsi="Arial"/>
          <w:sz w:val="20"/>
          <w:szCs w:val="20"/>
          <w:color w:val="auto"/>
        </w:rPr>
        <w:t>”),</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AND</w:t>
      </w:r>
    </w:p>
    <w:p>
      <w:pPr>
        <w:spacing w:after="0" w:line="256" w:lineRule="exact"/>
        <w:rPr>
          <w:sz w:val="20"/>
          <w:szCs w:val="20"/>
          <w:color w:val="auto"/>
        </w:rPr>
      </w:pPr>
    </w:p>
    <w:p>
      <w:pPr>
        <w:jc w:val="both"/>
        <w:ind w:right="100" w:firstLine="648"/>
        <w:spacing w:after="0" w:line="253" w:lineRule="auto"/>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 national banking association duly organized and validly existing under the laws of the United</w:t>
      </w:r>
      <w:r>
        <w:rPr>
          <w:rFonts w:ascii="Arial" w:cs="Arial" w:eastAsia="Arial" w:hAnsi="Arial"/>
          <w:sz w:val="20"/>
          <w:szCs w:val="20"/>
          <w:b w:val="1"/>
          <w:bCs w:val="1"/>
          <w:color w:val="auto"/>
        </w:rPr>
        <w:t xml:space="preserve"> </w:t>
      </w:r>
      <w:r>
        <w:rPr>
          <w:rFonts w:ascii="Arial" w:cs="Arial" w:eastAsia="Arial" w:hAnsi="Arial"/>
          <w:sz w:val="20"/>
          <w:szCs w:val="20"/>
          <w:color w:val="auto"/>
        </w:rPr>
        <w:t>States of America, having an office located at 194 Wood Avenue South, Iselin, New Jersey 08830, in its capacity as a Lender and the letter of credit issuer (hereinafter referred to as “</w:t>
      </w:r>
      <w:r>
        <w:rPr>
          <w:rFonts w:ascii="Arial" w:cs="Arial" w:eastAsia="Arial" w:hAnsi="Arial"/>
          <w:sz w:val="20"/>
          <w:szCs w:val="20"/>
          <w:u w:val="single" w:color="auto"/>
          <w:color w:val="auto"/>
        </w:rPr>
        <w:t>Bank of America</w:t>
      </w:r>
      <w:r>
        <w:rPr>
          <w:rFonts w:ascii="Arial" w:cs="Arial" w:eastAsia="Arial" w:hAnsi="Arial"/>
          <w:sz w:val="20"/>
          <w:szCs w:val="20"/>
          <w:color w:val="auto"/>
        </w:rPr>
        <w:t>”),</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AND</w:t>
      </w:r>
    </w:p>
    <w:p>
      <w:pPr>
        <w:spacing w:after="0" w:line="256" w:lineRule="exact"/>
        <w:rPr>
          <w:sz w:val="20"/>
          <w:szCs w:val="20"/>
          <w:color w:val="auto"/>
        </w:rPr>
      </w:pPr>
    </w:p>
    <w:p>
      <w:pPr>
        <w:jc w:val="both"/>
        <w:ind w:right="100" w:firstLine="648"/>
        <w:spacing w:after="0" w:line="267" w:lineRule="auto"/>
        <w:rPr>
          <w:sz w:val="20"/>
          <w:szCs w:val="20"/>
          <w:color w:val="auto"/>
        </w:rPr>
      </w:pPr>
      <w:r>
        <w:rPr>
          <w:rFonts w:ascii="Arial" w:cs="Arial" w:eastAsia="Arial" w:hAnsi="Arial"/>
          <w:sz w:val="20"/>
          <w:szCs w:val="20"/>
          <w:b w:val="1"/>
          <w:bCs w:val="1"/>
          <w:color w:val="auto"/>
        </w:rPr>
        <w:t xml:space="preserve">THOSE OTHER LENDERS SIGNATORY HERETO </w:t>
      </w:r>
      <w:r>
        <w:rPr>
          <w:rFonts w:ascii="Arial" w:cs="Arial" w:eastAsia="Arial" w:hAnsi="Arial"/>
          <w:sz w:val="20"/>
          <w:szCs w:val="20"/>
          <w:color w:val="auto"/>
        </w:rPr>
        <w:t>(hereinafter said lenders, together with Bank of America,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sometimes individually referred to as a “</w:t>
      </w:r>
      <w:r>
        <w:rPr>
          <w:rFonts w:ascii="Arial" w:cs="Arial" w:eastAsia="Arial" w:hAnsi="Arial"/>
          <w:sz w:val="20"/>
          <w:szCs w:val="20"/>
          <w:u w:val="single" w:color="auto"/>
          <w:color w:val="auto"/>
        </w:rPr>
        <w:t>Lender</w:t>
      </w:r>
      <w:r>
        <w:rPr>
          <w:rFonts w:ascii="Arial" w:cs="Arial" w:eastAsia="Arial" w:hAnsi="Arial"/>
          <w:sz w:val="20"/>
          <w:szCs w:val="20"/>
          <w:color w:val="auto"/>
        </w:rPr>
        <w:t>” and collectively referred to as the “</w:t>
      </w:r>
      <w:r>
        <w:rPr>
          <w:rFonts w:ascii="Arial" w:cs="Arial" w:eastAsia="Arial" w:hAnsi="Arial"/>
          <w:sz w:val="20"/>
          <w:szCs w:val="20"/>
          <w:u w:val="single" w:color="auto"/>
          <w:color w:val="auto"/>
        </w:rPr>
        <w:t>Lenders</w:t>
      </w:r>
      <w:r>
        <w:rPr>
          <w:rFonts w:ascii="Arial" w:cs="Arial" w:eastAsia="Arial" w:hAnsi="Arial"/>
          <w:sz w:val="20"/>
          <w:szCs w:val="20"/>
          <w:color w:val="auto"/>
        </w:rPr>
        <w:t>”),</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AND</w:t>
      </w:r>
    </w:p>
    <w:p>
      <w:pPr>
        <w:spacing w:after="0" w:line="243" w:lineRule="exact"/>
        <w:rPr>
          <w:sz w:val="20"/>
          <w:szCs w:val="20"/>
          <w:color w:val="auto"/>
        </w:rPr>
      </w:pPr>
    </w:p>
    <w:p>
      <w:pPr>
        <w:jc w:val="both"/>
        <w:ind w:right="100" w:firstLine="648"/>
        <w:spacing w:after="0" w:line="253" w:lineRule="auto"/>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 national banking association duly organized and validly existing under the laws of the United</w:t>
      </w:r>
      <w:r>
        <w:rPr>
          <w:rFonts w:ascii="Arial" w:cs="Arial" w:eastAsia="Arial" w:hAnsi="Arial"/>
          <w:sz w:val="20"/>
          <w:szCs w:val="20"/>
          <w:b w:val="1"/>
          <w:bCs w:val="1"/>
          <w:color w:val="auto"/>
        </w:rPr>
        <w:t xml:space="preserve"> </w:t>
      </w:r>
      <w:r>
        <w:rPr>
          <w:rFonts w:ascii="Arial" w:cs="Arial" w:eastAsia="Arial" w:hAnsi="Arial"/>
          <w:sz w:val="20"/>
          <w:szCs w:val="20"/>
          <w:color w:val="auto"/>
        </w:rPr>
        <w:t>States of America, having an office located 194 Wood Avenue South, Iselin, New Jersey 08830, in its capacity as administrative agent for the Lenders (hereinafter referred to as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200" w:lineRule="exact"/>
        <w:rPr>
          <w:sz w:val="20"/>
          <w:szCs w:val="20"/>
          <w:color w:val="auto"/>
        </w:rPr>
      </w:pPr>
    </w:p>
    <w:p>
      <w:pPr>
        <w:spacing w:after="0" w:line="350" w:lineRule="exact"/>
        <w:rPr>
          <w:sz w:val="20"/>
          <w:szCs w:val="20"/>
          <w:color w:val="auto"/>
        </w:rPr>
      </w:pPr>
    </w:p>
    <w:p>
      <w:pPr>
        <w:ind w:left="6100"/>
        <w:spacing w:after="0"/>
        <w:rPr>
          <w:sz w:val="20"/>
          <w:szCs w:val="20"/>
          <w:color w:val="auto"/>
        </w:rPr>
      </w:pPr>
      <w:r>
        <w:rPr>
          <w:rFonts w:ascii="Arial" w:cs="Arial" w:eastAsia="Arial" w:hAnsi="Arial"/>
          <w:sz w:val="12"/>
          <w:szCs w:val="12"/>
          <w:color w:val="auto"/>
        </w:rPr>
        <w:t>[FOURTH AMENDMENT TO FIFTH AMENDED AND RESTATED CREDIT AGREEMENT]</w:t>
      </w:r>
    </w:p>
    <w:p>
      <w:pPr>
        <w:spacing w:after="0" w:line="21" w:lineRule="exact"/>
        <w:rPr>
          <w:sz w:val="20"/>
          <w:szCs w:val="20"/>
          <w:color w:val="auto"/>
        </w:rPr>
      </w:pPr>
    </w:p>
    <w:p>
      <w:pPr>
        <w:ind w:left="9740"/>
        <w:spacing w:after="0"/>
        <w:rPr>
          <w:sz w:val="20"/>
          <w:szCs w:val="20"/>
          <w:color w:val="auto"/>
        </w:rPr>
      </w:pPr>
      <w:r>
        <w:rPr>
          <w:rFonts w:ascii="Arial" w:cs="Arial" w:eastAsia="Arial" w:hAnsi="Arial"/>
          <w:sz w:val="11"/>
          <w:szCs w:val="11"/>
          <w:color w:val="auto"/>
        </w:rPr>
        <w:t>US_ACTIVE-157717453.3</w:t>
      </w:r>
    </w:p>
    <w:p>
      <w:pPr>
        <w:sectPr>
          <w:pgSz w:w="11900" w:h="16838" w:orient="portrait"/>
          <w:cols w:equalWidth="0" w:num="1">
            <w:col w:w="11120"/>
          </w:cols>
          <w:pgMar w:left="440" w:top="12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u w:val="single" w:color="auto"/>
          <w:color w:val="auto"/>
        </w:rPr>
        <w:t>W I T N E S S E T H</w:t>
      </w:r>
      <w:r>
        <w:rPr>
          <w:rFonts w:ascii="Arial" w:cs="Arial" w:eastAsia="Arial" w:hAnsi="Arial"/>
          <w:sz w:val="20"/>
          <w:szCs w:val="20"/>
          <w:b w:val="1"/>
          <w:bCs w:val="1"/>
          <w:color w:val="auto"/>
        </w:rPr>
        <w:t>:</w:t>
      </w:r>
    </w:p>
    <w:p>
      <w:pPr>
        <w:spacing w:after="0" w:line="337" w:lineRule="exact"/>
        <w:rPr>
          <w:sz w:val="20"/>
          <w:szCs w:val="20"/>
          <w:color w:val="auto"/>
        </w:rPr>
      </w:pPr>
    </w:p>
    <w:p>
      <w:pPr>
        <w:jc w:val="both"/>
        <w:ind w:right="100" w:firstLine="648"/>
        <w:spacing w:after="0" w:line="26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terms, conditions, and provisions of that certain Fifth Amended and Restated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dated December 13, 2018, executed by and among, </w:t>
      </w:r>
      <w:r>
        <w:rPr>
          <w:rFonts w:ascii="Arial" w:cs="Arial" w:eastAsia="Arial" w:hAnsi="Arial"/>
          <w:sz w:val="18"/>
          <w:szCs w:val="18"/>
          <w:u w:val="single" w:color="auto"/>
          <w:color w:val="auto"/>
        </w:rPr>
        <w:t>inter alia</w:t>
      </w:r>
      <w:r>
        <w:rPr>
          <w:rFonts w:ascii="Arial" w:cs="Arial" w:eastAsia="Arial" w:hAnsi="Arial"/>
          <w:sz w:val="18"/>
          <w:szCs w:val="18"/>
          <w:color w:val="auto"/>
        </w:rPr>
        <w:t>, the Borrower, as borrower, the Lenders, as lenders, Bank of America, as letter of credit issuer, and the Administrative Agent, as administrative agent (hereinafter referred to as the “</w:t>
      </w:r>
      <w:r>
        <w:rPr>
          <w:rFonts w:ascii="Arial" w:cs="Arial" w:eastAsia="Arial" w:hAnsi="Arial"/>
          <w:sz w:val="18"/>
          <w:szCs w:val="18"/>
          <w:u w:val="single" w:color="auto"/>
          <w:color w:val="auto"/>
        </w:rPr>
        <w:t>Original Credit Agreement</w:t>
      </w:r>
      <w:r>
        <w:rPr>
          <w:rFonts w:ascii="Arial" w:cs="Arial" w:eastAsia="Arial" w:hAnsi="Arial"/>
          <w:sz w:val="18"/>
          <w:szCs w:val="18"/>
          <w:color w:val="auto"/>
        </w:rPr>
        <w:t xml:space="preserve">”), as such Original Credit Agreement was amended and modified by (i) that certain First Amendment to Fifth Amended and Restated Credit Agreement dated October 11, 2019, executed by and among, </w:t>
      </w:r>
      <w:r>
        <w:rPr>
          <w:rFonts w:ascii="Arial" w:cs="Arial" w:eastAsia="Arial" w:hAnsi="Arial"/>
          <w:sz w:val="18"/>
          <w:szCs w:val="18"/>
          <w:u w:val="single" w:color="auto"/>
          <w:color w:val="auto"/>
        </w:rPr>
        <w:t>inter alia</w:t>
      </w:r>
      <w:r>
        <w:rPr>
          <w:rFonts w:ascii="Arial" w:cs="Arial" w:eastAsia="Arial" w:hAnsi="Arial"/>
          <w:sz w:val="18"/>
          <w:szCs w:val="18"/>
          <w:color w:val="auto"/>
        </w:rPr>
        <w:t>, the Borrower, as borrower, the Lenders, as lenders, Bank of America, as letter of credit issuer, and the Administrative Agent, as administrative agent (hereinafter referred to as the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(ii) that certain Second Amendment to Fifth Amended and Restated Credit Agreement dated March 9, 2020, executed by and among, </w:t>
      </w:r>
      <w:r>
        <w:rPr>
          <w:rFonts w:ascii="Arial" w:cs="Arial" w:eastAsia="Arial" w:hAnsi="Arial"/>
          <w:sz w:val="18"/>
          <w:szCs w:val="18"/>
          <w:u w:val="single" w:color="auto"/>
          <w:color w:val="auto"/>
        </w:rPr>
        <w:t>inter alia</w:t>
      </w:r>
      <w:r>
        <w:rPr>
          <w:rFonts w:ascii="Arial" w:cs="Arial" w:eastAsia="Arial" w:hAnsi="Arial"/>
          <w:sz w:val="18"/>
          <w:szCs w:val="18"/>
          <w:color w:val="auto"/>
        </w:rPr>
        <w:t>, the Borrower, as borrower, the Lenders, as lenders, Bank of America, as letter of credit issuer, and the Administrative Agent, as administrative agent (hereinafter referred to as the “</w:t>
      </w:r>
      <w:r>
        <w:rPr>
          <w:rFonts w:ascii="Arial" w:cs="Arial" w:eastAsia="Arial" w:hAnsi="Arial"/>
          <w:sz w:val="18"/>
          <w:szCs w:val="18"/>
          <w:u w:val="single" w:color="auto"/>
          <w:color w:val="auto"/>
        </w:rPr>
        <w:t>Second Amendment</w:t>
      </w:r>
      <w:r>
        <w:rPr>
          <w:rFonts w:ascii="Arial" w:cs="Arial" w:eastAsia="Arial" w:hAnsi="Arial"/>
          <w:sz w:val="18"/>
          <w:szCs w:val="18"/>
          <w:color w:val="auto"/>
        </w:rPr>
        <w:t xml:space="preserve">”), and (iii) that certain Third Amendment to Fifth Amended and Restated Credit Agreement dated May 15, 2020, executed by and among, </w:t>
      </w:r>
      <w:r>
        <w:rPr>
          <w:rFonts w:ascii="Arial" w:cs="Arial" w:eastAsia="Arial" w:hAnsi="Arial"/>
          <w:sz w:val="18"/>
          <w:szCs w:val="18"/>
          <w:u w:val="single" w:color="auto"/>
          <w:color w:val="auto"/>
        </w:rPr>
        <w:t>inter alia</w:t>
      </w:r>
      <w:r>
        <w:rPr>
          <w:rFonts w:ascii="Arial" w:cs="Arial" w:eastAsia="Arial" w:hAnsi="Arial"/>
          <w:sz w:val="18"/>
          <w:szCs w:val="18"/>
          <w:color w:val="auto"/>
        </w:rPr>
        <w:t>, the Borrower, as borrower, the Lenders, as lenders, Bank of America, as letter of credit issuer, and the Administrative Agent, as administrative agent (hereinafter referred to as the “</w:t>
      </w:r>
      <w:r>
        <w:rPr>
          <w:rFonts w:ascii="Arial" w:cs="Arial" w:eastAsia="Arial" w:hAnsi="Arial"/>
          <w:sz w:val="18"/>
          <w:szCs w:val="18"/>
          <w:u w:val="single" w:color="auto"/>
          <w:color w:val="auto"/>
        </w:rPr>
        <w:t>Third Amendment</w:t>
      </w:r>
      <w:r>
        <w:rPr>
          <w:rFonts w:ascii="Arial" w:cs="Arial" w:eastAsia="Arial" w:hAnsi="Arial"/>
          <w:sz w:val="18"/>
          <w:szCs w:val="18"/>
          <w:color w:val="auto"/>
        </w:rPr>
        <w:t>”, and hereinafter the Original Credit Agreement, as amended and modified by the First Amendment, the Second Amendment, and the Third Amendment, shall be referred to as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Lenders made available to the Borrower (a) a five (5) year senior secured amended and restated revolving credit facility in the aggregate reduced maximum principal amount of up to US$175,000,000.00 (hereinafter referred to as the “</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which Revolving Credit Facility includes (1) a US$20,000,000.00 sublimit for the issuance of standby and commercial letters of credit and (2) a US$100,000,000.00 sublimit for multicurrency borrowings in readily available and freely transferable and convertible currencies, including, but not limited to, Euros, Pounds Sterling, Canadian Dollars, and Japanese Yen, all to be made available to the Borrower for working capital and other lawful corporate purposes, and (b) a five (5) year senior secured term loan facility in the aggregate reduced original principal amount of US$93,750,000.00 (hereinafter referred to as the “</w:t>
      </w:r>
      <w:r>
        <w:rPr>
          <w:rFonts w:ascii="Arial" w:cs="Arial" w:eastAsia="Arial" w:hAnsi="Arial"/>
          <w:sz w:val="18"/>
          <w:szCs w:val="18"/>
          <w:u w:val="single" w:color="auto"/>
          <w:color w:val="auto"/>
        </w:rPr>
        <w:t>Term Loan Facility</w:t>
      </w:r>
      <w:r>
        <w:rPr>
          <w:rFonts w:ascii="Arial" w:cs="Arial" w:eastAsia="Arial" w:hAnsi="Arial"/>
          <w:sz w:val="18"/>
          <w:szCs w:val="18"/>
          <w:color w:val="auto"/>
        </w:rPr>
        <w:t>”, and hereinafter the Revolving Credit Facility and the Term Loan Facility shall be collectively referred to as the “</w:t>
      </w:r>
      <w:r>
        <w:rPr>
          <w:rFonts w:ascii="Arial" w:cs="Arial" w:eastAsia="Arial" w:hAnsi="Arial"/>
          <w:sz w:val="18"/>
          <w:szCs w:val="18"/>
          <w:u w:val="single" w:color="auto"/>
          <w:color w:val="auto"/>
        </w:rPr>
        <w:t>Credit Facilities</w:t>
      </w:r>
      <w:r>
        <w:rPr>
          <w:rFonts w:ascii="Arial" w:cs="Arial" w:eastAsia="Arial" w:hAnsi="Arial"/>
          <w:sz w:val="18"/>
          <w:szCs w:val="18"/>
          <w:color w:val="auto"/>
        </w:rPr>
        <w:t>”); and</w:t>
      </w:r>
    </w:p>
    <w:p>
      <w:pPr>
        <w:spacing w:after="0" w:line="290" w:lineRule="exact"/>
        <w:rPr>
          <w:sz w:val="20"/>
          <w:szCs w:val="20"/>
          <w:color w:val="auto"/>
        </w:rPr>
      </w:pPr>
    </w:p>
    <w:p>
      <w:pPr>
        <w:jc w:val="both"/>
        <w:ind w:right="10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capitalized terms used herein but not otherwise expressly defined herein shall have the same meanings when used</w:t>
      </w:r>
      <w:r>
        <w:rPr>
          <w:rFonts w:ascii="Arial" w:cs="Arial" w:eastAsia="Arial" w:hAnsi="Arial"/>
          <w:sz w:val="20"/>
          <w:szCs w:val="20"/>
          <w:b w:val="1"/>
          <w:bCs w:val="1"/>
          <w:color w:val="auto"/>
        </w:rPr>
        <w:t xml:space="preserve"> </w:t>
      </w:r>
      <w:r>
        <w:rPr>
          <w:rFonts w:ascii="Arial" w:cs="Arial" w:eastAsia="Arial" w:hAnsi="Arial"/>
          <w:sz w:val="20"/>
          <w:szCs w:val="20"/>
          <w:color w:val="auto"/>
        </w:rPr>
        <w:t>herein as assigned and ascribed to said terms in the Credit Agreement; and</w:t>
      </w:r>
    </w:p>
    <w:p>
      <w:pPr>
        <w:spacing w:after="0" w:line="190" w:lineRule="exact"/>
        <w:rPr>
          <w:sz w:val="20"/>
          <w:szCs w:val="20"/>
          <w:color w:val="auto"/>
        </w:rPr>
      </w:pPr>
    </w:p>
    <w:p>
      <w:pPr>
        <w:jc w:val="both"/>
        <w:ind w:right="100" w:firstLine="648"/>
        <w:spacing w:after="0" w:line="246"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the terms, conditions, and provisions of that certain Fifth Amended and Restated Guaranty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dated December 13, 2018, executed by the Guarantors, as guarantors, in favor of the Administrative Agent, for the benefit of the Lenders (hereinafter referred to as the “</w:t>
      </w:r>
      <w:r>
        <w:rPr>
          <w:rFonts w:ascii="Arial" w:cs="Arial" w:eastAsia="Arial" w:hAnsi="Arial"/>
          <w:sz w:val="20"/>
          <w:szCs w:val="20"/>
          <w:u w:val="single" w:color="auto"/>
          <w:color w:val="auto"/>
        </w:rPr>
        <w:t>Guaranty</w:t>
      </w:r>
      <w:r>
        <w:rPr>
          <w:rFonts w:ascii="Arial" w:cs="Arial" w:eastAsia="Arial" w:hAnsi="Arial"/>
          <w:sz w:val="20"/>
          <w:szCs w:val="20"/>
          <w:color w:val="auto"/>
        </w:rPr>
        <w:t>”), the Guarantors guarantied the payment and performance of all of the obligations of the Borrower owed to the Administrative Agent and the Lenders under the Credit Agreement and the other Loan Documents (hereinafter collectively referred to as the “</w:t>
      </w:r>
      <w:r>
        <w:rPr>
          <w:rFonts w:ascii="Arial" w:cs="Arial" w:eastAsia="Arial" w:hAnsi="Arial"/>
          <w:sz w:val="20"/>
          <w:szCs w:val="20"/>
          <w:u w:val="single" w:color="auto"/>
          <w:color w:val="auto"/>
        </w:rPr>
        <w:t>Loan Documents</w:t>
      </w:r>
      <w:r>
        <w:rPr>
          <w:rFonts w:ascii="Arial" w:cs="Arial" w:eastAsia="Arial" w:hAnsi="Arial"/>
          <w:sz w:val="20"/>
          <w:szCs w:val="20"/>
          <w:color w:val="auto"/>
        </w:rPr>
        <w:t>”); and</w:t>
      </w:r>
    </w:p>
    <w:p>
      <w:pPr>
        <w:spacing w:after="0" w:line="293" w:lineRule="exact"/>
        <w:rPr>
          <w:sz w:val="20"/>
          <w:szCs w:val="20"/>
          <w:color w:val="auto"/>
        </w:rPr>
      </w:pPr>
    </w:p>
    <w:p>
      <w:pPr>
        <w:jc w:val="both"/>
        <w:ind w:right="100"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hereto have agreed to amend and modify the terms, conditions, and provisions of the Credit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and the other Loan Documents, pursuant to the terms, conditions, and provisions of this Amendment for the purposes more fully set forth and described herein; and</w:t>
      </w:r>
    </w:p>
    <w:p>
      <w:pPr>
        <w:spacing w:after="0" w:line="204" w:lineRule="exact"/>
        <w:rPr>
          <w:sz w:val="20"/>
          <w:szCs w:val="20"/>
          <w:color w:val="auto"/>
        </w:rPr>
      </w:pPr>
    </w:p>
    <w:p>
      <w:pPr>
        <w:jc w:val="both"/>
        <w:ind w:right="100"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agreements hereinafter set forth, and for other good and valuable consideration, the</w:t>
      </w:r>
      <w:r>
        <w:rPr>
          <w:rFonts w:ascii="Arial" w:cs="Arial" w:eastAsia="Arial" w:hAnsi="Arial"/>
          <w:sz w:val="20"/>
          <w:szCs w:val="20"/>
          <w:b w:val="1"/>
          <w:bCs w:val="1"/>
          <w:color w:val="auto"/>
        </w:rPr>
        <w:t xml:space="preserve"> </w:t>
      </w:r>
      <w:r>
        <w:rPr>
          <w:rFonts w:ascii="Arial" w:cs="Arial" w:eastAsia="Arial" w:hAnsi="Arial"/>
          <w:sz w:val="20"/>
          <w:szCs w:val="20"/>
          <w:color w:val="auto"/>
        </w:rPr>
        <w:t>receipt and adequacy of which are hereby acknowledged, the parties hereto agree as follows:</w:t>
      </w: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ARTICLE I</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AMOUNTS OUTSTANDING UNDER THE CREDIT FACILITIES; APPLICABLE RATE AND</w:t>
      </w:r>
    </w:p>
    <w:p>
      <w:pPr>
        <w:jc w:val="center"/>
        <w:ind w:right="100"/>
        <w:spacing w:after="0"/>
        <w:rPr>
          <w:sz w:val="20"/>
          <w:szCs w:val="20"/>
          <w:color w:val="auto"/>
        </w:rPr>
      </w:pPr>
      <w:r>
        <w:rPr>
          <w:rFonts w:ascii="Arial" w:cs="Arial" w:eastAsia="Arial" w:hAnsi="Arial"/>
          <w:sz w:val="20"/>
          <w:szCs w:val="20"/>
          <w:b w:val="1"/>
          <w:bCs w:val="1"/>
          <w:color w:val="auto"/>
        </w:rPr>
        <w:t>PRICING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325755</wp:posOffset>
            </wp:positionV>
            <wp:extent cx="1877060" cy="196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77060" cy="196850"/>
                    </a:xfrm>
                    <a:prstGeom prst="rect">
                      <a:avLst/>
                    </a:prstGeom>
                    <a:noFill/>
                  </pic:spPr>
                </pic:pic>
              </a:graphicData>
            </a:graphic>
          </wp:anchor>
        </w:drawing>
      </w:r>
    </w:p>
    <w:p>
      <w:pPr>
        <w:sectPr>
          <w:pgSz w:w="11900" w:h="16838" w:orient="portrait"/>
          <w:cols w:equalWidth="0" w:num="1">
            <w:col w:w="11120"/>
          </w:cols>
          <w:pgMar w:left="440" w:top="12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5" w:right="100" w:firstLine="644"/>
        <w:spacing w:after="0" w:line="278" w:lineRule="auto"/>
        <w:tabs>
          <w:tab w:leader="none" w:pos="1194"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Amounts Outstanding under the Revolving Credit Facility</w:t>
      </w:r>
      <w:r>
        <w:rPr>
          <w:rFonts w:ascii="Arial" w:cs="Arial" w:eastAsia="Arial" w:hAnsi="Arial"/>
          <w:sz w:val="18"/>
          <w:szCs w:val="18"/>
          <w:color w:val="auto"/>
        </w:rPr>
        <w:t>. The Borrower hereby acknowledges and agrees that, there</w:t>
      </w:r>
      <w:r>
        <w:rPr>
          <w:rFonts w:ascii="Arial" w:cs="Arial" w:eastAsia="Arial" w:hAnsi="Arial"/>
          <w:sz w:val="18"/>
          <w:szCs w:val="18"/>
          <w:b w:val="1"/>
          <w:bCs w:val="1"/>
          <w:color w:val="auto"/>
        </w:rPr>
        <w:t xml:space="preserve"> </w:t>
      </w:r>
      <w:r>
        <w:rPr>
          <w:rFonts w:ascii="Arial" w:cs="Arial" w:eastAsia="Arial" w:hAnsi="Arial"/>
          <w:sz w:val="18"/>
          <w:szCs w:val="18"/>
          <w:color w:val="auto"/>
        </w:rPr>
        <w:t>is, as of January 22, 2021, due and owing on the Revolving Credit Facility (i) the principal amount of US$116,820,766.00, consisting of</w:t>
      </w:r>
    </w:p>
    <w:p>
      <w:pPr>
        <w:spacing w:after="0" w:line="1" w:lineRule="exact"/>
        <w:rPr>
          <w:rFonts w:ascii="Arial" w:cs="Arial" w:eastAsia="Arial" w:hAnsi="Arial"/>
          <w:sz w:val="18"/>
          <w:szCs w:val="18"/>
          <w:b w:val="1"/>
          <w:bCs w:val="1"/>
          <w:color w:val="auto"/>
        </w:rPr>
      </w:pPr>
    </w:p>
    <w:p>
      <w:pPr>
        <w:jc w:val="both"/>
        <w:ind w:left="5" w:right="100" w:hanging="5"/>
        <w:spacing w:after="0"/>
        <w:tabs>
          <w:tab w:leader="none" w:pos="299"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Revolving Loans in the aggregate principal amount of US$112,500,000.00, and (b) issued and outstanding Letters of Credit in the aggregate stated amount of US$4,320,766.00 and (ii) the principal amount of €8,000,000.00 consisting of Revolving Loans, in the case of each of the foregoing together with unpaid accrued interest, fees, costs and expenses due and owing to the Lenders under the Credit Agreement, all without offset, defense or counterclaim, all of which are hereby expressly waived by the Borrower and the Guarantors as of the date hereof. As of such date, there were no amounts due and owing to the Lenders in connection with any unreimbursed draws on any Letter of Credit.</w:t>
      </w:r>
    </w:p>
    <w:p>
      <w:pPr>
        <w:spacing w:after="0" w:line="218" w:lineRule="exact"/>
        <w:rPr>
          <w:rFonts w:ascii="Arial" w:cs="Arial" w:eastAsia="Arial" w:hAnsi="Arial"/>
          <w:sz w:val="20"/>
          <w:szCs w:val="20"/>
          <w:color w:val="auto"/>
        </w:rPr>
      </w:pPr>
    </w:p>
    <w:p>
      <w:pPr>
        <w:jc w:val="both"/>
        <w:ind w:left="5" w:right="100" w:firstLine="644"/>
        <w:spacing w:after="0" w:line="265" w:lineRule="auto"/>
        <w:tabs>
          <w:tab w:leader="none" w:pos="1190" w:val="left"/>
        </w:tabs>
        <w:numPr>
          <w:ilvl w:val="1"/>
          <w:numId w:val="1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Amount Outstanding under the Term Loan Facility</w:t>
      </w:r>
      <w:r>
        <w:rPr>
          <w:rFonts w:ascii="Arial" w:cs="Arial" w:eastAsia="Arial" w:hAnsi="Arial"/>
          <w:sz w:val="19"/>
          <w:szCs w:val="19"/>
          <w:color w:val="auto"/>
        </w:rPr>
        <w:t>. The Borrower hereby acknowledges and agrees that, there is, as of</w:t>
      </w:r>
      <w:r>
        <w:rPr>
          <w:rFonts w:ascii="Arial" w:cs="Arial" w:eastAsia="Arial" w:hAnsi="Arial"/>
          <w:sz w:val="19"/>
          <w:szCs w:val="19"/>
          <w:b w:val="1"/>
          <w:bCs w:val="1"/>
          <w:color w:val="auto"/>
        </w:rPr>
        <w:t xml:space="preserve"> </w:t>
      </w:r>
      <w:r>
        <w:rPr>
          <w:rFonts w:ascii="Arial" w:cs="Arial" w:eastAsia="Arial" w:hAnsi="Arial"/>
          <w:sz w:val="19"/>
          <w:szCs w:val="19"/>
          <w:color w:val="auto"/>
        </w:rPr>
        <w:t>January 22, 2021, due and owing on the Term Loan Facility the principal amount of US$90,000,000.00, together with unpaid accrued interest, fees, costs and expenses due and owing to the Lenders under the Credit Agreement, all without offset, defense or counterclaim, all of which are hereby expressly waived by the Borrower and the Guarantors as of the date hereof.</w:t>
      </w:r>
    </w:p>
    <w:p>
      <w:pPr>
        <w:spacing w:after="0" w:line="196" w:lineRule="exact"/>
        <w:rPr>
          <w:sz w:val="20"/>
          <w:szCs w:val="20"/>
          <w:color w:val="auto"/>
        </w:rPr>
      </w:pPr>
    </w:p>
    <w:p>
      <w:pPr>
        <w:jc w:val="center"/>
        <w:ind w:right="95"/>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ind w:right="95"/>
        <w:spacing w:after="0"/>
        <w:rPr>
          <w:sz w:val="20"/>
          <w:szCs w:val="20"/>
          <w:color w:val="auto"/>
        </w:rPr>
      </w:pPr>
      <w:r>
        <w:rPr>
          <w:rFonts w:ascii="Arial" w:cs="Arial" w:eastAsia="Arial" w:hAnsi="Arial"/>
          <w:sz w:val="20"/>
          <w:szCs w:val="20"/>
          <w:b w:val="1"/>
          <w:bCs w:val="1"/>
          <w:color w:val="auto"/>
        </w:rPr>
        <w:t>ONE-TIME WAIVER OF PROHIBITION ON ACQUISITIONS</w:t>
      </w:r>
    </w:p>
    <w:p>
      <w:pPr>
        <w:spacing w:after="0" w:line="234" w:lineRule="exact"/>
        <w:rPr>
          <w:sz w:val="20"/>
          <w:szCs w:val="20"/>
          <w:color w:val="auto"/>
        </w:rPr>
      </w:pPr>
    </w:p>
    <w:p>
      <w:pPr>
        <w:jc w:val="both"/>
        <w:ind w:left="5" w:right="100" w:firstLine="648"/>
        <w:spacing w:after="0" w:line="270"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One-Time Waiver of Prohibition on Acquisitions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7.02(f)(vi)</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 prohibits the Borrower from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making the purchase or other acquisition of all or substantially all of the Equity Interests in, or all or substantially all of the assets of, any Person prior to June 30, 2021. In connection with this Amendment, the Borrower has requested that the Administrative Agent and the Lenders waive the prohibition described in </w:t>
      </w:r>
      <w:r>
        <w:rPr>
          <w:rFonts w:ascii="Arial" w:cs="Arial" w:eastAsia="Arial" w:hAnsi="Arial"/>
          <w:sz w:val="18"/>
          <w:szCs w:val="18"/>
          <w:u w:val="single" w:color="auto"/>
          <w:color w:val="auto"/>
        </w:rPr>
        <w:t>Section 7.02(f)(vi)</w:t>
      </w:r>
      <w:r>
        <w:rPr>
          <w:rFonts w:ascii="Arial" w:cs="Arial" w:eastAsia="Arial" w:hAnsi="Arial"/>
          <w:sz w:val="18"/>
          <w:szCs w:val="18"/>
          <w:color w:val="auto"/>
        </w:rPr>
        <w:t xml:space="preserve"> and give the Borrower approval to acquire (hereinafter referred to as the “</w:t>
      </w:r>
      <w:r>
        <w:rPr>
          <w:rFonts w:ascii="Arial" w:cs="Arial" w:eastAsia="Arial" w:hAnsi="Arial"/>
          <w:sz w:val="18"/>
          <w:szCs w:val="18"/>
          <w:u w:val="single" w:color="auto"/>
          <w:color w:val="auto"/>
        </w:rPr>
        <w:t>Acquisition</w:t>
      </w:r>
      <w:r>
        <w:rPr>
          <w:rFonts w:ascii="Arial" w:cs="Arial" w:eastAsia="Arial" w:hAnsi="Arial"/>
          <w:sz w:val="18"/>
          <w:szCs w:val="18"/>
          <w:color w:val="auto"/>
        </w:rPr>
        <w:t>”) the equity interests in Titan Non-Destructive Services, Ltd., a company organized under the laws of the Province of Alberta, Canada (hereinafter referred to as “</w:t>
      </w:r>
      <w:r>
        <w:rPr>
          <w:rFonts w:ascii="Arial" w:cs="Arial" w:eastAsia="Arial" w:hAnsi="Arial"/>
          <w:sz w:val="18"/>
          <w:szCs w:val="18"/>
          <w:u w:val="single" w:color="auto"/>
          <w:color w:val="auto"/>
        </w:rPr>
        <w:t>Titan</w:t>
      </w:r>
      <w:r>
        <w:rPr>
          <w:rFonts w:ascii="Arial" w:cs="Arial" w:eastAsia="Arial" w:hAnsi="Arial"/>
          <w:sz w:val="18"/>
          <w:szCs w:val="18"/>
          <w:color w:val="auto"/>
        </w:rPr>
        <w:t xml:space="preserve">”). Notwithstanding the terms, conditions, and provisions of </w:t>
      </w:r>
      <w:r>
        <w:rPr>
          <w:rFonts w:ascii="Arial" w:cs="Arial" w:eastAsia="Arial" w:hAnsi="Arial"/>
          <w:sz w:val="18"/>
          <w:szCs w:val="18"/>
          <w:u w:val="single" w:color="auto"/>
          <w:color w:val="auto"/>
        </w:rPr>
        <w:t>Section 7.02(f)(vi)</w:t>
      </w:r>
      <w:r>
        <w:rPr>
          <w:rFonts w:ascii="Arial" w:cs="Arial" w:eastAsia="Arial" w:hAnsi="Arial"/>
          <w:sz w:val="18"/>
          <w:szCs w:val="18"/>
          <w:color w:val="auto"/>
        </w:rPr>
        <w:t xml:space="preserve"> to the contrary, the Administrative Agent and the Lenders have agreed, in accordance with the terms, conditions, and provisions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of the Credit Agreement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subject to the Borrower’s satisfaction of the “Acquisition Conditions” (as such term is hereinafter defined) set forth in this </w:t>
      </w:r>
      <w:r>
        <w:rPr>
          <w:rFonts w:ascii="Arial" w:cs="Arial" w:eastAsia="Arial" w:hAnsi="Arial"/>
          <w:sz w:val="18"/>
          <w:szCs w:val="18"/>
          <w:u w:val="single" w:color="auto"/>
          <w:color w:val="auto"/>
        </w:rPr>
        <w:t>Section 2.1</w:t>
      </w:r>
      <w:r>
        <w:rPr>
          <w:rFonts w:ascii="Arial" w:cs="Arial" w:eastAsia="Arial" w:hAnsi="Arial"/>
          <w:sz w:val="18"/>
          <w:szCs w:val="18"/>
          <w:color w:val="auto"/>
        </w:rPr>
        <w:t>, to waive the foregoing prohibition with respect to the Acquisition (hereinafter referred to as the “</w:t>
      </w:r>
      <w:r>
        <w:rPr>
          <w:rFonts w:ascii="Arial" w:cs="Arial" w:eastAsia="Arial" w:hAnsi="Arial"/>
          <w:sz w:val="18"/>
          <w:szCs w:val="18"/>
          <w:u w:val="single" w:color="auto"/>
          <w:color w:val="auto"/>
        </w:rPr>
        <w:t>Acquisition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which Acquisition Waiver is limited </w:t>
      </w:r>
      <w:r>
        <w:rPr>
          <w:rFonts w:ascii="Arial" w:cs="Arial" w:eastAsia="Arial" w:hAnsi="Arial"/>
          <w:sz w:val="18"/>
          <w:szCs w:val="18"/>
          <w:u w:val="single" w:color="auto"/>
          <w:color w:val="auto"/>
        </w:rPr>
        <w:t>solely</w:t>
      </w:r>
      <w:r>
        <w:rPr>
          <w:rFonts w:ascii="Arial" w:cs="Arial" w:eastAsia="Arial" w:hAnsi="Arial"/>
          <w:sz w:val="18"/>
          <w:szCs w:val="18"/>
          <w:color w:val="auto"/>
        </w:rPr>
        <w:t xml:space="preserve"> to the Acquisition of Titan, and no other waiver, express or implied, of any term, condition or provision of the Credit Agreement shall be construed for any future waiver request by the Borrower. Notwithstanding any other term, condition, or provision contained herein to the contrary, the Acquisition Waiver is conditioned upon, and subject to, the Borrower’s satisfaction of the following conditions precedent (hereinafter referred to as the “</w:t>
      </w:r>
      <w:r>
        <w:rPr>
          <w:rFonts w:ascii="Arial" w:cs="Arial" w:eastAsia="Arial" w:hAnsi="Arial"/>
          <w:sz w:val="18"/>
          <w:szCs w:val="18"/>
          <w:u w:val="single" w:color="auto"/>
          <w:color w:val="auto"/>
        </w:rPr>
        <w:t>Acquisition Conditions</w:t>
      </w:r>
      <w:r>
        <w:rPr>
          <w:rFonts w:ascii="Arial" w:cs="Arial" w:eastAsia="Arial" w:hAnsi="Arial"/>
          <w:sz w:val="18"/>
          <w:szCs w:val="18"/>
          <w:color w:val="auto"/>
        </w:rPr>
        <w:t>”):</w:t>
      </w:r>
    </w:p>
    <w:p>
      <w:pPr>
        <w:spacing w:after="0" w:line="286" w:lineRule="exact"/>
        <w:rPr>
          <w:sz w:val="20"/>
          <w:szCs w:val="20"/>
          <w:color w:val="auto"/>
        </w:rPr>
      </w:pPr>
    </w:p>
    <w:p>
      <w:pPr>
        <w:jc w:val="both"/>
        <w:ind w:left="5" w:right="120" w:firstLine="644"/>
        <w:spacing w:after="0" w:line="269" w:lineRule="auto"/>
        <w:tabs>
          <w:tab w:leader="none" w:pos="1191"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Borrower’s delivery of a copy of the Sales Purchase Agreement by and between the Borrower and Titan, which Sales Purchase Agreement shall be subject to the review, comment, and approval of the Administrative Agent (and if approved, the Borrower shall deliver to the Administrative Agent, a fully executed copy of said Sale Purchase Agreement); and</w:t>
      </w:r>
    </w:p>
    <w:p>
      <w:pPr>
        <w:spacing w:after="0" w:line="210" w:lineRule="exact"/>
        <w:rPr>
          <w:rFonts w:ascii="Arial" w:cs="Arial" w:eastAsia="Arial" w:hAnsi="Arial"/>
          <w:sz w:val="19"/>
          <w:szCs w:val="19"/>
          <w:color w:val="auto"/>
        </w:rPr>
      </w:pPr>
    </w:p>
    <w:p>
      <w:pPr>
        <w:jc w:val="both"/>
        <w:ind w:left="5" w:right="100" w:firstLine="644"/>
        <w:spacing w:after="0" w:line="246" w:lineRule="auto"/>
        <w:tabs>
          <w:tab w:leader="none" w:pos="1192"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total consideration for the Acquisition shall be in an amount not to exceed CAD$600,000.00, which amount shall be funded by the Borrower’s cash on hand and which amount includes any assumption by the Borrower of any of Titan’s liabilities, whether direct, indirect, or contingent and none of the Administrative Agent or the Lenders shall reduce the calculation of any assumed liabilities based on any indemnity provided by Titan; and</w:t>
      </w:r>
    </w:p>
    <w:p>
      <w:pPr>
        <w:sectPr>
          <w:pgSz w:w="11900" w:h="16838" w:orient="portrait"/>
          <w:cols w:equalWidth="0" w:num="1">
            <w:col w:w="11125"/>
          </w:cols>
          <w:pgMar w:left="435" w:top="12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100" w:firstLine="644"/>
        <w:spacing w:after="0" w:line="250" w:lineRule="auto"/>
        <w:tabs>
          <w:tab w:leader="none" w:pos="1184"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Borrower shall provide written evidence that all required legal and regulatory approvals governing the Acquisition have been received, including, without limitation, an approval from the Canadian Nuclear Safety Commission (hereinafter referred to as “</w:t>
      </w:r>
      <w:r>
        <w:rPr>
          <w:rFonts w:ascii="Arial" w:cs="Arial" w:eastAsia="Arial" w:hAnsi="Arial"/>
          <w:sz w:val="20"/>
          <w:szCs w:val="20"/>
          <w:u w:val="single" w:color="auto"/>
          <w:color w:val="auto"/>
        </w:rPr>
        <w:t>CNSC</w:t>
      </w:r>
      <w:r>
        <w:rPr>
          <w:rFonts w:ascii="Arial" w:cs="Arial" w:eastAsia="Arial" w:hAnsi="Arial"/>
          <w:sz w:val="20"/>
          <w:szCs w:val="20"/>
          <w:color w:val="auto"/>
        </w:rPr>
        <w:t>”) with respect to the transfer and/or use of Titan’s CNSC license by the Borrower; and</w:t>
      </w:r>
    </w:p>
    <w:p>
      <w:pPr>
        <w:spacing w:after="0" w:line="213" w:lineRule="exact"/>
        <w:rPr>
          <w:sz w:val="20"/>
          <w:szCs w:val="20"/>
          <w:color w:val="auto"/>
        </w:rPr>
      </w:pPr>
    </w:p>
    <w:p>
      <w:pPr>
        <w:ind w:right="120" w:firstLine="644"/>
        <w:spacing w:after="0" w:line="260" w:lineRule="auto"/>
        <w:tabs>
          <w:tab w:leader="none" w:pos="1188"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Borrower’s consummation of the Acquisition on or before April 30, 2021 (hereinafter referred to as the “</w:t>
      </w:r>
      <w:r>
        <w:rPr>
          <w:rFonts w:ascii="Arial" w:cs="Arial" w:eastAsia="Arial" w:hAnsi="Arial"/>
          <w:sz w:val="20"/>
          <w:szCs w:val="20"/>
          <w:u w:val="single" w:color="auto"/>
          <w:color w:val="auto"/>
        </w:rPr>
        <w:t>Acquisition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Deadline</w:t>
      </w:r>
      <w:r>
        <w:rPr>
          <w:rFonts w:ascii="Arial" w:cs="Arial" w:eastAsia="Arial" w:hAnsi="Arial"/>
          <w:sz w:val="20"/>
          <w:szCs w:val="20"/>
          <w:color w:val="auto"/>
        </w:rPr>
        <w:t>”); and</w:t>
      </w:r>
    </w:p>
    <w:p>
      <w:pPr>
        <w:spacing w:after="0" w:line="284" w:lineRule="exact"/>
        <w:rPr>
          <w:rFonts w:ascii="Arial" w:cs="Arial" w:eastAsia="Arial" w:hAnsi="Arial"/>
          <w:sz w:val="20"/>
          <w:szCs w:val="20"/>
          <w:color w:val="auto"/>
        </w:rPr>
      </w:pPr>
    </w:p>
    <w:p>
      <w:pPr>
        <w:jc w:val="both"/>
        <w:ind w:right="100" w:firstLine="644"/>
        <w:spacing w:after="0" w:line="250" w:lineRule="auto"/>
        <w:tabs>
          <w:tab w:leader="none" w:pos="1177"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upon the consummation of the Acquisition, the Borrower and Titan, to the extent applicable, shall comply with all of the terms, conditions, and provisions of the Credit Agreement, including, without limitation, the requirements set forth in </w:t>
      </w:r>
      <w:r>
        <w:rPr>
          <w:rFonts w:ascii="Arial" w:cs="Arial" w:eastAsia="Arial" w:hAnsi="Arial"/>
          <w:sz w:val="20"/>
          <w:szCs w:val="20"/>
          <w:u w:val="single" w:color="auto"/>
          <w:color w:val="auto"/>
        </w:rPr>
        <w:t>Section 7.02(f)</w:t>
      </w:r>
      <w:r>
        <w:rPr>
          <w:rFonts w:ascii="Arial" w:cs="Arial" w:eastAsia="Arial" w:hAnsi="Arial"/>
          <w:sz w:val="20"/>
          <w:szCs w:val="20"/>
          <w:color w:val="auto"/>
        </w:rPr>
        <w:t xml:space="preserve"> of the Credit Agreement.</w:t>
      </w:r>
    </w:p>
    <w:p>
      <w:pPr>
        <w:spacing w:after="0" w:line="294"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 xml:space="preserve">For the avoidance of doubt, in the event the Acquisition Conditions are not satisfied on or before the Acquisition Deadline, then the Acquisition Waiver described in this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shall be deemed to be null and void and of no force and effect.</w:t>
      </w:r>
    </w:p>
    <w:p>
      <w:pPr>
        <w:spacing w:after="0" w:line="198"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ARTICLE III AMENDMENTS TO CREDIT AGREEMENT</w:t>
      </w:r>
    </w:p>
    <w:p>
      <w:pPr>
        <w:spacing w:after="0" w:line="243" w:lineRule="exact"/>
        <w:rPr>
          <w:sz w:val="20"/>
          <w:szCs w:val="20"/>
          <w:color w:val="auto"/>
        </w:rPr>
      </w:pPr>
    </w:p>
    <w:p>
      <w:pPr>
        <w:jc w:val="both"/>
        <w:ind w:right="120" w:firstLine="644"/>
        <w:spacing w:after="0" w:line="253" w:lineRule="auto"/>
        <w:tabs>
          <w:tab w:leader="none" w:pos="1188"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New Defined Terms in Section 1.01 of the Credit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following new defined terms “</w:t>
      </w:r>
      <w:r>
        <w:rPr>
          <w:rFonts w:ascii="Arial" w:cs="Arial" w:eastAsia="Arial" w:hAnsi="Arial"/>
          <w:sz w:val="20"/>
          <w:szCs w:val="20"/>
          <w:u w:val="single" w:color="auto"/>
          <w:color w:val="auto"/>
        </w:rPr>
        <w:t>Impacted Loans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ISDA Definitions</w:t>
      </w:r>
      <w:r>
        <w:rPr>
          <w:rFonts w:ascii="Arial" w:cs="Arial" w:eastAsia="Arial" w:hAnsi="Arial"/>
          <w:sz w:val="20"/>
          <w:szCs w:val="20"/>
          <w:color w:val="auto"/>
        </w:rPr>
        <w:t>”, “</w:t>
      </w:r>
      <w:r>
        <w:rPr>
          <w:rFonts w:ascii="Arial" w:cs="Arial" w:eastAsia="Arial" w:hAnsi="Arial"/>
          <w:sz w:val="20"/>
          <w:szCs w:val="20"/>
          <w:u w:val="single" w:color="auto"/>
          <w:color w:val="auto"/>
        </w:rPr>
        <w:t>LIBOR Replacement Date</w:t>
      </w:r>
      <w:r>
        <w:rPr>
          <w:rFonts w:ascii="Arial" w:cs="Arial" w:eastAsia="Arial" w:hAnsi="Arial"/>
          <w:sz w:val="20"/>
          <w:szCs w:val="20"/>
          <w:color w:val="auto"/>
        </w:rPr>
        <w:t>”, “</w:t>
      </w:r>
      <w:r>
        <w:rPr>
          <w:rFonts w:ascii="Arial" w:cs="Arial" w:eastAsia="Arial" w:hAnsi="Arial"/>
          <w:sz w:val="20"/>
          <w:szCs w:val="20"/>
          <w:u w:val="single" w:color="auto"/>
          <w:color w:val="auto"/>
        </w:rPr>
        <w:t>Pre-Adjustment Successor Rate</w:t>
      </w:r>
      <w:r>
        <w:rPr>
          <w:rFonts w:ascii="Arial" w:cs="Arial" w:eastAsia="Arial" w:hAnsi="Arial"/>
          <w:sz w:val="20"/>
          <w:szCs w:val="20"/>
          <w:color w:val="auto"/>
        </w:rPr>
        <w:t>”, and “</w:t>
      </w:r>
      <w:r>
        <w:rPr>
          <w:rFonts w:ascii="Arial" w:cs="Arial" w:eastAsia="Arial" w:hAnsi="Arial"/>
          <w:sz w:val="20"/>
          <w:szCs w:val="20"/>
          <w:u w:val="single" w:color="auto"/>
          <w:color w:val="auto"/>
        </w:rPr>
        <w:t>Related Adjustment</w:t>
      </w:r>
      <w:r>
        <w:rPr>
          <w:rFonts w:ascii="Arial" w:cs="Arial" w:eastAsia="Arial" w:hAnsi="Arial"/>
          <w:sz w:val="20"/>
          <w:szCs w:val="20"/>
          <w:color w:val="auto"/>
        </w:rPr>
        <w:t xml:space="preserve">”, are hereby inserted into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as follows:</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Loans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3.03(a)</w:t>
      </w:r>
      <w:r>
        <w:rPr>
          <w:rFonts w:ascii="Arial" w:cs="Arial" w:eastAsia="Arial" w:hAnsi="Arial"/>
          <w:sz w:val="20"/>
          <w:szCs w:val="20"/>
          <w:color w:val="auto"/>
        </w:rPr>
        <w:t>.</w:t>
      </w:r>
    </w:p>
    <w:p>
      <w:pPr>
        <w:spacing w:after="0" w:line="324" w:lineRule="exact"/>
        <w:rPr>
          <w:sz w:val="20"/>
          <w:szCs w:val="20"/>
          <w:color w:val="auto"/>
        </w:rPr>
      </w:pPr>
    </w:p>
    <w:p>
      <w:pPr>
        <w:jc w:val="both"/>
        <w:ind w:left="640"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ISDA Definitions</w:t>
      </w:r>
      <w:r>
        <w:rPr>
          <w:rFonts w:ascii="Arial" w:cs="Arial" w:eastAsia="Arial" w:hAnsi="Arial"/>
          <w:sz w:val="16"/>
          <w:szCs w:val="16"/>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Replacement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3.03(c)</w:t>
      </w:r>
      <w:r>
        <w:rPr>
          <w:rFonts w:ascii="Arial" w:cs="Arial" w:eastAsia="Arial" w:hAnsi="Arial"/>
          <w:sz w:val="20"/>
          <w:szCs w:val="20"/>
          <w:color w:val="auto"/>
        </w:rPr>
        <w:t>.</w:t>
      </w:r>
    </w:p>
    <w:p>
      <w:pPr>
        <w:spacing w:after="0" w:line="32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Pre-Adjustment Successor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3.03(c)</w:t>
      </w:r>
      <w:r>
        <w:rPr>
          <w:rFonts w:ascii="Arial" w:cs="Arial" w:eastAsia="Arial" w:hAnsi="Arial"/>
          <w:sz w:val="20"/>
          <w:szCs w:val="20"/>
          <w:color w:val="auto"/>
        </w:rPr>
        <w:t>.</w:t>
      </w:r>
    </w:p>
    <w:p>
      <w:pPr>
        <w:spacing w:after="0" w:line="324" w:lineRule="exact"/>
        <w:rPr>
          <w:sz w:val="20"/>
          <w:szCs w:val="20"/>
          <w:color w:val="auto"/>
        </w:rPr>
      </w:pPr>
    </w:p>
    <w:p>
      <w:pPr>
        <w:jc w:val="both"/>
        <w:ind w:left="640" w:right="10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Adjustment</w:t>
      </w:r>
      <w:r>
        <w:rPr>
          <w:rFonts w:ascii="Arial" w:cs="Arial" w:eastAsia="Arial" w:hAnsi="Arial"/>
          <w:sz w:val="19"/>
          <w:szCs w:val="19"/>
          <w:color w:val="auto"/>
        </w:rPr>
        <w:t>” means, in determining any LIBOR Successor Rate, the first relevant available alternative set forth in the order below that can be determined by the Administrative Agent applicable to such LIBOR Successor Rate:</w:t>
      </w:r>
    </w:p>
    <w:p>
      <w:pPr>
        <w:spacing w:after="0" w:line="193" w:lineRule="exact"/>
        <w:rPr>
          <w:sz w:val="20"/>
          <w:szCs w:val="20"/>
          <w:color w:val="auto"/>
        </w:rPr>
      </w:pPr>
    </w:p>
    <w:p>
      <w:pPr>
        <w:jc w:val="both"/>
        <w:ind w:left="640" w:right="100" w:firstLine="548"/>
        <w:spacing w:after="0" w:line="259" w:lineRule="auto"/>
        <w:tabs>
          <w:tab w:leader="none" w:pos="1828"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spread adjustment, or method for calculating or determining such spread adjustment, that has been selected or recommended by the Relevant Governmental Body for the relevant Pre-Adjustment Successor Rate (taking into account the interest period, interest payment date or payment period for interest calculated and/or tenor thereto) and which adjustment or method (i) is published on an information service as selected by the Administrative Agent from time to time in its reasonable discretion or (ii) solely with respect to Term SOFR, if not currently published, which was previously so recommended for Term SOFR and published on an information service acceptable to the Administrative Agent; or</w:t>
      </w:r>
    </w:p>
    <w:p>
      <w:pPr>
        <w:spacing w:after="0" w:line="218" w:lineRule="exact"/>
        <w:rPr>
          <w:rFonts w:ascii="Arial" w:cs="Arial" w:eastAsia="Arial" w:hAnsi="Arial"/>
          <w:sz w:val="19"/>
          <w:szCs w:val="19"/>
          <w:color w:val="auto"/>
        </w:rPr>
      </w:pPr>
    </w:p>
    <w:p>
      <w:pPr>
        <w:ind w:left="1920" w:hanging="787"/>
        <w:spacing w:after="0"/>
        <w:tabs>
          <w:tab w:leader="none" w:pos="19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spread adjustment that would apply (or has previously been applied) to the</w:t>
      </w:r>
    </w:p>
    <w:p>
      <w:pPr>
        <w:sectPr>
          <w:pgSz w:w="11900" w:h="16838" w:orient="portrait"/>
          <w:cols w:equalWidth="0" w:num="1">
            <w:col w:w="11120"/>
          </w:cols>
          <w:pgMar w:left="440" w:top="122"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0" w:right="100"/>
        <w:spacing w:after="0" w:line="260" w:lineRule="auto"/>
        <w:rPr>
          <w:sz w:val="20"/>
          <w:szCs w:val="20"/>
          <w:color w:val="auto"/>
        </w:rPr>
      </w:pPr>
      <w:r>
        <w:rPr>
          <w:rFonts w:ascii="Arial" w:cs="Arial" w:eastAsia="Arial" w:hAnsi="Arial"/>
          <w:sz w:val="20"/>
          <w:szCs w:val="20"/>
          <w:color w:val="auto"/>
        </w:rPr>
        <w:t>fallback rate for a derivative transaction referencing the ISDA Definitions (taking into account the interest period, interest payment date or payment period for interest calculated and/or tenor thereto).”</w:t>
      </w:r>
    </w:p>
    <w:p>
      <w:pPr>
        <w:spacing w:after="0" w:line="198" w:lineRule="exact"/>
        <w:rPr>
          <w:sz w:val="20"/>
          <w:szCs w:val="20"/>
          <w:color w:val="auto"/>
        </w:rPr>
      </w:pPr>
    </w:p>
    <w:p>
      <w:pPr>
        <w:jc w:val="both"/>
        <w:ind w:right="100" w:firstLine="646"/>
        <w:spacing w:after="0" w:line="248" w:lineRule="auto"/>
        <w:tabs>
          <w:tab w:leader="none" w:pos="1201"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Amendments to Definitions of “LIBOR Successor Rate”, “LIBOR Successor Rate Conforming Changes”, “Relevant Governmental Body”, and “SOFR” in Section 1.01 of the Credit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defined terms “</w:t>
      </w:r>
      <w:r>
        <w:rPr>
          <w:rFonts w:ascii="Arial" w:cs="Arial" w:eastAsia="Arial" w:hAnsi="Arial"/>
          <w:sz w:val="20"/>
          <w:szCs w:val="20"/>
          <w:u w:val="single" w:color="auto"/>
          <w:color w:val="auto"/>
        </w:rPr>
        <w:t>LIBOR Successor Rate</w:t>
      </w:r>
      <w:r>
        <w:rPr>
          <w:rFonts w:ascii="Arial" w:cs="Arial" w:eastAsia="Arial" w:hAnsi="Arial"/>
          <w:sz w:val="20"/>
          <w:szCs w:val="20"/>
          <w:color w:val="auto"/>
        </w:rPr>
        <w:t>”, “</w:t>
      </w:r>
      <w:r>
        <w:rPr>
          <w:rFonts w:ascii="Arial" w:cs="Arial" w:eastAsia="Arial" w:hAnsi="Arial"/>
          <w:sz w:val="20"/>
          <w:szCs w:val="20"/>
          <w:u w:val="single" w:color="auto"/>
          <w:color w:val="auto"/>
        </w:rPr>
        <w:t>LIBOR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Successor Rate Conforming Changes</w:t>
      </w:r>
      <w:r>
        <w:rPr>
          <w:rFonts w:ascii="Arial" w:cs="Arial" w:eastAsia="Arial" w:hAnsi="Arial"/>
          <w:sz w:val="20"/>
          <w:szCs w:val="20"/>
          <w:color w:val="auto"/>
        </w:rPr>
        <w:t>”, “</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and “</w:t>
      </w:r>
      <w:r>
        <w:rPr>
          <w:rFonts w:ascii="Arial" w:cs="Arial" w:eastAsia="Arial" w:hAnsi="Arial"/>
          <w:sz w:val="20"/>
          <w:szCs w:val="20"/>
          <w:u w:val="single" w:color="auto"/>
          <w:color w:val="auto"/>
        </w:rPr>
        <w:t>SOFR</w:t>
      </w:r>
      <w:r>
        <w:rPr>
          <w:rFonts w:ascii="Arial" w:cs="Arial" w:eastAsia="Arial" w:hAnsi="Arial"/>
          <w:sz w:val="20"/>
          <w:szCs w:val="20"/>
          <w:color w:val="auto"/>
        </w:rPr>
        <w:t xml:space="preserve">” set forth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are hereby amended and restated in their entirety to read as follows: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Successor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3.03(c)</w:t>
      </w:r>
      <w:r>
        <w:rPr>
          <w:rFonts w:ascii="Arial" w:cs="Arial" w:eastAsia="Arial" w:hAnsi="Arial"/>
          <w:sz w:val="20"/>
          <w:szCs w:val="20"/>
          <w:color w:val="auto"/>
        </w:rPr>
        <w:t>.</w:t>
      </w:r>
    </w:p>
    <w:p>
      <w:pPr>
        <w:spacing w:after="0" w:line="324" w:lineRule="exact"/>
        <w:rPr>
          <w:sz w:val="20"/>
          <w:szCs w:val="20"/>
          <w:color w:val="auto"/>
        </w:rPr>
      </w:pPr>
    </w:p>
    <w:p>
      <w:pPr>
        <w:jc w:val="both"/>
        <w:ind w:left="640" w:right="100"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Successor Rate Conforming Changes</w:t>
      </w:r>
      <w:r>
        <w:rPr>
          <w:rFonts w:ascii="Arial" w:cs="Arial" w:eastAsia="Arial" w:hAnsi="Arial"/>
          <w:sz w:val="19"/>
          <w:szCs w:val="19"/>
          <w:color w:val="auto"/>
        </w:rPr>
        <w:t>” means, with respect to any proposed LIBOR Successor Rate, any conforming changes to the definition of Base Rate,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discretion of the Administrative Agent, to reflect the adoption and implementation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is reasonably necessary in connection with the administration of this Agreement and any other Loan Document).</w:t>
      </w:r>
    </w:p>
    <w:p>
      <w:pPr>
        <w:spacing w:after="0" w:line="217" w:lineRule="exact"/>
        <w:rPr>
          <w:sz w:val="20"/>
          <w:szCs w:val="20"/>
          <w:color w:val="auto"/>
        </w:rPr>
      </w:pPr>
    </w:p>
    <w:p>
      <w:pPr>
        <w:jc w:val="both"/>
        <w:ind w:left="640" w:right="1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Federal Reserve Board and/or the Federal Reserve Bank of New York, or a committee officially endorsed or convened by the Federal Reserve Board and/or the Federal Reserve Bank of New York.</w:t>
      </w:r>
    </w:p>
    <w:p>
      <w:pPr>
        <w:spacing w:after="0" w:line="170" w:lineRule="exact"/>
        <w:rPr>
          <w:sz w:val="20"/>
          <w:szCs w:val="20"/>
          <w:color w:val="auto"/>
        </w:rPr>
      </w:pPr>
    </w:p>
    <w:p>
      <w:pPr>
        <w:jc w:val="both"/>
        <w:ind w:left="640"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with respect to any Business Day means the secured overnight financing rate published for such day by the Federal Reserve Bank of New York, as the administrator of the benchmark (or a successor administrator) on the Federal Reserve Bank of New York’s website (or any successor source) at approximately 8:00 a.m. (New York City time) on the immediately succeeding Business Day and, in each case, that has been selected or recommended by the Relevant Governmental Body.”</w:t>
      </w:r>
    </w:p>
    <w:p>
      <w:pPr>
        <w:spacing w:after="0" w:line="182" w:lineRule="exact"/>
        <w:rPr>
          <w:sz w:val="20"/>
          <w:szCs w:val="20"/>
          <w:color w:val="auto"/>
        </w:rPr>
      </w:pPr>
    </w:p>
    <w:p>
      <w:pPr>
        <w:ind w:left="640" w:right="120" w:firstLine="6"/>
        <w:spacing w:after="0" w:line="267" w:lineRule="auto"/>
        <w:tabs>
          <w:tab w:leader="none" w:pos="1191"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 to Section 3.03 of the Credit Agreement</w:t>
      </w:r>
      <w:r>
        <w:rPr>
          <w:rFonts w:ascii="Arial" w:cs="Arial" w:eastAsia="Arial" w:hAnsi="Arial"/>
          <w:sz w:val="20"/>
          <w:szCs w:val="20"/>
          <w:color w:val="auto"/>
        </w:rPr>
        <w:t>. The existing</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3.03</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Credit Agreement is hereby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deleted in its entirety and the following new </w:t>
      </w:r>
      <w:r>
        <w:rPr>
          <w:rFonts w:ascii="Arial" w:cs="Arial" w:eastAsia="Arial" w:hAnsi="Arial"/>
          <w:sz w:val="20"/>
          <w:szCs w:val="20"/>
          <w:u w:val="single" w:color="auto"/>
          <w:color w:val="auto"/>
        </w:rPr>
        <w:t>Section 3.03</w:t>
      </w:r>
      <w:r>
        <w:rPr>
          <w:rFonts w:ascii="Arial" w:cs="Arial" w:eastAsia="Arial" w:hAnsi="Arial"/>
          <w:sz w:val="20"/>
          <w:szCs w:val="20"/>
          <w:color w:val="auto"/>
        </w:rPr>
        <w:t xml:space="preserve"> is hereby inserted in its place and stead as follows:</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“3.03. </w:t>
      </w:r>
      <w:r>
        <w:rPr>
          <w:rFonts w:ascii="Arial" w:cs="Arial" w:eastAsia="Arial" w:hAnsi="Arial"/>
          <w:sz w:val="20"/>
          <w:szCs w:val="20"/>
          <w:b w:val="1"/>
          <w:bCs w:val="1"/>
          <w:u w:val="single" w:color="auto"/>
          <w:color w:val="auto"/>
        </w:rPr>
        <w:t>Inability to Determine Rates</w:t>
      </w:r>
      <w:r>
        <w:rPr>
          <w:rFonts w:ascii="Arial" w:cs="Arial" w:eastAsia="Arial" w:hAnsi="Arial"/>
          <w:sz w:val="20"/>
          <w:szCs w:val="20"/>
          <w:b w:val="1"/>
          <w:bCs w:val="1"/>
          <w:color w:val="auto"/>
        </w:rPr>
        <w:t>.</w:t>
      </w:r>
    </w:p>
    <w:p>
      <w:pPr>
        <w:spacing w:after="0" w:line="343" w:lineRule="exact"/>
        <w:rPr>
          <w:sz w:val="20"/>
          <w:szCs w:val="20"/>
          <w:color w:val="auto"/>
        </w:rPr>
      </w:pPr>
    </w:p>
    <w:p>
      <w:pPr>
        <w:jc w:val="both"/>
        <w:ind w:left="640" w:right="100" w:firstLine="549"/>
        <w:spacing w:after="0" w:line="276" w:lineRule="auto"/>
        <w:tabs>
          <w:tab w:leader="none" w:pos="1842"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If in connection with any request for a Eurocurrency Rate Loan or a conversion to or continuation thereof, (i) the Administrative Agent determines that (A) deposits (whether in Dollars or an Alternative Currency) are not being offered to banks in the applicable offshore interbank market for such currency for the applicable amount and Interest Period of such Eurocurrency Rate Loan, (B) (1) adequate and reasonable means do not exist for determining the Eurocurrency Rate for any requested Interest Period with respect to a proposed Eurocurrency Rate Loan (whether denominated in Dollars or an Alternative Currency) or in connection with an existing or proposed Base Rate Loan and (2) the circumstances described in </w:t>
      </w:r>
      <w:r>
        <w:rPr>
          <w:rFonts w:ascii="Arial" w:cs="Arial" w:eastAsia="Arial" w:hAnsi="Arial"/>
          <w:sz w:val="18"/>
          <w:szCs w:val="18"/>
          <w:u w:val="single" w:color="auto"/>
          <w:color w:val="auto"/>
        </w:rPr>
        <w:t>Section 3.03(c)(i</w:t>
      </w:r>
      <w:r>
        <w:rPr>
          <w:rFonts w:ascii="Arial" w:cs="Arial" w:eastAsia="Arial" w:hAnsi="Arial"/>
          <w:sz w:val="18"/>
          <w:szCs w:val="18"/>
          <w:color w:val="auto"/>
        </w:rPr>
        <w:t>) do</w:t>
      </w:r>
    </w:p>
    <w:p>
      <w:pPr>
        <w:sectPr>
          <w:pgSz w:w="11900" w:h="16838" w:orient="portrait"/>
          <w:cols w:equalWidth="0" w:num="1">
            <w:col w:w="11140"/>
          </w:cols>
          <w:pgMar w:left="420" w:top="122"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100"/>
        <w:spacing w:after="0" w:line="254" w:lineRule="auto"/>
        <w:rPr>
          <w:sz w:val="20"/>
          <w:szCs w:val="20"/>
          <w:color w:val="auto"/>
        </w:rPr>
      </w:pPr>
      <w:r>
        <w:rPr>
          <w:rFonts w:ascii="Arial" w:cs="Arial" w:eastAsia="Arial" w:hAnsi="Arial"/>
          <w:sz w:val="19"/>
          <w:szCs w:val="19"/>
          <w:color w:val="auto"/>
        </w:rPr>
        <w:t xml:space="preserve">not apply or (C) a fundamental change has occurred in the foreign exchange or interbank markets with respect to such Alternative Currency (including, without limitation, changes in national or international financial, political or economic conditions or currency exchange rates or exchange controls) (in each case with respect to this </w:t>
      </w:r>
      <w:r>
        <w:rPr>
          <w:rFonts w:ascii="Arial" w:cs="Arial" w:eastAsia="Arial" w:hAnsi="Arial"/>
          <w:sz w:val="19"/>
          <w:szCs w:val="19"/>
          <w:u w:val="single" w:color="auto"/>
          <w:color w:val="auto"/>
        </w:rPr>
        <w:t>clause (i</w:t>
      </w:r>
      <w:r>
        <w:rPr>
          <w:rFonts w:ascii="Arial" w:cs="Arial" w:eastAsia="Arial" w:hAnsi="Arial"/>
          <w:sz w:val="19"/>
          <w:szCs w:val="19"/>
          <w:color w:val="auto"/>
        </w:rPr>
        <w:t>), “</w:t>
      </w:r>
      <w:r>
        <w:rPr>
          <w:rFonts w:ascii="Arial" w:cs="Arial" w:eastAsia="Arial" w:hAnsi="Arial"/>
          <w:sz w:val="19"/>
          <w:szCs w:val="19"/>
          <w:u w:val="single" w:color="auto"/>
          <w:color w:val="auto"/>
        </w:rPr>
        <w:t>Impacted Loans</w:t>
      </w:r>
      <w:r>
        <w:rPr>
          <w:rFonts w:ascii="Arial" w:cs="Arial" w:eastAsia="Arial" w:hAnsi="Arial"/>
          <w:sz w:val="19"/>
          <w:szCs w:val="19"/>
          <w:color w:val="auto"/>
        </w:rPr>
        <w:t>”), or (ii) the Administrative Agent or the Required Lenders determine that for any reason Eurocurrency Rate for any requested Interest Period with respect to a proposed Eurocurrency Rate Loan does not adequately and fairly reflect the cost to such Lenders of funding such Loan, the Administrative Agent will promptly so notify the Borrower and each Lender. Thereafter, (x) the obligation of the Lenders to make or maintain Eurocurrency Rate Loans in the affected currency or currencies shall be suspended (to the extent of the affected Eurocurrency Rate Loans or Interest Periods), and</w:t>
      </w:r>
    </w:p>
    <w:p>
      <w:pPr>
        <w:spacing w:after="0" w:line="2"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 xml:space="preserve">(y)in the event of a determination described in the preceding sentence with respect to the Eurocurrency Rate component of the Base Rate, the utilization of the Eurocurrency Rate component in determining the Base Rate shall be suspended, in each case until the Administrative Agent (or, in the case of a determination by the Required Lenders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3.03(a</w:t>
      </w:r>
      <w:r>
        <w:rPr>
          <w:rFonts w:ascii="Arial" w:cs="Arial" w:eastAsia="Arial" w:hAnsi="Arial"/>
          <w:sz w:val="18"/>
          <w:szCs w:val="18"/>
          <w:color w:val="auto"/>
        </w:rPr>
        <w:t>), until the Administrative Agent upon instruction of the Required Lenders) revokes such notice. Upon receipt of such notice, the Borrower may revoke any pending request for a Borrowing of, conversion to or continuation of Eurocurrency Rate Loans in the affected currency or currencies (to the extent of the affected Eurocurrency Rate Loans or Interest Periods) or, failing that, will be deemed to have converted such request into a request for a Borrowing of Base Rate Loans in Dollars in the amount specified therein.</w:t>
      </w:r>
    </w:p>
    <w:p>
      <w:pPr>
        <w:spacing w:after="0" w:line="211" w:lineRule="exact"/>
        <w:rPr>
          <w:sz w:val="20"/>
          <w:szCs w:val="20"/>
          <w:color w:val="auto"/>
        </w:rPr>
      </w:pPr>
    </w:p>
    <w:p>
      <w:pPr>
        <w:jc w:val="both"/>
        <w:ind w:right="100" w:firstLine="465"/>
        <w:spacing w:after="0" w:line="257" w:lineRule="auto"/>
        <w:tabs>
          <w:tab w:leader="none" w:pos="891" w:val="left"/>
        </w:tabs>
        <w:numPr>
          <w:ilvl w:val="1"/>
          <w:numId w:val="22"/>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the Administrative Agent has made the determination described in </w:t>
      </w:r>
      <w:r>
        <w:rPr>
          <w:rFonts w:ascii="Arial" w:cs="Arial" w:eastAsia="Arial" w:hAnsi="Arial"/>
          <w:sz w:val="19"/>
          <w:szCs w:val="19"/>
          <w:u w:val="single" w:color="auto"/>
          <w:color w:val="auto"/>
        </w:rPr>
        <w:t>clause (a)(i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3.03</w:t>
      </w:r>
      <w:r>
        <w:rPr>
          <w:rFonts w:ascii="Arial" w:cs="Arial" w:eastAsia="Arial" w:hAnsi="Arial"/>
          <w:sz w:val="19"/>
          <w:szCs w:val="19"/>
          <w:color w:val="auto"/>
        </w:rPr>
        <w:t>, the Administrative Agent in consultation with the Borrower, may establish an alternative interest rate for the Impacted Loans, in which case, such alternative rate of interest shall apply with respect to the Impacted Loans until</w:t>
      </w:r>
    </w:p>
    <w:p>
      <w:pPr>
        <w:spacing w:after="0" w:line="2" w:lineRule="exact"/>
        <w:rPr>
          <w:rFonts w:ascii="Arial" w:cs="Arial" w:eastAsia="Arial" w:hAnsi="Arial"/>
          <w:sz w:val="19"/>
          <w:szCs w:val="19"/>
          <w:color w:val="auto"/>
        </w:rPr>
      </w:pPr>
    </w:p>
    <w:p>
      <w:pPr>
        <w:ind w:left="240" w:hanging="236"/>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Administrative Agent revokes the notice delivered with respect to the Impacted Loans under </w:t>
      </w:r>
      <w:r>
        <w:rPr>
          <w:rFonts w:ascii="Arial" w:cs="Arial" w:eastAsia="Arial" w:hAnsi="Arial"/>
          <w:sz w:val="18"/>
          <w:szCs w:val="18"/>
          <w:u w:val="single" w:color="auto"/>
          <w:color w:val="auto"/>
        </w:rPr>
        <w:t>clause (a)(i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jc w:val="both"/>
        <w:ind w:right="100" w:firstLine="4"/>
        <w:spacing w:after="0" w:line="272" w:lineRule="auto"/>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Administrative Agent or the Required Lenders notify the Administrative Agent and the Borrower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96" w:lineRule="exact"/>
        <w:rPr>
          <w:rFonts w:ascii="Arial" w:cs="Arial" w:eastAsia="Arial" w:hAnsi="Arial"/>
          <w:sz w:val="18"/>
          <w:szCs w:val="18"/>
          <w:color w:val="auto"/>
        </w:rPr>
      </w:pPr>
    </w:p>
    <w:p>
      <w:pPr>
        <w:jc w:val="both"/>
        <w:ind w:right="120" w:firstLine="410"/>
        <w:spacing w:after="0" w:line="246" w:lineRule="auto"/>
        <w:tabs>
          <w:tab w:leader="none" w:pos="891" w:val="left"/>
        </w:tabs>
        <w:numPr>
          <w:ilvl w:val="1"/>
          <w:numId w:val="23"/>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218" w:lineRule="exact"/>
        <w:rPr>
          <w:rFonts w:ascii="Arial" w:cs="Arial" w:eastAsia="Arial" w:hAnsi="Arial"/>
          <w:sz w:val="20"/>
          <w:szCs w:val="20"/>
          <w:color w:val="auto"/>
        </w:rPr>
      </w:pPr>
    </w:p>
    <w:p>
      <w:pPr>
        <w:jc w:val="both"/>
        <w:ind w:left="660" w:right="120" w:firstLine="640"/>
        <w:spacing w:after="0" w:line="250" w:lineRule="auto"/>
        <w:tabs>
          <w:tab w:leader="none" w:pos="1555" w:val="left"/>
        </w:tabs>
        <w:numPr>
          <w:ilvl w:val="2"/>
          <w:numId w:val="23"/>
        </w:numPr>
        <w:rPr>
          <w:rFonts w:ascii="Arial" w:cs="Arial" w:eastAsia="Arial" w:hAnsi="Arial"/>
          <w:sz w:val="20"/>
          <w:szCs w:val="20"/>
          <w:color w:val="auto"/>
        </w:rPr>
      </w:pPr>
      <w:r>
        <w:rPr>
          <w:rFonts w:ascii="Arial" w:cs="Arial" w:eastAsia="Arial" w:hAnsi="Arial"/>
          <w:sz w:val="20"/>
          <w:szCs w:val="20"/>
          <w:color w:val="auto"/>
        </w:rPr>
        <w:t>adequate and reasonable means do not exist for ascertaining LIBOR for any Interest Period hereunder or any other tenors of LIBOR, including, without limitation, because the LIBOR Screen Rate is not available or published on a current basis and such circumstances are unlikely to be temporary; or</w:t>
      </w:r>
    </w:p>
    <w:p>
      <w:pPr>
        <w:spacing w:after="0" w:line="226" w:lineRule="exact"/>
        <w:rPr>
          <w:sz w:val="20"/>
          <w:szCs w:val="20"/>
          <w:color w:val="auto"/>
        </w:rPr>
      </w:pPr>
    </w:p>
    <w:p>
      <w:pPr>
        <w:jc w:val="both"/>
        <w:ind w:left="660" w:right="120" w:firstLine="648"/>
        <w:spacing w:after="0" w:line="250" w:lineRule="auto"/>
        <w:rPr>
          <w:sz w:val="20"/>
          <w:szCs w:val="20"/>
          <w:color w:val="auto"/>
        </w:rPr>
      </w:pPr>
      <w:r>
        <w:rPr>
          <w:rFonts w:ascii="Arial" w:cs="Arial" w:eastAsia="Arial" w:hAnsi="Arial"/>
          <w:sz w:val="20"/>
          <w:szCs w:val="20"/>
          <w:color w:val="auto"/>
        </w:rPr>
        <w:t>(b)the administrator of the LIBOR Screen Rate or a Governmental Authority having jurisdiction over the Administrative Agent or such administrator has made a public statement identifying a specific date after which LIBOR or the LIBOR Screen Rate shall no longer be made available, or used for determining the interest rate of</w:t>
      </w:r>
    </w:p>
    <w:p>
      <w:pPr>
        <w:sectPr>
          <w:pgSz w:w="11900" w:h="16838" w:orient="portrait"/>
          <w:cols w:equalWidth="0" w:num="1">
            <w:col w:w="10840"/>
          </w:cols>
          <w:pgMar w:left="720" w:top="122"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60" w:right="100"/>
        <w:spacing w:after="0" w:line="250" w:lineRule="auto"/>
        <w:rPr>
          <w:sz w:val="20"/>
          <w:szCs w:val="20"/>
          <w:color w:val="auto"/>
        </w:rPr>
      </w:pPr>
      <w:r>
        <w:rPr>
          <w:rFonts w:ascii="Arial" w:cs="Arial" w:eastAsia="Arial" w:hAnsi="Arial"/>
          <w:sz w:val="20"/>
          <w:szCs w:val="20"/>
          <w:color w:val="auto"/>
        </w:rPr>
        <w:t xml:space="preserve">loans, </w:t>
      </w:r>
      <w:r>
        <w:rPr>
          <w:rFonts w:ascii="Arial" w:cs="Arial" w:eastAsia="Arial" w:hAnsi="Arial"/>
          <w:sz w:val="20"/>
          <w:szCs w:val="20"/>
          <w:u w:val="single" w:color="auto"/>
          <w:color w:val="auto"/>
        </w:rPr>
        <w:t>provided that</w:t>
      </w:r>
      <w:r>
        <w:rPr>
          <w:rFonts w:ascii="Arial" w:cs="Arial" w:eastAsia="Arial" w:hAnsi="Arial"/>
          <w:sz w:val="20"/>
          <w:szCs w:val="20"/>
          <w:color w:val="auto"/>
        </w:rPr>
        <w:t>, at the time of such statement, there is no successor administrator that is satisfactory to the Administrative Agent, that will continue to provide LIBOR after such specific date (such specific date, the “</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 or</w:t>
      </w:r>
    </w:p>
    <w:p>
      <w:pPr>
        <w:spacing w:after="0" w:line="307" w:lineRule="exact"/>
        <w:rPr>
          <w:sz w:val="20"/>
          <w:szCs w:val="20"/>
          <w:color w:val="auto"/>
        </w:rPr>
      </w:pPr>
    </w:p>
    <w:p>
      <w:pPr>
        <w:jc w:val="both"/>
        <w:ind w:left="660" w:right="100" w:firstLine="648"/>
        <w:spacing w:after="0" w:line="250" w:lineRule="auto"/>
        <w:rPr>
          <w:sz w:val="20"/>
          <w:szCs w:val="20"/>
          <w:color w:val="auto"/>
        </w:rPr>
      </w:pPr>
      <w:r>
        <w:rPr>
          <w:rFonts w:ascii="Arial" w:cs="Arial" w:eastAsia="Arial" w:hAnsi="Arial"/>
          <w:sz w:val="20"/>
          <w:szCs w:val="20"/>
          <w:color w:val="auto"/>
        </w:rPr>
        <w:t>a. the administrator of the LIBOR Screen Rate or a Governmental Authority having jurisdiction over such administrator has made a public statement announcing that all Interest Periods and other tenors of LIBOR are no longer representative; or</w:t>
      </w:r>
    </w:p>
    <w:p>
      <w:pPr>
        <w:spacing w:after="0" w:line="213" w:lineRule="exact"/>
        <w:rPr>
          <w:sz w:val="20"/>
          <w:szCs w:val="20"/>
          <w:color w:val="auto"/>
        </w:rPr>
      </w:pPr>
    </w:p>
    <w:p>
      <w:pPr>
        <w:ind w:left="660" w:right="100" w:firstLine="640"/>
        <w:spacing w:after="0" w:line="316" w:lineRule="auto"/>
        <w:tabs>
          <w:tab w:leader="none" w:pos="1551"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syndicated loans currently being executed, or that include language similar to that contained in this </w:t>
      </w:r>
      <w:r>
        <w:rPr>
          <w:rFonts w:ascii="Arial" w:cs="Arial" w:eastAsia="Arial" w:hAnsi="Arial"/>
          <w:sz w:val="18"/>
          <w:szCs w:val="18"/>
          <w:u w:val="single" w:color="auto"/>
          <w:color w:val="auto"/>
        </w:rPr>
        <w:t>Section 3.03</w:t>
      </w:r>
      <w:r>
        <w:rPr>
          <w:rFonts w:ascii="Arial" w:cs="Arial" w:eastAsia="Arial" w:hAnsi="Arial"/>
          <w:sz w:val="18"/>
          <w:szCs w:val="18"/>
          <w:color w:val="auto"/>
        </w:rPr>
        <w:t>, are being executed or amended (as applicable) to incorporate or adopt a new benchmark interest rate to replace LIBOR,</w:t>
      </w:r>
    </w:p>
    <w:p>
      <w:pPr>
        <w:spacing w:after="0" w:line="170" w:lineRule="exact"/>
        <w:rPr>
          <w:sz w:val="20"/>
          <w:szCs w:val="20"/>
          <w:color w:val="auto"/>
        </w:rPr>
      </w:pPr>
    </w:p>
    <w:p>
      <w:pPr>
        <w:jc w:val="both"/>
        <w:ind w:right="100"/>
        <w:spacing w:after="0" w:line="273" w:lineRule="auto"/>
        <w:rPr>
          <w:sz w:val="20"/>
          <w:szCs w:val="20"/>
          <w:color w:val="auto"/>
        </w:rPr>
      </w:pPr>
      <w:r>
        <w:rPr>
          <w:rFonts w:ascii="Arial" w:cs="Arial" w:eastAsia="Arial" w:hAnsi="Arial"/>
          <w:sz w:val="18"/>
          <w:szCs w:val="18"/>
          <w:color w:val="auto"/>
        </w:rPr>
        <w:t xml:space="preserve">then, in the case of </w:t>
      </w:r>
      <w:r>
        <w:rPr>
          <w:rFonts w:ascii="Arial" w:cs="Arial" w:eastAsia="Arial" w:hAnsi="Arial"/>
          <w:sz w:val="18"/>
          <w:szCs w:val="18"/>
          <w:u w:val="single" w:color="auto"/>
          <w:color w:val="auto"/>
        </w:rPr>
        <w:t>clauses (i)-(iii)</w:t>
      </w:r>
      <w:r>
        <w:rPr>
          <w:rFonts w:ascii="Arial" w:cs="Arial" w:eastAsia="Arial" w:hAnsi="Arial"/>
          <w:sz w:val="18"/>
          <w:szCs w:val="18"/>
          <w:color w:val="auto"/>
        </w:rPr>
        <w:t xml:space="preserve"> above, on a date and time determined by the Administrative Agent (any such date, the “</w:t>
      </w:r>
      <w:r>
        <w:rPr>
          <w:rFonts w:ascii="Arial" w:cs="Arial" w:eastAsia="Arial" w:hAnsi="Arial"/>
          <w:sz w:val="18"/>
          <w:szCs w:val="18"/>
          <w:u w:val="single" w:color="auto"/>
          <w:color w:val="auto"/>
        </w:rPr>
        <w:t>LIBOR</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Replacement Date</w:t>
      </w:r>
      <w:r>
        <w:rPr>
          <w:rFonts w:ascii="Arial" w:cs="Arial" w:eastAsia="Arial" w:hAnsi="Arial"/>
          <w:sz w:val="18"/>
          <w:szCs w:val="18"/>
          <w:color w:val="auto"/>
        </w:rPr>
        <w:t xml:space="preserve">”), which date shall be at the end of an Interest Period or on the relevant interest payment date, as applicable, for interest calculated and shall occur within a reasonable period of time after the occurrence of any of the events or circumstances under </w:t>
      </w:r>
      <w:r>
        <w:rPr>
          <w:rFonts w:ascii="Arial" w:cs="Arial" w:eastAsia="Arial" w:hAnsi="Arial"/>
          <w:sz w:val="18"/>
          <w:szCs w:val="18"/>
          <w:u w:val="single" w:color="auto"/>
          <w:color w:val="auto"/>
        </w:rPr>
        <w:t>clauses (i), (ii) or (iii)</w:t>
      </w:r>
      <w:r>
        <w:rPr>
          <w:rFonts w:ascii="Arial" w:cs="Arial" w:eastAsia="Arial" w:hAnsi="Arial"/>
          <w:sz w:val="18"/>
          <w:szCs w:val="18"/>
          <w:color w:val="auto"/>
        </w:rPr>
        <w:t xml:space="preserve"> above and, solely with respect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no later than the Scheduled Unavailability Date, LIBOR will be replaced hereunder and under any Loan Document with, subject to the proviso below, the first available alternative set forth in the order below for any payment period for interest calculated that can be determined by the Administrative Agent, in each case, without any amendment to, or further action or consent of any other party to, this Agreement or any other Loan Document (the “</w:t>
      </w:r>
      <w:r>
        <w:rPr>
          <w:rFonts w:ascii="Arial" w:cs="Arial" w:eastAsia="Arial" w:hAnsi="Arial"/>
          <w:sz w:val="18"/>
          <w:szCs w:val="18"/>
          <w:u w:val="single" w:color="auto"/>
          <w:color w:val="auto"/>
        </w:rPr>
        <w:t>LIBOR</w:t>
      </w:r>
      <w:r>
        <w:rPr>
          <w:rFonts w:ascii="Arial" w:cs="Arial" w:eastAsia="Arial" w:hAnsi="Arial"/>
          <w:sz w:val="18"/>
          <w:szCs w:val="18"/>
          <w:color w:val="auto"/>
        </w:rPr>
        <w:t xml:space="preserve"> </w:t>
      </w:r>
      <w:r>
        <w:rPr>
          <w:rFonts w:ascii="Arial" w:cs="Arial" w:eastAsia="Arial" w:hAnsi="Arial"/>
          <w:sz w:val="18"/>
          <w:szCs w:val="18"/>
          <w:u w:val="single" w:color="auto"/>
          <w:color w:val="auto"/>
        </w:rPr>
        <w:t>Successor Rate</w:t>
      </w:r>
      <w:r>
        <w:rPr>
          <w:rFonts w:ascii="Arial" w:cs="Arial" w:eastAsia="Arial" w:hAnsi="Arial"/>
          <w:sz w:val="18"/>
          <w:szCs w:val="18"/>
          <w:color w:val="auto"/>
        </w:rPr>
        <w:t>”; and any such rate before giving effect to the Related Adjustment, the “</w:t>
      </w:r>
      <w:r>
        <w:rPr>
          <w:rFonts w:ascii="Arial" w:cs="Arial" w:eastAsia="Arial" w:hAnsi="Arial"/>
          <w:sz w:val="18"/>
          <w:szCs w:val="18"/>
          <w:u w:val="single" w:color="auto"/>
          <w:color w:val="auto"/>
        </w:rPr>
        <w:t>Pre-Adjustment Successor Rate</w:t>
      </w:r>
      <w:r>
        <w:rPr>
          <w:rFonts w:ascii="Arial" w:cs="Arial" w:eastAsia="Arial" w:hAnsi="Arial"/>
          <w:sz w:val="18"/>
          <w:szCs w:val="18"/>
          <w:color w:val="auto"/>
        </w:rPr>
        <w:t>”):</w:t>
      </w:r>
    </w:p>
    <w:p>
      <w:pPr>
        <w:spacing w:after="0" w:line="276" w:lineRule="exact"/>
        <w:rPr>
          <w:sz w:val="20"/>
          <w:szCs w:val="20"/>
          <w:color w:val="auto"/>
        </w:rPr>
      </w:pPr>
    </w:p>
    <w:p>
      <w:pPr>
        <w:ind w:left="1280" w:hanging="628"/>
        <w:spacing w:after="0"/>
        <w:tabs>
          <w:tab w:leader="none" w:pos="12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Term SOFR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Related Adjustment; and</w:t>
      </w:r>
    </w:p>
    <w:p>
      <w:pPr>
        <w:spacing w:after="0" w:line="107" w:lineRule="exact"/>
        <w:rPr>
          <w:rFonts w:ascii="Arial" w:cs="Arial" w:eastAsia="Arial" w:hAnsi="Arial"/>
          <w:sz w:val="20"/>
          <w:szCs w:val="20"/>
          <w:color w:val="auto"/>
        </w:rPr>
      </w:pPr>
    </w:p>
    <w:p>
      <w:pPr>
        <w:ind w:left="1280" w:hanging="628"/>
        <w:spacing w:after="0"/>
        <w:tabs>
          <w:tab w:leader="none" w:pos="12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SOFR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Related Adjustment;</w:t>
      </w:r>
    </w:p>
    <w:p>
      <w:pPr>
        <w:spacing w:after="0" w:line="337" w:lineRule="exact"/>
        <w:rPr>
          <w:sz w:val="20"/>
          <w:szCs w:val="20"/>
          <w:color w:val="auto"/>
        </w:rPr>
      </w:pPr>
    </w:p>
    <w:p>
      <w:pPr>
        <w:jc w:val="both"/>
        <w:ind w:right="100"/>
        <w:spacing w:after="0" w:line="270" w:lineRule="auto"/>
        <w:rPr>
          <w:sz w:val="20"/>
          <w:szCs w:val="20"/>
          <w:color w:val="auto"/>
        </w:rPr>
      </w:pPr>
      <w:r>
        <w:rPr>
          <w:rFonts w:ascii="Arial" w:cs="Arial" w:eastAsia="Arial" w:hAnsi="Arial"/>
          <w:sz w:val="18"/>
          <w:szCs w:val="18"/>
          <w:color w:val="auto"/>
        </w:rPr>
        <w:t xml:space="preserve">and in the case of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 the Borrower and Administrative Agent may amend this Agreement solely for the purpose of replacing LIBOR under this Agreement and under any other Loan Document in accordance with the definition of “LIBOR Successor Rate” and such amendment will become effective at 5:00 p.m., on the fifth (5</w:t>
      </w:r>
      <w:r>
        <w:rPr>
          <w:rFonts w:ascii="Arial" w:cs="Arial" w:eastAsia="Arial" w:hAnsi="Arial"/>
          <w:sz w:val="11"/>
          <w:szCs w:val="11"/>
          <w:color w:val="auto"/>
        </w:rPr>
        <w:t>th</w:t>
      </w:r>
      <w:r>
        <w:rPr>
          <w:rFonts w:ascii="Arial" w:cs="Arial" w:eastAsia="Arial" w:hAnsi="Arial"/>
          <w:sz w:val="18"/>
          <w:szCs w:val="18"/>
          <w:color w:val="auto"/>
        </w:rPr>
        <w:t xml:space="preserve">) Business Day after the Administrative Agent shall have notified all Lenders and the Borrower of the occurrence of the circumstances described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 unless, prior to such time, Lenders comprising the Required Lenders have delivered to the Administrative Agent written notice that such Required Lenders object to the implementation of a LIBOR Successor Rate pursuant to such clause;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Administrative Agent determines that Term SOFR has become available, is administratively feasible for the Administrative Agent and would have been identified as the Pre-Adjustment Successor Rate in accordance with the foregoing if it had been so available at the time that the LIBOR Successor Rate then in effect was so identified, and the Administrative Agent notifies the Borrower and each Lender of such availability, then from and after the beginning of the Interest Period, relevant interest payment date or payment period for interest calculated, in each case, commencing no less than thirty (30) days after the date of such notice, the Pre-Adjusted LIBOR Successor Rate shall be Term SOFR and the LIBOR Successor Rate shall be Term SOFR plus the relevant Related Adjustment.</w:t>
      </w:r>
    </w:p>
    <w:p>
      <w:pPr>
        <w:spacing w:after="0" w:line="203" w:lineRule="exact"/>
        <w:rPr>
          <w:sz w:val="20"/>
          <w:szCs w:val="20"/>
          <w:color w:val="auto"/>
        </w:rPr>
      </w:pPr>
    </w:p>
    <w:p>
      <w:pPr>
        <w:jc w:val="both"/>
        <w:ind w:right="120" w:firstLine="648"/>
        <w:spacing w:after="0" w:line="250" w:lineRule="auto"/>
        <w:rPr>
          <w:sz w:val="20"/>
          <w:szCs w:val="20"/>
          <w:color w:val="auto"/>
        </w:rPr>
      </w:pPr>
      <w:r>
        <w:rPr>
          <w:rFonts w:ascii="Arial" w:cs="Arial" w:eastAsia="Arial" w:hAnsi="Arial"/>
          <w:sz w:val="20"/>
          <w:szCs w:val="20"/>
          <w:color w:val="auto"/>
        </w:rPr>
        <w:t xml:space="preserve">The Administrative Agent will promptly (in one or more notices) notify the Borrower and each Lender of (1) any occurrence of any of the events, periods or circumstances under </w:t>
      </w:r>
      <w:r>
        <w:rPr>
          <w:rFonts w:ascii="Arial" w:cs="Arial" w:eastAsia="Arial" w:hAnsi="Arial"/>
          <w:sz w:val="20"/>
          <w:szCs w:val="20"/>
          <w:u w:val="single" w:color="auto"/>
          <w:color w:val="auto"/>
        </w:rPr>
        <w:t>clauses (i) through (iii)</w:t>
      </w:r>
      <w:r>
        <w:rPr>
          <w:rFonts w:ascii="Arial" w:cs="Arial" w:eastAsia="Arial" w:hAnsi="Arial"/>
          <w:sz w:val="20"/>
          <w:szCs w:val="20"/>
          <w:color w:val="auto"/>
        </w:rPr>
        <w:t xml:space="preserve"> above, (2) a LIBOR Replacement Date and (3) the LIBOR Successor Rate.</w:t>
      </w:r>
    </w:p>
    <w:p>
      <w:pPr>
        <w:sectPr>
          <w:pgSz w:w="11900" w:h="16838" w:orient="portrait"/>
          <w:cols w:equalWidth="0" w:num="1">
            <w:col w:w="10840"/>
          </w:cols>
          <w:pgMar w:left="720" w:top="122"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100" w:firstLine="648"/>
        <w:spacing w:after="0" w:line="250" w:lineRule="auto"/>
        <w:rPr>
          <w:sz w:val="20"/>
          <w:szCs w:val="20"/>
          <w:color w:val="auto"/>
        </w:rPr>
      </w:pPr>
      <w:r>
        <w:rPr>
          <w:rFonts w:ascii="Arial" w:cs="Arial" w:eastAsia="Arial" w:hAnsi="Arial"/>
          <w:sz w:val="20"/>
          <w:szCs w:val="20"/>
          <w:color w:val="auto"/>
        </w:rPr>
        <w:t>Any LIBOR Successor Rate shall be applied in a manner consistent with market practice; provided that to the extent such market practice is not administratively feasible for the Administrative Agent, such LIBOR Successor Rate shall be applied in a manner as otherwise reasonably determined by the Administrative Agent.</w:t>
      </w:r>
    </w:p>
    <w:p>
      <w:pPr>
        <w:spacing w:after="0" w:line="213" w:lineRule="exact"/>
        <w:rPr>
          <w:sz w:val="20"/>
          <w:szCs w:val="20"/>
          <w:color w:val="auto"/>
        </w:rPr>
      </w:pPr>
    </w:p>
    <w:p>
      <w:pPr>
        <w:jc w:val="both"/>
        <w:ind w:right="120" w:firstLine="648"/>
        <w:spacing w:after="0" w:line="250" w:lineRule="auto"/>
        <w:rPr>
          <w:sz w:val="20"/>
          <w:szCs w:val="20"/>
          <w:color w:val="auto"/>
        </w:rPr>
      </w:pPr>
      <w:r>
        <w:rPr>
          <w:rFonts w:ascii="Arial" w:cs="Arial" w:eastAsia="Arial" w:hAnsi="Arial"/>
          <w:sz w:val="20"/>
          <w:szCs w:val="20"/>
          <w:color w:val="auto"/>
        </w:rPr>
        <w:t>Notwithstanding anything else herein, if at any time any LIBOR Successor Rate as so determined would otherwise be less than one hundred (100) basis points (1.00%), the LIBOR Successor Rate will be deemed to be one hundred (100) basis points (1.00%) for the purposes of this Agreement and the other Loan Documents.</w:t>
      </w:r>
    </w:p>
    <w:p>
      <w:pPr>
        <w:spacing w:after="0" w:line="226"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9"/>
          <w:szCs w:val="19"/>
          <w:color w:val="auto"/>
        </w:rPr>
        <w:t xml:space="preserve">In connection with the implementation of a LIBOR Successor Rate, the Administrative Agent will have the right to make LIBOR Successor Rate Conforming Changes from time to time and, notwithstanding anything to the contrary herein or in any other Loan Document, any amendments implementing such LIBOR Successor Rate Conforming Changes will become effective without any further action or consent of any other party to this Agreement; </w:t>
      </w:r>
      <w:r>
        <w:rPr>
          <w:rFonts w:ascii="Arial" w:cs="Arial" w:eastAsia="Arial" w:hAnsi="Arial"/>
          <w:sz w:val="19"/>
          <w:szCs w:val="19"/>
          <w:u w:val="single" w:color="auto"/>
          <w:color w:val="auto"/>
        </w:rPr>
        <w:t>provided that</w:t>
      </w:r>
      <w:r>
        <w:rPr>
          <w:rFonts w:ascii="Arial" w:cs="Arial" w:eastAsia="Arial" w:hAnsi="Arial"/>
          <w:sz w:val="19"/>
          <w:szCs w:val="19"/>
          <w:color w:val="auto"/>
        </w:rPr>
        <w:t>, with respect to any such amendment effected, the Administrative Agent shall post each such amendment implementing such LIBOR Successor Conforming Changes to the Borrower and the Lenders reasonably promptly after such amendment becomes effective.</w:t>
      </w:r>
    </w:p>
    <w:p>
      <w:pPr>
        <w:spacing w:after="0" w:line="219" w:lineRule="exact"/>
        <w:rPr>
          <w:sz w:val="20"/>
          <w:szCs w:val="20"/>
          <w:color w:val="auto"/>
        </w:rPr>
      </w:pPr>
    </w:p>
    <w:p>
      <w:pPr>
        <w:jc w:val="both"/>
        <w:ind w:right="100" w:firstLine="648"/>
        <w:spacing w:after="0" w:line="250" w:lineRule="auto"/>
        <w:rPr>
          <w:sz w:val="20"/>
          <w:szCs w:val="20"/>
          <w:color w:val="auto"/>
        </w:rPr>
      </w:pPr>
      <w:r>
        <w:rPr>
          <w:rFonts w:ascii="Arial" w:cs="Arial" w:eastAsia="Arial" w:hAnsi="Arial"/>
          <w:sz w:val="20"/>
          <w:szCs w:val="20"/>
          <w:color w:val="auto"/>
        </w:rPr>
        <w:t xml:space="preserve">If the events or circumstances of the type described in </w:t>
      </w:r>
      <w:r>
        <w:rPr>
          <w:rFonts w:ascii="Arial" w:cs="Arial" w:eastAsia="Arial" w:hAnsi="Arial"/>
          <w:sz w:val="20"/>
          <w:szCs w:val="20"/>
          <w:u w:val="single" w:color="auto"/>
          <w:color w:val="auto"/>
        </w:rPr>
        <w:t>Section 3.03(c)(i)-(iii)</w:t>
      </w:r>
      <w:r>
        <w:rPr>
          <w:rFonts w:ascii="Arial" w:cs="Arial" w:eastAsia="Arial" w:hAnsi="Arial"/>
          <w:sz w:val="20"/>
          <w:szCs w:val="20"/>
          <w:color w:val="auto"/>
        </w:rPr>
        <w:t xml:space="preserve"> have occurred with respect to the LIBOR Successor Rate then in effect, then the successor rate thereto shall be determined in accordance with the definition of “LIBOR Successor Rate.”</w:t>
      </w:r>
    </w:p>
    <w:p>
      <w:pPr>
        <w:spacing w:after="0" w:line="213" w:lineRule="exact"/>
        <w:rPr>
          <w:sz w:val="20"/>
          <w:szCs w:val="20"/>
          <w:color w:val="auto"/>
        </w:rPr>
      </w:pPr>
    </w:p>
    <w:p>
      <w:pPr>
        <w:jc w:val="both"/>
        <w:ind w:right="100" w:firstLine="649"/>
        <w:spacing w:after="0" w:line="269" w:lineRule="auto"/>
        <w:rPr>
          <w:sz w:val="20"/>
          <w:szCs w:val="20"/>
          <w:color w:val="auto"/>
        </w:rPr>
      </w:pPr>
      <w:r>
        <w:rPr>
          <w:rFonts w:ascii="Arial" w:cs="Arial" w:eastAsia="Arial" w:hAnsi="Arial"/>
          <w:sz w:val="18"/>
          <w:szCs w:val="18"/>
          <w:color w:val="auto"/>
        </w:rPr>
        <w:t xml:space="preserve">(d)Notwithstanding anything to the contrary herein, (i) after any such determination by the Administrative Agent or receipt by the Administrative Agent of any such notice described under </w:t>
      </w:r>
      <w:r>
        <w:rPr>
          <w:rFonts w:ascii="Arial" w:cs="Arial" w:eastAsia="Arial" w:hAnsi="Arial"/>
          <w:sz w:val="18"/>
          <w:szCs w:val="18"/>
          <w:u w:val="single" w:color="auto"/>
          <w:color w:val="auto"/>
        </w:rPr>
        <w:t>Section 3.03(c)(i)-(iii)</w:t>
      </w:r>
      <w:r>
        <w:rPr>
          <w:rFonts w:ascii="Arial" w:cs="Arial" w:eastAsia="Arial" w:hAnsi="Arial"/>
          <w:sz w:val="18"/>
          <w:szCs w:val="18"/>
          <w:color w:val="auto"/>
        </w:rPr>
        <w:t xml:space="preserve">, as applicable, if the Administrative Agent determines that none of the LIBOR Successor Rates is available on or prior to the LIBOR Replacement Date, (ii) if the events or circumstances described in </w:t>
      </w:r>
      <w:r>
        <w:rPr>
          <w:rFonts w:ascii="Arial" w:cs="Arial" w:eastAsia="Arial" w:hAnsi="Arial"/>
          <w:sz w:val="18"/>
          <w:szCs w:val="18"/>
          <w:u w:val="single" w:color="auto"/>
          <w:color w:val="auto"/>
        </w:rPr>
        <w:t>Section 3.03(c)(iv)</w:t>
      </w:r>
      <w:r>
        <w:rPr>
          <w:rFonts w:ascii="Arial" w:cs="Arial" w:eastAsia="Arial" w:hAnsi="Arial"/>
          <w:sz w:val="18"/>
          <w:szCs w:val="18"/>
          <w:color w:val="auto"/>
        </w:rPr>
        <w:t xml:space="preserve"> have occurred but none of the LIBOR Successor Rates is available, or (iii) if the events or circumstances of the type described in </w:t>
      </w:r>
      <w:r>
        <w:rPr>
          <w:rFonts w:ascii="Arial" w:cs="Arial" w:eastAsia="Arial" w:hAnsi="Arial"/>
          <w:sz w:val="18"/>
          <w:szCs w:val="18"/>
          <w:u w:val="single" w:color="auto"/>
          <w:color w:val="auto"/>
        </w:rPr>
        <w:t>Section 3.03(c)(i)-(iii)</w:t>
      </w:r>
      <w:r>
        <w:rPr>
          <w:rFonts w:ascii="Arial" w:cs="Arial" w:eastAsia="Arial" w:hAnsi="Arial"/>
          <w:sz w:val="18"/>
          <w:szCs w:val="18"/>
          <w:color w:val="auto"/>
        </w:rPr>
        <w:t xml:space="preserve"> have occurred with respect to the LIBOR Successor Rate then in effect and the Administrative Agent determines that none of the LIBOR Successor Rates is available, then in each case, the Administrative Agent and the Borrower may amend this Agreement solely for the purpose of replacing LIBOR or any then current LIBOR Successor Rate at the end of any Interest Period, relevant interest payment date or payment period for interest calculated, as applicable, in accordance with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with another alternate benchmark rate giving due consideration to any evolving or then existing convention for similar U.S. dollar denominated syndicated credit facilities for such alternative benchmarks and, in each case, including any Related Adjustments and any other mathematical or other adjustments to such benchmark giving due consideration to any evolving or then existing convention for similar U.S. dollar denominated syndicated credit facilities for such benchmarks,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LIBOR Successor Rate.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212" w:lineRule="exact"/>
        <w:rPr>
          <w:sz w:val="20"/>
          <w:szCs w:val="20"/>
          <w:color w:val="auto"/>
        </w:rPr>
      </w:pPr>
    </w:p>
    <w:p>
      <w:pPr>
        <w:jc w:val="both"/>
        <w:ind w:right="100" w:firstLine="652"/>
        <w:spacing w:after="0" w:line="309" w:lineRule="auto"/>
        <w:tabs>
          <w:tab w:leader="none" w:pos="896"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If, at the end of any Interest Period, relevant interest payment date or payment period for interest calculated, no LIBOR Successor Rate has been determined in accordance with </w:t>
      </w:r>
      <w:r>
        <w:rPr>
          <w:rFonts w:ascii="Arial" w:cs="Arial" w:eastAsia="Arial" w:hAnsi="Arial"/>
          <w:sz w:val="16"/>
          <w:szCs w:val="16"/>
          <w:u w:val="single" w:color="auto"/>
          <w:color w:val="auto"/>
        </w:rPr>
        <w:t>clauses (c) or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and the circumstances under </w:t>
      </w:r>
      <w:r>
        <w:rPr>
          <w:rFonts w:ascii="Arial" w:cs="Arial" w:eastAsia="Arial" w:hAnsi="Arial"/>
          <w:sz w:val="16"/>
          <w:szCs w:val="16"/>
          <w:u w:val="single" w:color="auto"/>
          <w:color w:val="auto"/>
        </w:rPr>
        <w:t>clauses (c)</w:t>
      </w:r>
    </w:p>
    <w:p>
      <w:pPr>
        <w:spacing w:after="0" w:line="1" w:lineRule="exact"/>
        <w:rPr>
          <w:rFonts w:ascii="Arial" w:cs="Arial" w:eastAsia="Arial" w:hAnsi="Arial"/>
          <w:sz w:val="16"/>
          <w:szCs w:val="16"/>
          <w:color w:val="auto"/>
        </w:rPr>
      </w:pPr>
    </w:p>
    <w:p>
      <w:pPr>
        <w:ind w:left="240" w:hanging="237"/>
        <w:spacing w:after="0"/>
        <w:tabs>
          <w:tab w:leader="none" w:pos="240" w:val="left"/>
        </w:tabs>
        <w:numPr>
          <w:ilvl w:val="0"/>
          <w:numId w:val="27"/>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or (c)(iii)</w:t>
      </w:r>
      <w:r>
        <w:rPr>
          <w:rFonts w:ascii="Arial" w:cs="Arial" w:eastAsia="Arial" w:hAnsi="Arial"/>
          <w:sz w:val="20"/>
          <w:szCs w:val="20"/>
          <w:color w:val="auto"/>
        </w:rPr>
        <w:t xml:space="preserve"> above</w:t>
      </w:r>
    </w:p>
    <w:p>
      <w:pPr>
        <w:sectPr>
          <w:pgSz w:w="11900" w:h="16838" w:orient="portrait"/>
          <w:cols w:equalWidth="0" w:num="1">
            <w:col w:w="10840"/>
          </w:cols>
          <w:pgMar w:left="720" w:top="122"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40" w:right="100"/>
        <w:spacing w:after="0" w:line="256" w:lineRule="auto"/>
        <w:rPr>
          <w:sz w:val="20"/>
          <w:szCs w:val="20"/>
          <w:color w:val="auto"/>
        </w:rPr>
      </w:pPr>
      <w:r>
        <w:rPr>
          <w:rFonts w:ascii="Arial" w:cs="Arial" w:eastAsia="Arial" w:hAnsi="Arial"/>
          <w:sz w:val="19"/>
          <w:szCs w:val="19"/>
          <w:color w:val="auto"/>
        </w:rPr>
        <w:t xml:space="preserve">exist or the Scheduled Unavailability Date has occurred (as applicable), the Administrative Agent will promptly so notify the Borrower and each Lender. Thereafter, (i) the obligation of the Lenders to make or maintain Eurocurrency Rate Loans shall be suspended, (to the extent of the affected Eurocurrency Rate Loans, Interest Periods, interest payment dates or payment periods), and (ii) the Eurocurrency Rate component shall no longer be utilized in determining the Base Rate, until the LIBOR Successor Rate has been determined in accordance with </w:t>
      </w:r>
      <w:r>
        <w:rPr>
          <w:rFonts w:ascii="Arial" w:cs="Arial" w:eastAsia="Arial" w:hAnsi="Arial"/>
          <w:sz w:val="19"/>
          <w:szCs w:val="19"/>
          <w:u w:val="single" w:color="auto"/>
          <w:color w:val="auto"/>
        </w:rPr>
        <w:t>clauses (c) or (d)</w:t>
      </w:r>
      <w:r>
        <w:rPr>
          <w:rFonts w:ascii="Arial" w:cs="Arial" w:eastAsia="Arial" w:hAnsi="Arial"/>
          <w:sz w:val="19"/>
          <w:szCs w:val="19"/>
          <w:color w:val="auto"/>
        </w:rPr>
        <w:t xml:space="preserve">. Upon receipt of such notice, the Borrower may revoke any pending request for a Borrowing of, conversion to or continuation of Eurocurrency Rate Loans (to the extent of the affected Eurocurrency Rate Loans, Interest Periods, interest payment dates or payment periods) or, failing that, will be deemed to have converted such request into a request for a Committed Borrowing of Base Rate Loans (subject to the foregoing </w:t>
      </w:r>
      <w:r>
        <w:rPr>
          <w:rFonts w:ascii="Arial" w:cs="Arial" w:eastAsia="Arial" w:hAnsi="Arial"/>
          <w:sz w:val="19"/>
          <w:szCs w:val="19"/>
          <w:u w:val="single" w:color="auto"/>
          <w:color w:val="auto"/>
        </w:rPr>
        <w:t>clause (ii)</w:t>
      </w:r>
      <w:r>
        <w:rPr>
          <w:rFonts w:ascii="Arial" w:cs="Arial" w:eastAsia="Arial" w:hAnsi="Arial"/>
          <w:sz w:val="19"/>
          <w:szCs w:val="19"/>
          <w:color w:val="auto"/>
        </w:rPr>
        <w:t>) in the amount specified therein.”</w:t>
      </w:r>
    </w:p>
    <w:p>
      <w:pPr>
        <w:spacing w:after="0" w:line="286"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ARTICLE IV CONDITIONS TO EFFECTIVENESS</w:t>
      </w:r>
    </w:p>
    <w:p>
      <w:pPr>
        <w:spacing w:after="0" w:line="256" w:lineRule="exact"/>
        <w:rPr>
          <w:sz w:val="20"/>
          <w:szCs w:val="20"/>
          <w:color w:val="auto"/>
        </w:rPr>
      </w:pPr>
    </w:p>
    <w:p>
      <w:pPr>
        <w:jc w:val="both"/>
        <w:ind w:right="100" w:firstLine="646"/>
        <w:spacing w:after="0" w:line="253" w:lineRule="auto"/>
        <w:tabs>
          <w:tab w:leader="none" w:pos="1201"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Closing Conditions</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shall become effective as of the day and year set forth above (hereinafter referred to</w:t>
      </w:r>
      <w:r>
        <w:rPr>
          <w:rFonts w:ascii="Arial" w:cs="Arial" w:eastAsia="Arial" w:hAnsi="Arial"/>
          <w:sz w:val="20"/>
          <w:szCs w:val="20"/>
          <w:b w:val="1"/>
          <w:bCs w:val="1"/>
          <w:color w:val="auto"/>
        </w:rPr>
        <w:t xml:space="preserve"> </w:t>
      </w:r>
      <w:r>
        <w:rPr>
          <w:rFonts w:ascii="Arial" w:cs="Arial" w:eastAsia="Arial" w:hAnsi="Arial"/>
          <w:sz w:val="20"/>
          <w:szCs w:val="20"/>
          <w:color w:val="auto"/>
        </w:rPr>
        <w:t>as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 upon satisfaction of the following conditions (in each case, in form and substance reasonably acceptable to the Administrative Agent) on or prior to the Amendment Effective Date:</w:t>
      </w:r>
    </w:p>
    <w:p>
      <w:pPr>
        <w:spacing w:after="0" w:line="210" w:lineRule="exact"/>
        <w:rPr>
          <w:rFonts w:ascii="Arial" w:cs="Arial" w:eastAsia="Arial" w:hAnsi="Arial"/>
          <w:sz w:val="20"/>
          <w:szCs w:val="20"/>
          <w:b w:val="1"/>
          <w:bCs w:val="1"/>
          <w:color w:val="auto"/>
        </w:rPr>
      </w:pPr>
    </w:p>
    <w:p>
      <w:pPr>
        <w:ind w:right="240" w:firstLine="1189"/>
        <w:spacing w:after="0" w:line="260" w:lineRule="auto"/>
        <w:tabs>
          <w:tab w:leader="none" w:pos="1850"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Executed Amendment</w:t>
      </w:r>
      <w:r>
        <w:rPr>
          <w:rFonts w:ascii="Arial" w:cs="Arial" w:eastAsia="Arial" w:hAnsi="Arial"/>
          <w:sz w:val="20"/>
          <w:szCs w:val="20"/>
          <w:color w:val="auto"/>
        </w:rPr>
        <w:t>. The Administrative Agent shall have received a copy of this Amendment duly executed by each of the Loan Parties, the Lenders and the Administrative Agent.</w:t>
      </w:r>
    </w:p>
    <w:p>
      <w:pPr>
        <w:spacing w:after="0" w:line="298" w:lineRule="exact"/>
        <w:rPr>
          <w:rFonts w:ascii="Arial" w:cs="Arial" w:eastAsia="Arial" w:hAnsi="Arial"/>
          <w:sz w:val="20"/>
          <w:szCs w:val="20"/>
          <w:color w:val="auto"/>
        </w:rPr>
      </w:pPr>
    </w:p>
    <w:p>
      <w:pPr>
        <w:ind w:left="1920" w:hanging="785"/>
        <w:spacing w:after="0"/>
        <w:tabs>
          <w:tab w:leader="none" w:pos="1920"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Default</w:t>
      </w:r>
      <w:r>
        <w:rPr>
          <w:rFonts w:ascii="Arial" w:cs="Arial" w:eastAsia="Arial" w:hAnsi="Arial"/>
          <w:sz w:val="20"/>
          <w:szCs w:val="20"/>
          <w:color w:val="auto"/>
        </w:rPr>
        <w:t>. As of the Amendment Effective Date, no Default or Event of Default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shall exist.</w:t>
      </w:r>
    </w:p>
    <w:p>
      <w:pPr>
        <w:spacing w:after="0" w:line="294" w:lineRule="exact"/>
        <w:rPr>
          <w:sz w:val="20"/>
          <w:szCs w:val="20"/>
          <w:color w:val="auto"/>
        </w:rPr>
      </w:pPr>
    </w:p>
    <w:p>
      <w:pPr>
        <w:jc w:val="both"/>
        <w:ind w:right="100" w:firstLine="1080"/>
        <w:spacing w:after="0" w:line="282" w:lineRule="auto"/>
        <w:tabs>
          <w:tab w:leader="none" w:pos="185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The Administrative Agent shall have received from the Borrower such fees and expenses that are payable in connection with the consummation of the transactions contemplated hereby, if any, and Administrative Agent’s counsel shall have received from the Borrower payment of all outstanding fees and expenses previously incurred and all fees and expenses incurred in connection with this Amendment, including, without limitation, the fees, costs, and expenses of Reed Smith LLP.</w:t>
      </w:r>
    </w:p>
    <w:p>
      <w:pPr>
        <w:spacing w:after="0" w:line="188" w:lineRule="exact"/>
        <w:rPr>
          <w:sz w:val="20"/>
          <w:szCs w:val="20"/>
          <w:color w:val="auto"/>
        </w:rPr>
      </w:pPr>
    </w:p>
    <w:p>
      <w:pPr>
        <w:ind w:right="100" w:firstLine="1090"/>
        <w:spacing w:after="0" w:line="260" w:lineRule="auto"/>
        <w:tabs>
          <w:tab w:leader="none" w:pos="1836"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All other documents and legal matters in connection with the transactions contemplated by this Amendment shall be reasonably satisfactory in form and substance to the Administrative Agent and its counsel.</w:t>
      </w:r>
    </w:p>
    <w:p>
      <w:pPr>
        <w:spacing w:after="0" w:line="198"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ARTICLE V MISCELLANEOUS</w:t>
      </w:r>
    </w:p>
    <w:p>
      <w:pPr>
        <w:spacing w:after="0" w:line="256" w:lineRule="exact"/>
        <w:rPr>
          <w:sz w:val="20"/>
          <w:szCs w:val="20"/>
          <w:color w:val="auto"/>
        </w:rPr>
      </w:pPr>
    </w:p>
    <w:p>
      <w:pPr>
        <w:jc w:val="both"/>
        <w:ind w:right="100" w:firstLine="646"/>
        <w:spacing w:after="0" w:line="248" w:lineRule="auto"/>
        <w:tabs>
          <w:tab w:leader="none" w:pos="1201"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Amended Terms</w:t>
      </w:r>
      <w:r>
        <w:rPr>
          <w:rFonts w:ascii="Arial" w:cs="Arial" w:eastAsia="Arial" w:hAnsi="Arial"/>
          <w:sz w:val="20"/>
          <w:szCs w:val="20"/>
          <w:b w:val="1"/>
          <w:bCs w:val="1"/>
          <w:color w:val="auto"/>
        </w:rPr>
        <w:t xml:space="preserve">. </w:t>
      </w:r>
      <w:r>
        <w:rPr>
          <w:rFonts w:ascii="Arial" w:cs="Arial" w:eastAsia="Arial" w:hAnsi="Arial"/>
          <w:sz w:val="20"/>
          <w:szCs w:val="20"/>
          <w:color w:val="auto"/>
        </w:rPr>
        <w:t>On and after the Amendment Effective Date, all references to the Credit Agreement in each of the Loan</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shall hereafter mean the Credit Agreement as amended and modified by this Amendment. Except as specifically amended hereby or otherwise agreed, the Credit Agreement is hereby ratified and confirmed and shall remain in full force and effect according to its terms.</w:t>
      </w:r>
    </w:p>
    <w:p>
      <w:pPr>
        <w:spacing w:after="0" w:line="223" w:lineRule="exact"/>
        <w:rPr>
          <w:rFonts w:ascii="Arial" w:cs="Arial" w:eastAsia="Arial" w:hAnsi="Arial"/>
          <w:sz w:val="20"/>
          <w:szCs w:val="20"/>
          <w:b w:val="1"/>
          <w:bCs w:val="1"/>
          <w:color w:val="auto"/>
        </w:rPr>
      </w:pPr>
    </w:p>
    <w:p>
      <w:pPr>
        <w:jc w:val="both"/>
        <w:ind w:right="100" w:firstLine="646"/>
        <w:spacing w:after="0" w:line="248" w:lineRule="auto"/>
        <w:tabs>
          <w:tab w:leader="none" w:pos="1199"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FATCA</w:t>
      </w:r>
      <w:r>
        <w:rPr>
          <w:rFonts w:ascii="Arial" w:cs="Arial" w:eastAsia="Arial" w:hAnsi="Arial"/>
          <w:sz w:val="20"/>
          <w:szCs w:val="20"/>
          <w:b w:val="1"/>
          <w:bCs w:val="1"/>
          <w:color w:val="auto"/>
        </w:rPr>
        <w:t xml:space="preserve">. </w:t>
      </w:r>
      <w:r>
        <w:rPr>
          <w:rFonts w:ascii="Arial" w:cs="Arial" w:eastAsia="Arial" w:hAnsi="Arial"/>
          <w:sz w:val="20"/>
          <w:szCs w:val="20"/>
          <w:color w:val="auto"/>
        </w:rPr>
        <w:t>The Borrower hereby certifies to the Administrative Agent and the Lenders that the obligations of the Borrower</w:t>
      </w:r>
      <w:r>
        <w:rPr>
          <w:rFonts w:ascii="Arial" w:cs="Arial" w:eastAsia="Arial" w:hAnsi="Arial"/>
          <w:sz w:val="20"/>
          <w:szCs w:val="20"/>
          <w:b w:val="1"/>
          <w:bCs w:val="1"/>
          <w:color w:val="auto"/>
        </w:rPr>
        <w:t xml:space="preserve"> </w:t>
      </w:r>
      <w:r>
        <w:rPr>
          <w:rFonts w:ascii="Arial" w:cs="Arial" w:eastAsia="Arial" w:hAnsi="Arial"/>
          <w:sz w:val="20"/>
          <w:szCs w:val="20"/>
          <w:color w:val="auto"/>
        </w:rPr>
        <w:t>set forth in the Credit Agreement, as modified by this Amendment, qualify as a “grandfathered obligation” within the meaning of Treasury Regulation Section 1.1471- 2(b)(2)(i). From and after the Amendment Effective Date, the Borrower shall indemnify the Administrative Agent, and hold it harmless from, any and all losses, claims, damages, liabilities and</w:t>
      </w:r>
    </w:p>
    <w:p>
      <w:pPr>
        <w:sectPr>
          <w:pgSz w:w="11900" w:h="16838" w:orient="portrait"/>
          <w:cols w:equalWidth="0" w:num="1">
            <w:col w:w="11140"/>
          </w:cols>
          <w:pgMar w:left="420" w:top="122"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100"/>
        <w:spacing w:after="0" w:line="276" w:lineRule="auto"/>
        <w:rPr>
          <w:sz w:val="20"/>
          <w:szCs w:val="20"/>
          <w:color w:val="auto"/>
        </w:rPr>
      </w:pPr>
      <w:r>
        <w:rPr>
          <w:rFonts w:ascii="Arial" w:cs="Arial" w:eastAsia="Arial" w:hAnsi="Arial"/>
          <w:sz w:val="18"/>
          <w:szCs w:val="18"/>
          <w:color w:val="auto"/>
        </w:rPr>
        <w:t>related interest, penalties and expenses, including, without limitation, Taxes and the fees, charges and disbursements of any counsel for any of the foregoing, arising in connection with the Administrative Agent’s treating, for purposes of determining withholding Taxes imposed under the Foreign Account Tax Compliance Act (FATCA), the Credit Amendment as qualifying as a “grandfathered obligation” within the meaning of Treasury Regulation Section 1.1471-2(b)(2)(i). The Borrower’s obligations hereunder shall survive the resignation or replacement of the Administrative Agent or any assignment of rights by, or the replacement of, a Lender, the termination of the Commitments and the repayment, satisfaction or discharge of all of the Obligations.</w:t>
      </w:r>
    </w:p>
    <w:p>
      <w:pPr>
        <w:spacing w:after="0" w:line="199" w:lineRule="exact"/>
        <w:rPr>
          <w:sz w:val="20"/>
          <w:szCs w:val="20"/>
          <w:color w:val="auto"/>
        </w:rPr>
      </w:pPr>
    </w:p>
    <w:p>
      <w:pPr>
        <w:ind w:left="1180" w:hanging="536"/>
        <w:spacing w:after="0"/>
        <w:tabs>
          <w:tab w:leader="none" w:pos="1180" w:val="left"/>
        </w:tabs>
        <w:numPr>
          <w:ilvl w:val="1"/>
          <w:numId w:val="3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Representations and Warranties of Loan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the Loan Parties represents and warrants as follows:</w:t>
      </w:r>
    </w:p>
    <w:p>
      <w:pPr>
        <w:spacing w:after="0" w:line="260" w:lineRule="exact"/>
        <w:rPr>
          <w:rFonts w:ascii="Arial" w:cs="Arial" w:eastAsia="Arial" w:hAnsi="Arial"/>
          <w:sz w:val="19"/>
          <w:szCs w:val="19"/>
          <w:b w:val="1"/>
          <w:bCs w:val="1"/>
          <w:color w:val="auto"/>
        </w:rPr>
      </w:pPr>
    </w:p>
    <w:p>
      <w:pPr>
        <w:ind w:left="1840" w:hanging="652"/>
        <w:spacing w:after="0"/>
        <w:tabs>
          <w:tab w:leader="none" w:pos="1840" w:val="left"/>
        </w:tabs>
        <w:numPr>
          <w:ilvl w:val="2"/>
          <w:numId w:val="32"/>
        </w:numPr>
        <w:rPr>
          <w:rFonts w:ascii="Arial" w:cs="Arial" w:eastAsia="Arial" w:hAnsi="Arial"/>
          <w:sz w:val="19"/>
          <w:szCs w:val="19"/>
          <w:color w:val="auto"/>
        </w:rPr>
      </w:pPr>
      <w:r>
        <w:rPr>
          <w:rFonts w:ascii="Arial" w:cs="Arial" w:eastAsia="Arial" w:hAnsi="Arial"/>
          <w:sz w:val="19"/>
          <w:szCs w:val="19"/>
          <w:color w:val="auto"/>
        </w:rPr>
        <w:t>It has taken all necessary action to authorize the execution, delivery and performance of this Amendment;</w:t>
      </w:r>
    </w:p>
    <w:p>
      <w:pPr>
        <w:spacing w:after="0" w:line="254" w:lineRule="exact"/>
        <w:rPr>
          <w:rFonts w:ascii="Arial" w:cs="Arial" w:eastAsia="Arial" w:hAnsi="Arial"/>
          <w:sz w:val="19"/>
          <w:szCs w:val="19"/>
          <w:color w:val="auto"/>
        </w:rPr>
      </w:pPr>
    </w:p>
    <w:p>
      <w:pPr>
        <w:jc w:val="both"/>
        <w:ind w:right="100" w:firstLine="1133"/>
        <w:spacing w:after="0" w:line="306" w:lineRule="auto"/>
        <w:tabs>
          <w:tab w:leader="none" w:pos="1836" w:val="left"/>
        </w:tabs>
        <w:numPr>
          <w:ilvl w:val="2"/>
          <w:numId w:val="32"/>
        </w:numPr>
        <w:rPr>
          <w:rFonts w:ascii="Arial" w:cs="Arial" w:eastAsia="Arial" w:hAnsi="Arial"/>
          <w:sz w:val="16"/>
          <w:szCs w:val="16"/>
          <w:color w:val="auto"/>
        </w:rPr>
      </w:pPr>
      <w:r>
        <w:rPr>
          <w:rFonts w:ascii="Arial" w:cs="Arial" w:eastAsia="Arial" w:hAnsi="Arial"/>
          <w:sz w:val="16"/>
          <w:szCs w:val="16"/>
          <w:color w:val="auto"/>
        </w:rPr>
        <w:t>This Amendment has been duly executed and delivered by such Loan Party and constitutes such Loan Party’s legal, valid and binding obligation, enforceable in accordance with its terms, except as such enforceability may be subject to (i) bankruptcy, insolvency, reorganization, fraudulent conveyance or transfer, moratorium or similar laws affecting creditors’ rights generally, and</w:t>
      </w:r>
    </w:p>
    <w:p>
      <w:pPr>
        <w:spacing w:after="0"/>
        <w:rPr>
          <w:rFonts w:ascii="Arial" w:cs="Arial" w:eastAsia="Arial" w:hAnsi="Arial"/>
          <w:sz w:val="16"/>
          <w:szCs w:val="16"/>
          <w:color w:val="auto"/>
        </w:rPr>
      </w:pPr>
      <w:r>
        <w:rPr>
          <w:rFonts w:ascii="Arial" w:cs="Arial" w:eastAsia="Arial" w:hAnsi="Arial"/>
          <w:sz w:val="20"/>
          <w:szCs w:val="20"/>
          <w:color w:val="auto"/>
        </w:rPr>
        <w:t>i.</w:t>
      </w:r>
      <w:r>
        <w:rPr>
          <w:rFonts w:ascii="Arial" w:cs="Arial" w:eastAsia="Arial" w:hAnsi="Arial"/>
          <w:sz w:val="18"/>
          <w:szCs w:val="18"/>
          <w:color w:val="auto"/>
        </w:rPr>
        <w:t>general principles of equity (regardless of whether such enforceability is considered in a proceeding at law or in equity);</w:t>
      </w:r>
    </w:p>
    <w:p>
      <w:pPr>
        <w:spacing w:after="0" w:line="226" w:lineRule="exact"/>
        <w:rPr>
          <w:rFonts w:ascii="Arial" w:cs="Arial" w:eastAsia="Arial" w:hAnsi="Arial"/>
          <w:sz w:val="16"/>
          <w:szCs w:val="16"/>
          <w:color w:val="auto"/>
        </w:rPr>
      </w:pPr>
    </w:p>
    <w:p>
      <w:pPr>
        <w:jc w:val="both"/>
        <w:ind w:right="100" w:firstLine="1292"/>
        <w:spacing w:after="0" w:line="250" w:lineRule="auto"/>
        <w:tabs>
          <w:tab w:leader="none" w:pos="1836" w:val="left"/>
        </w:tabs>
        <w:numPr>
          <w:ilvl w:val="3"/>
          <w:numId w:val="32"/>
        </w:numPr>
        <w:rPr>
          <w:rFonts w:ascii="Arial" w:cs="Arial" w:eastAsia="Arial" w:hAnsi="Arial"/>
          <w:sz w:val="20"/>
          <w:szCs w:val="20"/>
          <w:color w:val="auto"/>
        </w:rPr>
      </w:pPr>
      <w:r>
        <w:rPr>
          <w:rFonts w:ascii="Arial" w:cs="Arial" w:eastAsia="Arial" w:hAnsi="Arial"/>
          <w:sz w:val="20"/>
          <w:szCs w:val="20"/>
          <w:color w:val="auto"/>
        </w:rPr>
        <w:t>No consent, approval, authorization or order of, or filing, registration or qualification with, any court or governmental authority or third party is required in connection with the execution, delivery or performance of this Amendment by such Loan Party;</w:t>
      </w:r>
    </w:p>
    <w:p>
      <w:pPr>
        <w:spacing w:after="0" w:line="212" w:lineRule="exact"/>
        <w:rPr>
          <w:rFonts w:ascii="Arial" w:cs="Arial" w:eastAsia="Arial" w:hAnsi="Arial"/>
          <w:sz w:val="20"/>
          <w:szCs w:val="20"/>
          <w:color w:val="auto"/>
        </w:rPr>
      </w:pPr>
    </w:p>
    <w:p>
      <w:pPr>
        <w:ind w:right="120" w:firstLine="1292"/>
        <w:spacing w:after="0" w:line="260" w:lineRule="auto"/>
        <w:tabs>
          <w:tab w:leader="none" w:pos="1836" w:val="left"/>
        </w:tabs>
        <w:numPr>
          <w:ilvl w:val="3"/>
          <w:numId w:val="32"/>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set forth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of the Credit Agreement are true and correct as of the date hereof (except for those which expressly relate to an earlier date);</w:t>
      </w:r>
    </w:p>
    <w:p>
      <w:pPr>
        <w:spacing w:after="0" w:line="203" w:lineRule="exact"/>
        <w:rPr>
          <w:rFonts w:ascii="Arial" w:cs="Arial" w:eastAsia="Arial" w:hAnsi="Arial"/>
          <w:sz w:val="20"/>
          <w:szCs w:val="20"/>
          <w:color w:val="auto"/>
        </w:rPr>
      </w:pPr>
    </w:p>
    <w:p>
      <w:pPr>
        <w:ind w:left="1840" w:hanging="548"/>
        <w:spacing w:after="0"/>
        <w:tabs>
          <w:tab w:leader="none" w:pos="1840" w:val="left"/>
        </w:tabs>
        <w:numPr>
          <w:ilvl w:val="3"/>
          <w:numId w:val="32"/>
        </w:numPr>
        <w:rPr>
          <w:rFonts w:ascii="Arial" w:cs="Arial" w:eastAsia="Arial" w:hAnsi="Arial"/>
          <w:sz w:val="18"/>
          <w:szCs w:val="18"/>
          <w:color w:val="auto"/>
        </w:rPr>
      </w:pPr>
      <w:r>
        <w:rPr>
          <w:rFonts w:ascii="Arial" w:cs="Arial" w:eastAsia="Arial" w:hAnsi="Arial"/>
          <w:sz w:val="18"/>
          <w:szCs w:val="18"/>
          <w:color w:val="auto"/>
        </w:rPr>
        <w:t>After giving effect to this Amendment, no event has occurred and is continuing which constitutes a Default or an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Event of Default;</w:t>
      </w:r>
    </w:p>
    <w:p>
      <w:pPr>
        <w:spacing w:after="0" w:line="240" w:lineRule="exact"/>
        <w:rPr>
          <w:rFonts w:ascii="Arial" w:cs="Arial" w:eastAsia="Arial" w:hAnsi="Arial"/>
          <w:sz w:val="18"/>
          <w:szCs w:val="18"/>
          <w:color w:val="auto"/>
        </w:rPr>
      </w:pPr>
    </w:p>
    <w:p>
      <w:pPr>
        <w:ind w:left="1920" w:hanging="628"/>
        <w:spacing w:after="0"/>
        <w:tabs>
          <w:tab w:leader="none" w:pos="1920" w:val="left"/>
        </w:tabs>
        <w:numPr>
          <w:ilvl w:val="3"/>
          <w:numId w:val="32"/>
        </w:numPr>
        <w:rPr>
          <w:rFonts w:ascii="Arial" w:cs="Arial" w:eastAsia="Arial" w:hAnsi="Arial"/>
          <w:sz w:val="20"/>
          <w:szCs w:val="20"/>
          <w:color w:val="auto"/>
        </w:rPr>
      </w:pPr>
      <w:r>
        <w:rPr>
          <w:rFonts w:ascii="Arial" w:cs="Arial" w:eastAsia="Arial" w:hAnsi="Arial"/>
          <w:sz w:val="20"/>
          <w:szCs w:val="20"/>
          <w:color w:val="auto"/>
        </w:rPr>
        <w:t>Reserved; and</w:t>
      </w:r>
    </w:p>
    <w:p>
      <w:pPr>
        <w:spacing w:after="0" w:line="242" w:lineRule="exact"/>
        <w:rPr>
          <w:rFonts w:ascii="Arial" w:cs="Arial" w:eastAsia="Arial" w:hAnsi="Arial"/>
          <w:sz w:val="20"/>
          <w:szCs w:val="20"/>
          <w:color w:val="auto"/>
        </w:rPr>
      </w:pPr>
    </w:p>
    <w:p>
      <w:pPr>
        <w:ind w:left="1840" w:hanging="548"/>
        <w:spacing w:after="0"/>
        <w:tabs>
          <w:tab w:leader="none" w:pos="1840" w:val="left"/>
        </w:tabs>
        <w:numPr>
          <w:ilvl w:val="3"/>
          <w:numId w:val="32"/>
        </w:numPr>
        <w:rPr>
          <w:rFonts w:ascii="Arial" w:cs="Arial" w:eastAsia="Arial" w:hAnsi="Arial"/>
          <w:sz w:val="18"/>
          <w:szCs w:val="18"/>
          <w:color w:val="auto"/>
        </w:rPr>
      </w:pPr>
      <w:r>
        <w:rPr>
          <w:rFonts w:ascii="Arial" w:cs="Arial" w:eastAsia="Arial" w:hAnsi="Arial"/>
          <w:sz w:val="18"/>
          <w:szCs w:val="18"/>
          <w:color w:val="auto"/>
        </w:rPr>
        <w:t>The Obligations are not reduced or modified by this Amendment and are not subject to any offsets, defenses or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counterclaims.</w:t>
      </w:r>
    </w:p>
    <w:p>
      <w:pPr>
        <w:spacing w:after="0" w:line="220" w:lineRule="exact"/>
        <w:rPr>
          <w:rFonts w:ascii="Arial" w:cs="Arial" w:eastAsia="Arial" w:hAnsi="Arial"/>
          <w:sz w:val="18"/>
          <w:szCs w:val="18"/>
          <w:color w:val="auto"/>
        </w:rPr>
      </w:pPr>
    </w:p>
    <w:p>
      <w:pPr>
        <w:jc w:val="both"/>
        <w:ind w:right="100" w:firstLine="644"/>
        <w:spacing w:after="0" w:line="244" w:lineRule="auto"/>
        <w:tabs>
          <w:tab w:leader="none" w:pos="1185" w:val="left"/>
        </w:tabs>
        <w:numPr>
          <w:ilvl w:val="1"/>
          <w:numId w:val="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Reaffirmation of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Each Loan Party hereby ratifies the Credit Agreement and each other Loan Document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acknowledges and reaffirms (a) that it is bound by all terms of the Credit Agreement and each other Loan Document applicable to it, (b) the Liens on and security interests in the Collateral in favor of the Administrative Agent, for the benefit of the Lenders, and the L/C Issuer, to secure the Obligations are valid, legal, binding, and properly perfected and are reaffirmed and ratified in all respects, and nothing contained herein is intended to alter the priority of, or terminate any, Lien on or security interest in any Collateral in favor of the Administrative Agent, for the benefit of the Lenders, and the L/C Issuer, and (c) that it is responsible for the observance and full performance of its respective Obligations.</w:t>
      </w:r>
    </w:p>
    <w:p>
      <w:pPr>
        <w:spacing w:after="0" w:line="226" w:lineRule="exact"/>
        <w:rPr>
          <w:rFonts w:ascii="Arial" w:cs="Arial" w:eastAsia="Arial" w:hAnsi="Arial"/>
          <w:sz w:val="20"/>
          <w:szCs w:val="20"/>
          <w:b w:val="1"/>
          <w:bCs w:val="1"/>
          <w:color w:val="auto"/>
        </w:rPr>
      </w:pPr>
    </w:p>
    <w:p>
      <w:pPr>
        <w:ind w:left="1180" w:hanging="536"/>
        <w:spacing w:after="0"/>
        <w:tabs>
          <w:tab w:leader="none" w:pos="1180" w:val="left"/>
        </w:tabs>
        <w:numPr>
          <w:ilvl w:val="1"/>
          <w:numId w:val="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Loan Document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shall constitute a Loan Document under the terms of the Credit Agreement.</w:t>
      </w:r>
    </w:p>
    <w:p>
      <w:pPr>
        <w:spacing w:after="0" w:line="242" w:lineRule="exact"/>
        <w:rPr>
          <w:rFonts w:ascii="Arial" w:cs="Arial" w:eastAsia="Arial" w:hAnsi="Arial"/>
          <w:sz w:val="20"/>
          <w:szCs w:val="20"/>
          <w:b w:val="1"/>
          <w:bCs w:val="1"/>
          <w:color w:val="auto"/>
        </w:rPr>
      </w:pPr>
    </w:p>
    <w:p>
      <w:pPr>
        <w:ind w:left="1280" w:hanging="636"/>
        <w:spacing w:after="0"/>
        <w:tabs>
          <w:tab w:leader="none" w:pos="1280" w:val="left"/>
        </w:tabs>
        <w:numPr>
          <w:ilvl w:val="1"/>
          <w:numId w:val="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The Borrower agrees to pay all reasonable costs and expenses of the</w:t>
      </w:r>
    </w:p>
    <w:p>
      <w:pPr>
        <w:sectPr>
          <w:pgSz w:w="11900" w:h="16838" w:orient="portrait"/>
          <w:cols w:equalWidth="0" w:num="1">
            <w:col w:w="11120"/>
          </w:cols>
          <w:pgMar w:left="440" w:top="122"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Administrative Agent in connection with the preparation, execution and delivery of this Amendment, including without limitation the reasonable fees and expenses of the Administrative Agent’s legal counsel.</w:t>
      </w:r>
    </w:p>
    <w:p>
      <w:pPr>
        <w:spacing w:after="0" w:line="211" w:lineRule="exact"/>
        <w:rPr>
          <w:sz w:val="20"/>
          <w:szCs w:val="20"/>
          <w:color w:val="auto"/>
        </w:rPr>
      </w:pPr>
    </w:p>
    <w:p>
      <w:pPr>
        <w:ind w:right="100" w:firstLine="644"/>
        <w:spacing w:after="0" w:line="267" w:lineRule="auto"/>
        <w:tabs>
          <w:tab w:leader="none" w:pos="1188"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Further Assurances</w:t>
      </w:r>
      <w:r>
        <w:rPr>
          <w:rFonts w:ascii="Arial" w:cs="Arial" w:eastAsia="Arial" w:hAnsi="Arial"/>
          <w:sz w:val="20"/>
          <w:szCs w:val="20"/>
          <w:b w:val="1"/>
          <w:bCs w:val="1"/>
          <w:color w:val="auto"/>
        </w:rPr>
        <w:t xml:space="preserve">. </w:t>
      </w:r>
      <w:r>
        <w:rPr>
          <w:rFonts w:ascii="Arial" w:cs="Arial" w:eastAsia="Arial" w:hAnsi="Arial"/>
          <w:sz w:val="20"/>
          <w:szCs w:val="20"/>
          <w:color w:val="auto"/>
        </w:rPr>
        <w:t>The Loan Parties agree to promptly take such action, upon the request of the Administrative Agent,</w:t>
      </w:r>
      <w:r>
        <w:rPr>
          <w:rFonts w:ascii="Arial" w:cs="Arial" w:eastAsia="Arial" w:hAnsi="Arial"/>
          <w:sz w:val="20"/>
          <w:szCs w:val="20"/>
          <w:b w:val="1"/>
          <w:bCs w:val="1"/>
          <w:color w:val="auto"/>
        </w:rPr>
        <w:t xml:space="preserve"> </w:t>
      </w:r>
      <w:r>
        <w:rPr>
          <w:rFonts w:ascii="Arial" w:cs="Arial" w:eastAsia="Arial" w:hAnsi="Arial"/>
          <w:sz w:val="20"/>
          <w:szCs w:val="20"/>
          <w:color w:val="auto"/>
        </w:rPr>
        <w:t>as is necessary to carry out the intent of this Amendment.</w:t>
      </w:r>
    </w:p>
    <w:p>
      <w:pPr>
        <w:spacing w:after="0" w:line="190" w:lineRule="exact"/>
        <w:rPr>
          <w:rFonts w:ascii="Arial" w:cs="Arial" w:eastAsia="Arial" w:hAnsi="Arial"/>
          <w:sz w:val="20"/>
          <w:szCs w:val="20"/>
          <w:b w:val="1"/>
          <w:bCs w:val="1"/>
          <w:color w:val="auto"/>
        </w:rPr>
      </w:pPr>
    </w:p>
    <w:p>
      <w:pPr>
        <w:ind w:right="120" w:firstLine="644"/>
        <w:spacing w:after="0" w:line="267" w:lineRule="auto"/>
        <w:tabs>
          <w:tab w:leader="none" w:pos="1185"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Entirety</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and the other Loan Documents embody the entire agreement among the parties hereto and</w:t>
      </w:r>
      <w:r>
        <w:rPr>
          <w:rFonts w:ascii="Arial" w:cs="Arial" w:eastAsia="Arial" w:hAnsi="Arial"/>
          <w:sz w:val="20"/>
          <w:szCs w:val="20"/>
          <w:b w:val="1"/>
          <w:bCs w:val="1"/>
          <w:color w:val="auto"/>
        </w:rPr>
        <w:t xml:space="preserve"> </w:t>
      </w:r>
      <w:r>
        <w:rPr>
          <w:rFonts w:ascii="Arial" w:cs="Arial" w:eastAsia="Arial" w:hAnsi="Arial"/>
          <w:sz w:val="20"/>
          <w:szCs w:val="20"/>
          <w:color w:val="auto"/>
        </w:rPr>
        <w:t>supersede all prior agreements and understandings, oral or written, if any, relating to the subject matter hereof.</w:t>
      </w:r>
    </w:p>
    <w:p>
      <w:pPr>
        <w:spacing w:after="0" w:line="190" w:lineRule="exact"/>
        <w:rPr>
          <w:rFonts w:ascii="Arial" w:cs="Arial" w:eastAsia="Arial" w:hAnsi="Arial"/>
          <w:sz w:val="20"/>
          <w:szCs w:val="20"/>
          <w:b w:val="1"/>
          <w:bCs w:val="1"/>
          <w:color w:val="auto"/>
        </w:rPr>
      </w:pPr>
    </w:p>
    <w:p>
      <w:pPr>
        <w:jc w:val="both"/>
        <w:ind w:right="100" w:firstLine="644"/>
        <w:spacing w:after="0" w:line="275" w:lineRule="auto"/>
        <w:tabs>
          <w:tab w:leader="none" w:pos="1177"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Signatures; Counterparts; Telecopy</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in the form of an Electronic Record and may</w:t>
      </w:r>
      <w:r>
        <w:rPr>
          <w:rFonts w:ascii="Arial" w:cs="Arial" w:eastAsia="Arial" w:hAnsi="Arial"/>
          <w:sz w:val="18"/>
          <w:szCs w:val="18"/>
          <w:b w:val="1"/>
          <w:bCs w:val="1"/>
          <w:color w:val="auto"/>
        </w:rPr>
        <w:t xml:space="preserve"> </w:t>
      </w:r>
      <w:r>
        <w:rPr>
          <w:rFonts w:ascii="Arial" w:cs="Arial" w:eastAsia="Arial" w:hAnsi="Arial"/>
          <w:sz w:val="18"/>
          <w:szCs w:val="18"/>
          <w:color w:val="auto"/>
        </w:rPr>
        <w:t>be executed using Electronic Signatures (including, without limitation, facsimile and .pdf) and shall be considered an original, and shall have the same legal effect, validity and enforceability as a paper record. This Amendment may be executed in as many counterparts as necessary or convenient, including both paper and electronic counterparts, but all such counterparts are one and the same Amendment. For the avoidance of doubt, the authorization under this paragraph may include, without limitation, use or acceptance by the Administrative Agent of a manually signed paper Communication which has been converted into electronic form (such as scanned into PDF format), or an electronically signed Communication converted into another format, for transmission, delivery and/or retention.</w:t>
      </w:r>
    </w:p>
    <w:p>
      <w:pPr>
        <w:spacing w:after="0" w:line="189" w:lineRule="exact"/>
        <w:rPr>
          <w:rFonts w:ascii="Arial" w:cs="Arial" w:eastAsia="Arial" w:hAnsi="Arial"/>
          <w:sz w:val="18"/>
          <w:szCs w:val="18"/>
          <w:b w:val="1"/>
          <w:bCs w:val="1"/>
          <w:color w:val="auto"/>
        </w:rPr>
      </w:pPr>
    </w:p>
    <w:p>
      <w:pPr>
        <w:jc w:val="both"/>
        <w:ind w:right="120" w:firstLine="644"/>
        <w:spacing w:after="0" w:line="246" w:lineRule="auto"/>
        <w:tabs>
          <w:tab w:leader="none" w:pos="1185"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Actions, Claims, Etc</w:t>
      </w:r>
      <w:r>
        <w:rPr>
          <w:rFonts w:ascii="Arial" w:cs="Arial" w:eastAsia="Arial" w:hAnsi="Arial"/>
          <w:sz w:val="20"/>
          <w:szCs w:val="20"/>
          <w:b w:val="1"/>
          <w:bCs w:val="1"/>
          <w:color w:val="auto"/>
        </w:rPr>
        <w:t xml:space="preserve">. </w:t>
      </w:r>
      <w:r>
        <w:rPr>
          <w:rFonts w:ascii="Arial" w:cs="Arial" w:eastAsia="Arial" w:hAnsi="Arial"/>
          <w:sz w:val="20"/>
          <w:szCs w:val="20"/>
          <w:color w:val="auto"/>
        </w:rPr>
        <w:t>As of the date hereof, each of the Loan Parties hereby acknowledges and confirms that it has no</w:t>
      </w:r>
      <w:r>
        <w:rPr>
          <w:rFonts w:ascii="Arial" w:cs="Arial" w:eastAsia="Arial" w:hAnsi="Arial"/>
          <w:sz w:val="20"/>
          <w:szCs w:val="20"/>
          <w:b w:val="1"/>
          <w:bCs w:val="1"/>
          <w:color w:val="auto"/>
        </w:rPr>
        <w:t xml:space="preserve"> </w:t>
      </w:r>
      <w:r>
        <w:rPr>
          <w:rFonts w:ascii="Arial" w:cs="Arial" w:eastAsia="Arial" w:hAnsi="Arial"/>
          <w:sz w:val="20"/>
          <w:szCs w:val="20"/>
          <w:color w:val="auto"/>
        </w:rPr>
        <w:t>knowledge of any actions, causes of action, claims, demands, damages and liabilities of whatever kind or nature, in law or in equity, against the Administrative Agent, the Lenders, or the Administrative Agent’s or the Lenders’ respective officers, employees, representatives, agents, counsel or directors arising from any action by such Persons, or failure of such Persons to act under the Credit Agreement on or prior to the date hereof.</w:t>
      </w:r>
    </w:p>
    <w:p>
      <w:pPr>
        <w:spacing w:after="0" w:line="211" w:lineRule="exact"/>
        <w:rPr>
          <w:rFonts w:ascii="Arial" w:cs="Arial" w:eastAsia="Arial" w:hAnsi="Arial"/>
          <w:sz w:val="20"/>
          <w:szCs w:val="20"/>
          <w:b w:val="1"/>
          <w:bCs w:val="1"/>
          <w:color w:val="auto"/>
        </w:rPr>
      </w:pPr>
    </w:p>
    <w:p>
      <w:pPr>
        <w:ind w:right="100" w:firstLine="644"/>
        <w:spacing w:after="0" w:line="267" w:lineRule="auto"/>
        <w:tabs>
          <w:tab w:leader="none" w:pos="1177"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 THIS AMENDMENT SHALL BE GOVERNED BY, AND SHALL BE CONSTRUED AND ENFORCED IN ACCORDANCE WITH THE LAWS OF THE STATE OF NEW YORK.</w:t>
      </w:r>
    </w:p>
    <w:p>
      <w:pPr>
        <w:spacing w:after="0" w:line="190" w:lineRule="exact"/>
        <w:rPr>
          <w:rFonts w:ascii="Arial" w:cs="Arial" w:eastAsia="Arial" w:hAnsi="Arial"/>
          <w:sz w:val="20"/>
          <w:szCs w:val="20"/>
          <w:b w:val="1"/>
          <w:bCs w:val="1"/>
          <w:color w:val="auto"/>
        </w:rPr>
      </w:pPr>
    </w:p>
    <w:p>
      <w:pPr>
        <w:ind w:right="120" w:firstLine="644"/>
        <w:spacing w:after="0" w:line="267" w:lineRule="auto"/>
        <w:tabs>
          <w:tab w:leader="none" w:pos="1182"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Successors and Assigns</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shall be binding upon and inure to the benefit of the parties hereto and their</w:t>
      </w:r>
      <w:r>
        <w:rPr>
          <w:rFonts w:ascii="Arial" w:cs="Arial" w:eastAsia="Arial" w:hAnsi="Arial"/>
          <w:sz w:val="20"/>
          <w:szCs w:val="20"/>
          <w:b w:val="1"/>
          <w:bCs w:val="1"/>
          <w:color w:val="auto"/>
        </w:rPr>
        <w:t xml:space="preserve"> </w:t>
      </w:r>
      <w:r>
        <w:rPr>
          <w:rFonts w:ascii="Arial" w:cs="Arial" w:eastAsia="Arial" w:hAnsi="Arial"/>
          <w:sz w:val="20"/>
          <w:szCs w:val="20"/>
          <w:color w:val="auto"/>
        </w:rPr>
        <w:t>respective successors and assigns.</w:t>
      </w:r>
    </w:p>
    <w:p>
      <w:pPr>
        <w:spacing w:after="0" w:line="203" w:lineRule="exact"/>
        <w:rPr>
          <w:rFonts w:ascii="Arial" w:cs="Arial" w:eastAsia="Arial" w:hAnsi="Arial"/>
          <w:sz w:val="20"/>
          <w:szCs w:val="20"/>
          <w:b w:val="1"/>
          <w:bCs w:val="1"/>
          <w:color w:val="auto"/>
        </w:rPr>
      </w:pPr>
    </w:p>
    <w:p>
      <w:pPr>
        <w:jc w:val="both"/>
        <w:ind w:right="100" w:firstLine="644"/>
        <w:spacing w:after="0" w:line="273" w:lineRule="auto"/>
        <w:tabs>
          <w:tab w:leader="none" w:pos="1188"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Administrative Agent’s willingness to enter into this Amendment,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each Loan Party hereby releases and forever discharges the Administrative Agent, the L/C Issuer, the Lenders and the Administrative Agent’s, the L/C Issuer’s and each Lender’s respective present, former, and future predecessors, successors, assigns, officers, managers, directors, employees, agents, attorneys, representatives, and affiliates (hereinafter all of the above collectively referred to as the “</w:t>
      </w:r>
      <w:r>
        <w:rPr>
          <w:rFonts w:ascii="Arial" w:cs="Arial" w:eastAsia="Arial" w:hAnsi="Arial"/>
          <w:sz w:val="18"/>
          <w:szCs w:val="18"/>
          <w:u w:val="single" w:color="auto"/>
          <w:color w:val="auto"/>
        </w:rPr>
        <w:t>Bank Group</w:t>
      </w:r>
      <w:r>
        <w:rPr>
          <w:rFonts w:ascii="Arial" w:cs="Arial" w:eastAsia="Arial" w:hAnsi="Arial"/>
          <w:sz w:val="18"/>
          <w:szCs w:val="18"/>
          <w:color w:val="auto"/>
        </w:rPr>
        <w:t>”), from any and all claims, counterclaims, demands, damages, debts, suits, liabilities, actions and causes of action of any nature whatsoever, including, without limitation, all claims, demands, and causes of action for contribution and indemnity, whether arising at law or in equity, whether known or unknown, whether liability be direct or indirect, liquidated or unliquidated, whether absolute or contingent, foreseen or unforeseen, and whether or not heretofore asserted, which any Loan Party may have or claim to have against any of the Bank Group in any way related to or connected with the Loan Documents and the transactions contemplated thereby.</w:t>
      </w:r>
    </w:p>
    <w:p>
      <w:pPr>
        <w:spacing w:after="0" w:line="189" w:lineRule="exact"/>
        <w:rPr>
          <w:rFonts w:ascii="Arial" w:cs="Arial" w:eastAsia="Arial" w:hAnsi="Arial"/>
          <w:sz w:val="18"/>
          <w:szCs w:val="18"/>
          <w:b w:val="1"/>
          <w:bCs w:val="1"/>
          <w:color w:val="auto"/>
        </w:rPr>
      </w:pPr>
    </w:p>
    <w:p>
      <w:pPr>
        <w:ind w:right="120" w:firstLine="644"/>
        <w:spacing w:after="0" w:line="267" w:lineRule="auto"/>
        <w:tabs>
          <w:tab w:leader="none" w:pos="1185"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Consent to Jurisdiction; Service of Process; Waiver of Jury Trial</w:t>
      </w:r>
      <w:r>
        <w:rPr>
          <w:rFonts w:ascii="Arial" w:cs="Arial" w:eastAsia="Arial" w:hAnsi="Arial"/>
          <w:sz w:val="20"/>
          <w:szCs w:val="20"/>
          <w:b w:val="1"/>
          <w:bCs w:val="1"/>
          <w:color w:val="auto"/>
        </w:rPr>
        <w:t xml:space="preserve">. </w:t>
      </w:r>
      <w:r>
        <w:rPr>
          <w:rFonts w:ascii="Arial" w:cs="Arial" w:eastAsia="Arial" w:hAnsi="Arial"/>
          <w:sz w:val="20"/>
          <w:szCs w:val="20"/>
          <w:color w:val="auto"/>
        </w:rPr>
        <w:t>The jurisdiction, service of process and waiver of jury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trial provisions set forth in </w:t>
      </w:r>
      <w:r>
        <w:rPr>
          <w:rFonts w:ascii="Arial" w:cs="Arial" w:eastAsia="Arial" w:hAnsi="Arial"/>
          <w:sz w:val="20"/>
          <w:szCs w:val="20"/>
          <w:u w:val="single" w:color="auto"/>
          <w:color w:val="auto"/>
        </w:rPr>
        <w:t>Sections 10.14 and 10.15</w:t>
      </w:r>
      <w:r>
        <w:rPr>
          <w:rFonts w:ascii="Arial" w:cs="Arial" w:eastAsia="Arial" w:hAnsi="Arial"/>
          <w:sz w:val="20"/>
          <w:szCs w:val="20"/>
          <w:color w:val="auto"/>
        </w:rPr>
        <w:t xml:space="preserve"> of the Credit</w:t>
      </w:r>
    </w:p>
    <w:p>
      <w:pPr>
        <w:sectPr>
          <w:pgSz w:w="11900" w:h="16838" w:orient="portrait"/>
          <w:cols w:equalWidth="0" w:num="1">
            <w:col w:w="11120"/>
          </w:cols>
          <w:pgMar w:left="440" w:top="122"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Agreement are hereby incorporated by reference,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200" w:lineRule="exact"/>
        <w:rPr>
          <w:sz w:val="20"/>
          <w:szCs w:val="20"/>
          <w:color w:val="auto"/>
        </w:rPr>
      </w:pPr>
    </w:p>
    <w:p>
      <w:pPr>
        <w:spacing w:after="0" w:line="280" w:lineRule="exact"/>
        <w:rPr>
          <w:sz w:val="20"/>
          <w:szCs w:val="20"/>
          <w:color w:val="auto"/>
        </w:rPr>
      </w:pPr>
    </w:p>
    <w:p>
      <w:pPr>
        <w:ind w:left="1540"/>
        <w:spacing w:after="0"/>
        <w:rPr>
          <w:sz w:val="20"/>
          <w:szCs w:val="20"/>
          <w:color w:val="auto"/>
        </w:rPr>
      </w:pPr>
      <w:r>
        <w:rPr>
          <w:rFonts w:ascii="Arial" w:cs="Arial" w:eastAsia="Arial" w:hAnsi="Arial"/>
          <w:sz w:val="20"/>
          <w:szCs w:val="20"/>
          <w:b w:val="1"/>
          <w:bCs w:val="1"/>
          <w:color w:val="auto"/>
        </w:rPr>
        <w:t>[REMAINDER OF PAGE INTENTIONALLY LEFT BLANK]</w:t>
      </w:r>
    </w:p>
    <w:p>
      <w:pPr>
        <w:sectPr>
          <w:pgSz w:w="11900" w:h="16838" w:orient="portrait"/>
          <w:cols w:equalWidth="0" w:num="1">
            <w:col w:w="11140"/>
          </w:cols>
          <w:pgMar w:left="420" w:top="122"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to be duly executed as of the date first above written.</w:t>
      </w:r>
    </w:p>
    <w:p>
      <w:pPr>
        <w:spacing w:after="0" w:line="266" w:lineRule="exact"/>
        <w:rPr>
          <w:sz w:val="20"/>
          <w:szCs w:val="20"/>
          <w:color w:val="auto"/>
        </w:rPr>
      </w:pPr>
    </w:p>
    <w:p>
      <w:pPr>
        <w:ind w:left="4260"/>
        <w:spacing w:after="0"/>
        <w:rPr>
          <w:sz w:val="20"/>
          <w:szCs w:val="20"/>
          <w:color w:val="auto"/>
        </w:rPr>
      </w:pPr>
      <w:r>
        <w:rPr>
          <w:rFonts w:ascii="Arial" w:cs="Arial" w:eastAsia="Arial" w:hAnsi="Arial"/>
          <w:sz w:val="20"/>
          <w:szCs w:val="20"/>
          <w:b w:val="1"/>
          <w:bCs w:val="1"/>
          <w:u w:val="single" w:color="auto"/>
          <w:color w:val="auto"/>
        </w:rPr>
        <w:t>BORROWER</w:t>
      </w:r>
      <w:r>
        <w:rPr>
          <w:rFonts w:ascii="Arial" w:cs="Arial" w:eastAsia="Arial" w:hAnsi="Arial"/>
          <w:sz w:val="20"/>
          <w:szCs w:val="20"/>
          <w:b w:val="1"/>
          <w:bCs w:val="1"/>
          <w:color w:val="auto"/>
        </w:rPr>
        <w:t>:</w:t>
      </w:r>
    </w:p>
    <w:p>
      <w:pPr>
        <w:spacing w:after="0" w:line="337"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MISTRAS GROUP, INC.</w:t>
      </w:r>
      <w:r>
        <w:rPr>
          <w:rFonts w:ascii="Arial" w:cs="Arial" w:eastAsia="Arial" w:hAnsi="Arial"/>
          <w:sz w:val="20"/>
          <w:szCs w:val="20"/>
          <w:color w:val="auto"/>
        </w:rPr>
        <w:t>, as Borrower</w:t>
      </w:r>
    </w:p>
    <w:p>
      <w:pPr>
        <w:spacing w:after="0" w:line="200" w:lineRule="exact"/>
        <w:rPr>
          <w:sz w:val="20"/>
          <w:szCs w:val="20"/>
          <w:color w:val="auto"/>
        </w:rPr>
      </w:pPr>
    </w:p>
    <w:p>
      <w:pPr>
        <w:spacing w:after="0" w:line="267" w:lineRule="exact"/>
        <w:rPr>
          <w:sz w:val="20"/>
          <w:szCs w:val="20"/>
          <w:color w:val="auto"/>
        </w:rPr>
      </w:pPr>
    </w:p>
    <w:tbl>
      <w:tblPr>
        <w:tblLayout w:type="fixed"/>
        <w:tblInd w:w="324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20"/>
                <w:szCs w:val="20"/>
                <w:color w:val="auto"/>
                <w:w w:val="96"/>
              </w:rPr>
              <w:t>By:</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40" w:type="dxa"/>
            <w:vAlign w:val="bottom"/>
            <w:gridSpan w:val="3"/>
          </w:tcPr>
          <w:p>
            <w:pPr>
              <w:ind w:left="60"/>
              <w:spacing w:after="0"/>
              <w:rPr>
                <w:sz w:val="20"/>
                <w:szCs w:val="20"/>
                <w:color w:val="auto"/>
              </w:rPr>
            </w:pPr>
            <w:r>
              <w:rPr>
                <w:rFonts w:ascii="Arial" w:cs="Arial" w:eastAsia="Arial" w:hAnsi="Arial"/>
                <w:sz w:val="20"/>
                <w:szCs w:val="20"/>
                <w:color w:val="auto"/>
              </w:rPr>
              <w:t>Edward J. Prajzner</w:t>
            </w:r>
          </w:p>
        </w:tc>
      </w:tr>
      <w:tr>
        <w:trPr>
          <w:trHeight w:val="254"/>
        </w:trPr>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40" w:type="dxa"/>
            <w:vAlign w:val="bottom"/>
            <w:gridSpan w:val="4"/>
          </w:tcPr>
          <w:p>
            <w:pPr>
              <w:ind w:left="180"/>
              <w:spacing w:after="0"/>
              <w:rPr>
                <w:sz w:val="20"/>
                <w:szCs w:val="20"/>
                <w:color w:val="auto"/>
              </w:rPr>
            </w:pPr>
            <w:r>
              <w:rPr>
                <w:rFonts w:ascii="Arial" w:cs="Arial" w:eastAsia="Arial" w:hAnsi="Arial"/>
                <w:sz w:val="20"/>
                <w:szCs w:val="20"/>
                <w:color w:val="auto"/>
                <w:w w:val="89"/>
              </w:rPr>
              <w:t>Executive Vice President, Chief Financial Officer and Treasurer</w:t>
            </w:r>
          </w:p>
        </w:tc>
      </w:tr>
      <w:tr>
        <w:trPr>
          <w:trHeight w:val="428"/>
        </w:trPr>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20" w:type="dxa"/>
            <w:vAlign w:val="bottom"/>
            <w:gridSpan w:val="2"/>
          </w:tcPr>
          <w:p>
            <w:pPr>
              <w:jc w:val="center"/>
              <w:ind w:right="3340"/>
              <w:spacing w:after="0"/>
              <w:rPr>
                <w:sz w:val="20"/>
                <w:szCs w:val="20"/>
                <w:color w:val="auto"/>
              </w:rPr>
            </w:pPr>
            <w:r>
              <w:rPr>
                <w:rFonts w:ascii="Arial" w:cs="Arial" w:eastAsia="Arial" w:hAnsi="Arial"/>
                <w:sz w:val="20"/>
                <w:szCs w:val="20"/>
                <w:b w:val="1"/>
                <w:bCs w:val="1"/>
                <w:color w:val="auto"/>
                <w:w w:val="98"/>
              </w:rPr>
              <w:t>GUARANTORS:</w:t>
            </w:r>
          </w:p>
        </w:tc>
      </w:tr>
      <w:tr>
        <w:trPr>
          <w:trHeight w:val="20"/>
        </w:trPr>
        <w:tc>
          <w:tcPr>
            <w:tcW w:w="900" w:type="dxa"/>
            <w:vAlign w:val="bottom"/>
            <w:gridSpan w:val="4"/>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571"/>
        </w:trPr>
        <w:tc>
          <w:tcPr>
            <w:tcW w:w="5720" w:type="dxa"/>
            <w:vAlign w:val="bottom"/>
            <w:gridSpan w:val="6"/>
          </w:tcPr>
          <w:p>
            <w:pPr>
              <w:spacing w:after="0"/>
              <w:rPr>
                <w:sz w:val="20"/>
                <w:szCs w:val="20"/>
                <w:color w:val="auto"/>
              </w:rPr>
            </w:pPr>
            <w:r>
              <w:rPr>
                <w:rFonts w:ascii="Arial" w:cs="Arial" w:eastAsia="Arial" w:hAnsi="Arial"/>
                <w:sz w:val="20"/>
                <w:szCs w:val="20"/>
                <w:b w:val="1"/>
                <w:bCs w:val="1"/>
                <w:color w:val="auto"/>
              </w:rPr>
              <w:t>QUALITY SERVICES LABORATORIES, INC.</w:t>
            </w:r>
            <w:r>
              <w:rPr>
                <w:rFonts w:ascii="Arial" w:cs="Arial" w:eastAsia="Arial" w:hAnsi="Arial"/>
                <w:sz w:val="20"/>
                <w:szCs w:val="20"/>
                <w:color w:val="auto"/>
              </w:rPr>
              <w:t>, a</w:t>
            </w:r>
          </w:p>
        </w:tc>
      </w:tr>
      <w:tr>
        <w:trPr>
          <w:trHeight w:val="250"/>
        </w:trPr>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40" w:type="dxa"/>
            <w:vAlign w:val="bottom"/>
            <w:gridSpan w:val="3"/>
          </w:tcPr>
          <w:p>
            <w:pPr>
              <w:jc w:val="center"/>
              <w:ind w:right="3120"/>
              <w:spacing w:after="0"/>
              <w:rPr>
                <w:sz w:val="20"/>
                <w:szCs w:val="20"/>
                <w:color w:val="auto"/>
              </w:rPr>
            </w:pPr>
            <w:r>
              <w:rPr>
                <w:rFonts w:ascii="Arial" w:cs="Arial" w:eastAsia="Arial" w:hAnsi="Arial"/>
                <w:sz w:val="20"/>
                <w:szCs w:val="20"/>
                <w:color w:val="auto"/>
                <w:w w:val="90"/>
              </w:rPr>
              <w:t>Delaware corporation</w:t>
            </w:r>
          </w:p>
        </w:tc>
      </w:tr>
      <w:tr>
        <w:trPr>
          <w:trHeight w:val="684"/>
        </w:trPr>
        <w:tc>
          <w:tcPr>
            <w:tcW w:w="300" w:type="dxa"/>
            <w:vAlign w:val="bottom"/>
          </w:tcPr>
          <w:p>
            <w:pPr>
              <w:spacing w:after="0"/>
              <w:rPr>
                <w:sz w:val="20"/>
                <w:szCs w:val="20"/>
                <w:color w:val="auto"/>
              </w:rPr>
            </w:pPr>
            <w:r>
              <w:rPr>
                <w:rFonts w:ascii="Arial" w:cs="Arial" w:eastAsia="Arial" w:hAnsi="Arial"/>
                <w:sz w:val="20"/>
                <w:szCs w:val="20"/>
                <w:color w:val="auto"/>
                <w:w w:val="96"/>
              </w:rPr>
              <w:t>By:</w:t>
            </w: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40" w:type="dxa"/>
            <w:vAlign w:val="bottom"/>
            <w:gridSpan w:val="3"/>
          </w:tcPr>
          <w:p>
            <w:pPr>
              <w:ind w:left="60"/>
              <w:spacing w:after="0"/>
              <w:rPr>
                <w:sz w:val="20"/>
                <w:szCs w:val="20"/>
                <w:color w:val="auto"/>
              </w:rPr>
            </w:pPr>
            <w:r>
              <w:rPr>
                <w:rFonts w:ascii="Arial" w:cs="Arial" w:eastAsia="Arial" w:hAnsi="Arial"/>
                <w:sz w:val="20"/>
                <w:szCs w:val="20"/>
                <w:color w:val="auto"/>
              </w:rPr>
              <w:t>Edward J. Prajzner</w:t>
            </w:r>
          </w:p>
        </w:tc>
      </w:tr>
      <w:tr>
        <w:trPr>
          <w:trHeight w:val="254"/>
        </w:trPr>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40" w:type="dxa"/>
            <w:vAlign w:val="bottom"/>
            <w:gridSpan w:val="4"/>
          </w:tcPr>
          <w:p>
            <w:pPr>
              <w:ind w:left="180"/>
              <w:spacing w:after="0"/>
              <w:rPr>
                <w:sz w:val="20"/>
                <w:szCs w:val="20"/>
                <w:color w:val="auto"/>
              </w:rPr>
            </w:pPr>
            <w:r>
              <w:rPr>
                <w:rFonts w:ascii="Arial" w:cs="Arial" w:eastAsia="Arial" w:hAnsi="Arial"/>
                <w:sz w:val="20"/>
                <w:szCs w:val="20"/>
                <w:color w:val="auto"/>
              </w:rPr>
              <w:t>Vice President and Treasurer</w:t>
            </w:r>
          </w:p>
        </w:tc>
      </w:tr>
    </w:tbl>
    <w:p>
      <w:pPr>
        <w:spacing w:after="0" w:line="200" w:lineRule="exact"/>
        <w:rPr>
          <w:sz w:val="20"/>
          <w:szCs w:val="20"/>
          <w:color w:val="auto"/>
        </w:rPr>
      </w:pPr>
    </w:p>
    <w:p>
      <w:pPr>
        <w:spacing w:after="0" w:line="246"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MISTRAS INTERNATIONAL HOLDINGS INC., a</w:t>
      </w:r>
    </w:p>
    <w:p>
      <w:pPr>
        <w:spacing w:after="0" w:line="22"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Delaware corporation</w:t>
      </w:r>
    </w:p>
    <w:p>
      <w:pPr>
        <w:spacing w:after="0" w:line="200" w:lineRule="exact"/>
        <w:rPr>
          <w:sz w:val="20"/>
          <w:szCs w:val="20"/>
          <w:color w:val="auto"/>
        </w:rPr>
      </w:pPr>
    </w:p>
    <w:p>
      <w:pPr>
        <w:spacing w:after="0" w:line="245" w:lineRule="exact"/>
        <w:rPr>
          <w:sz w:val="20"/>
          <w:szCs w:val="20"/>
          <w:color w:val="auto"/>
        </w:rPr>
      </w:pPr>
    </w:p>
    <w:tbl>
      <w:tblPr>
        <w:tblLayout w:type="fixed"/>
        <w:tblInd w:w="324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20"/>
                <w:szCs w:val="20"/>
                <w:color w:val="auto"/>
                <w:w w:val="96"/>
              </w:rPr>
              <w:t>By:</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60" w:type="dxa"/>
            <w:vAlign w:val="bottom"/>
          </w:tcPr>
          <w:p>
            <w:pPr>
              <w:ind w:left="60"/>
              <w:spacing w:after="0"/>
              <w:rPr>
                <w:sz w:val="20"/>
                <w:szCs w:val="20"/>
                <w:color w:val="auto"/>
              </w:rPr>
            </w:pPr>
            <w:r>
              <w:rPr>
                <w:rFonts w:ascii="Arial" w:cs="Arial" w:eastAsia="Arial" w:hAnsi="Arial"/>
                <w:sz w:val="20"/>
                <w:szCs w:val="20"/>
                <w:color w:val="auto"/>
              </w:rPr>
              <w:t>Edward J. Prajzner</w:t>
            </w:r>
          </w:p>
        </w:tc>
      </w:tr>
      <w:tr>
        <w:trPr>
          <w:trHeight w:val="254"/>
        </w:trPr>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60" w:type="dxa"/>
            <w:vAlign w:val="bottom"/>
            <w:gridSpan w:val="2"/>
          </w:tcPr>
          <w:p>
            <w:pPr>
              <w:ind w:left="180"/>
              <w:spacing w:after="0"/>
              <w:rPr>
                <w:sz w:val="20"/>
                <w:szCs w:val="20"/>
                <w:color w:val="auto"/>
              </w:rPr>
            </w:pPr>
            <w:r>
              <w:rPr>
                <w:rFonts w:ascii="Arial" w:cs="Arial" w:eastAsia="Arial" w:hAnsi="Arial"/>
                <w:sz w:val="20"/>
                <w:szCs w:val="20"/>
                <w:color w:val="auto"/>
                <w:w w:val="86"/>
              </w:rPr>
              <w:t>Vice President and Treasurer</w:t>
            </w:r>
          </w:p>
        </w:tc>
      </w:tr>
    </w:tbl>
    <w:p>
      <w:pPr>
        <w:spacing w:after="0" w:line="200" w:lineRule="exact"/>
        <w:rPr>
          <w:sz w:val="20"/>
          <w:szCs w:val="20"/>
          <w:color w:val="auto"/>
        </w:rPr>
      </w:pPr>
    </w:p>
    <w:p>
      <w:pPr>
        <w:spacing w:after="0" w:line="259" w:lineRule="exact"/>
        <w:rPr>
          <w:sz w:val="20"/>
          <w:szCs w:val="20"/>
          <w:color w:val="auto"/>
        </w:rPr>
      </w:pPr>
    </w:p>
    <w:p>
      <w:pPr>
        <w:ind w:left="3240"/>
        <w:spacing w:after="0"/>
        <w:tabs>
          <w:tab w:leader="none" w:pos="4000" w:val="left"/>
          <w:tab w:leader="none" w:pos="4720" w:val="left"/>
          <w:tab w:leader="none" w:pos="6860" w:val="left"/>
        </w:tabs>
        <w:rPr>
          <w:sz w:val="20"/>
          <w:szCs w:val="20"/>
          <w:color w:val="auto"/>
        </w:rPr>
      </w:pPr>
      <w:r>
        <w:rPr>
          <w:rFonts w:ascii="Arial" w:cs="Arial" w:eastAsia="Arial" w:hAnsi="Arial"/>
          <w:sz w:val="20"/>
          <w:szCs w:val="20"/>
          <w:b w:val="1"/>
          <w:bCs w:val="1"/>
          <w:color w:val="auto"/>
        </w:rPr>
        <w:t>WEST</w:t>
        <w:tab/>
        <w:t>PENN</w:t>
        <w:tab/>
        <w:t>NON-DESTRUCTIVE</w:t>
      </w:r>
      <w:r>
        <w:rPr>
          <w:sz w:val="20"/>
          <w:szCs w:val="20"/>
          <w:color w:val="auto"/>
        </w:rPr>
        <w:tab/>
      </w:r>
      <w:r>
        <w:rPr>
          <w:rFonts w:ascii="Arial" w:cs="Arial" w:eastAsia="Arial" w:hAnsi="Arial"/>
          <w:sz w:val="19"/>
          <w:szCs w:val="19"/>
          <w:b w:val="1"/>
          <w:bCs w:val="1"/>
          <w:color w:val="auto"/>
        </w:rPr>
        <w:t>TESTING,</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LLC</w:t>
      </w:r>
      <w:r>
        <w:rPr>
          <w:rFonts w:ascii="Arial" w:cs="Arial" w:eastAsia="Arial" w:hAnsi="Arial"/>
          <w:sz w:val="20"/>
          <w:szCs w:val="20"/>
          <w:color w:val="auto"/>
        </w:rPr>
        <w:t>, a Pennsylvania limited liability company</w:t>
      </w:r>
    </w:p>
    <w:p>
      <w:pPr>
        <w:spacing w:after="0" w:line="200" w:lineRule="exact"/>
        <w:rPr>
          <w:sz w:val="20"/>
          <w:szCs w:val="20"/>
          <w:color w:val="auto"/>
        </w:rPr>
      </w:pPr>
    </w:p>
    <w:p>
      <w:pPr>
        <w:spacing w:after="0" w:line="245" w:lineRule="exact"/>
        <w:rPr>
          <w:sz w:val="20"/>
          <w:szCs w:val="20"/>
          <w:color w:val="auto"/>
        </w:rPr>
      </w:pPr>
    </w:p>
    <w:tbl>
      <w:tblPr>
        <w:tblLayout w:type="fixed"/>
        <w:tblInd w:w="324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20"/>
                <w:szCs w:val="20"/>
                <w:color w:val="auto"/>
                <w:w w:val="96"/>
              </w:rPr>
              <w:t>By:</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60" w:type="dxa"/>
            <w:vAlign w:val="bottom"/>
          </w:tcPr>
          <w:p>
            <w:pPr>
              <w:ind w:left="60"/>
              <w:spacing w:after="0"/>
              <w:rPr>
                <w:sz w:val="20"/>
                <w:szCs w:val="20"/>
                <w:color w:val="auto"/>
              </w:rPr>
            </w:pPr>
            <w:r>
              <w:rPr>
                <w:rFonts w:ascii="Arial" w:cs="Arial" w:eastAsia="Arial" w:hAnsi="Arial"/>
                <w:sz w:val="20"/>
                <w:szCs w:val="20"/>
                <w:color w:val="auto"/>
              </w:rPr>
              <w:t>Edward J. Prajzner</w:t>
            </w:r>
          </w:p>
        </w:tc>
      </w:tr>
      <w:tr>
        <w:trPr>
          <w:trHeight w:val="254"/>
        </w:trPr>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60" w:type="dxa"/>
            <w:vAlign w:val="bottom"/>
            <w:gridSpan w:val="2"/>
          </w:tcPr>
          <w:p>
            <w:pPr>
              <w:ind w:left="180"/>
              <w:spacing w:after="0"/>
              <w:rPr>
                <w:sz w:val="20"/>
                <w:szCs w:val="20"/>
                <w:color w:val="auto"/>
              </w:rPr>
            </w:pPr>
            <w:r>
              <w:rPr>
                <w:rFonts w:ascii="Arial" w:cs="Arial" w:eastAsia="Arial" w:hAnsi="Arial"/>
                <w:sz w:val="20"/>
                <w:szCs w:val="20"/>
                <w:color w:val="auto"/>
                <w:w w:val="86"/>
              </w:rPr>
              <w:t>Vice President and Treasurer</w:t>
            </w:r>
          </w:p>
        </w:tc>
      </w:tr>
    </w:tbl>
    <w:p>
      <w:pPr>
        <w:spacing w:after="0" w:line="216"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[SIGNATURES CONTINUE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339725</wp:posOffset>
            </wp:positionV>
            <wp:extent cx="3943350" cy="111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43350" cy="111125"/>
                    </a:xfrm>
                    <a:prstGeom prst="rect">
                      <a:avLst/>
                    </a:prstGeom>
                    <a:noFill/>
                  </pic:spPr>
                </pic:pic>
              </a:graphicData>
            </a:graphic>
          </wp:anchor>
        </w:drawing>
      </w:r>
    </w:p>
    <w:p>
      <w:pPr>
        <w:sectPr>
          <w:pgSz w:w="11900" w:h="16838" w:orient="portrait"/>
          <w:cols w:equalWidth="0" w:num="1">
            <w:col w:w="10500"/>
          </w:cols>
          <w:pgMar w:left="1060" w:top="122"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2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as Administrative Agent</w:t>
      </w:r>
    </w:p>
    <w:p>
      <w:pPr>
        <w:spacing w:after="0" w:line="249"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-14605</wp:posOffset>
            </wp:positionV>
            <wp:extent cx="1257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Name:</w:t>
      </w:r>
    </w:p>
    <w:p>
      <w:pPr>
        <w:ind w:left="2720"/>
        <w:spacing w:after="0"/>
        <w:rPr>
          <w:sz w:val="20"/>
          <w:szCs w:val="20"/>
          <w:color w:val="auto"/>
        </w:rPr>
      </w:pPr>
      <w:r>
        <w:rPr>
          <w:rFonts w:ascii="Arial" w:cs="Arial" w:eastAsia="Arial" w:hAnsi="Arial"/>
          <w:sz w:val="20"/>
          <w:szCs w:val="20"/>
          <w:color w:val="auto"/>
        </w:rPr>
        <w:t>Title:</w:t>
      </w:r>
    </w:p>
    <w:p>
      <w:pPr>
        <w:spacing w:after="0" w:line="221"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auto"/>
        </w:rPr>
        <w:t>BANK OF AMERICA, N.A., as a Lender and as the L/C Issuer</w:t>
      </w:r>
    </w:p>
    <w:p>
      <w:pPr>
        <w:spacing w:after="0" w:line="249"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-14605</wp:posOffset>
            </wp:positionV>
            <wp:extent cx="1257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21" w:lineRule="exact"/>
        <w:rPr>
          <w:sz w:val="20"/>
          <w:szCs w:val="20"/>
          <w:color w:val="auto"/>
        </w:rPr>
      </w:pPr>
    </w:p>
    <w:p>
      <w:pPr>
        <w:ind w:left="2520"/>
        <w:spacing w:after="0"/>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 as a Lender</w:t>
      </w:r>
    </w:p>
    <w:p>
      <w:pPr>
        <w:spacing w:after="0" w:line="249" w:lineRule="exact"/>
        <w:rPr>
          <w:sz w:val="20"/>
          <w:szCs w:val="20"/>
          <w:color w:val="auto"/>
        </w:rPr>
      </w:pPr>
    </w:p>
    <w:p>
      <w:pPr>
        <w:ind w:left="2520"/>
        <w:spacing w:after="0"/>
        <w:tabs>
          <w:tab w:leader="none" w:pos="3040" w:val="left"/>
        </w:tabs>
        <w:rPr>
          <w:sz w:val="20"/>
          <w:szCs w:val="20"/>
          <w:color w:val="auto"/>
        </w:rPr>
      </w:pPr>
      <w:r>
        <w:rPr>
          <w:rFonts w:ascii="Arial" w:cs="Arial" w:eastAsia="Arial" w:hAnsi="Arial"/>
          <w:sz w:val="20"/>
          <w:szCs w:val="20"/>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-14605</wp:posOffset>
            </wp:positionV>
            <wp:extent cx="1257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60"/>
        <w:spacing w:after="0"/>
        <w:rPr>
          <w:sz w:val="20"/>
          <w:szCs w:val="20"/>
          <w:color w:val="auto"/>
        </w:rPr>
      </w:pPr>
      <w:r>
        <w:rPr>
          <w:rFonts w:ascii="Arial" w:cs="Arial" w:eastAsia="Arial" w:hAnsi="Arial"/>
          <w:sz w:val="20"/>
          <w:szCs w:val="20"/>
          <w:color w:val="auto"/>
        </w:rPr>
        <w:t>Title:</w:t>
      </w:r>
    </w:p>
    <w:p>
      <w:pPr>
        <w:spacing w:after="0" w:line="221" w:lineRule="exact"/>
        <w:rPr>
          <w:sz w:val="20"/>
          <w:szCs w:val="20"/>
          <w:color w:val="auto"/>
        </w:rPr>
      </w:pPr>
    </w:p>
    <w:p>
      <w:pPr>
        <w:ind w:left="2520"/>
        <w:spacing w:after="0"/>
        <w:tabs>
          <w:tab w:leader="none" w:pos="3700" w:val="left"/>
          <w:tab w:leader="none" w:pos="4940" w:val="left"/>
          <w:tab w:leader="none" w:pos="6540" w:val="left"/>
          <w:tab w:leader="none" w:pos="6920" w:val="left"/>
        </w:tabs>
        <w:rPr>
          <w:sz w:val="20"/>
          <w:szCs w:val="20"/>
          <w:color w:val="auto"/>
        </w:rPr>
      </w:pPr>
      <w:r>
        <w:rPr>
          <w:rFonts w:ascii="Arial" w:cs="Arial" w:eastAsia="Arial" w:hAnsi="Arial"/>
          <w:sz w:val="20"/>
          <w:szCs w:val="20"/>
          <w:b w:val="1"/>
          <w:bCs w:val="1"/>
          <w:color w:val="auto"/>
        </w:rPr>
        <w:t>KEYBANK</w:t>
        <w:tab/>
        <w:t>NATIONAL</w:t>
        <w:tab/>
        <w:t>ASSOCIATION</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as</w:t>
      </w:r>
      <w:r>
        <w:rPr>
          <w:sz w:val="20"/>
          <w:szCs w:val="20"/>
          <w:color w:val="auto"/>
        </w:rPr>
        <w:tab/>
      </w:r>
      <w:r>
        <w:rPr>
          <w:rFonts w:ascii="Arial" w:cs="Arial" w:eastAsia="Arial" w:hAnsi="Arial"/>
          <w:sz w:val="14"/>
          <w:szCs w:val="14"/>
          <w:color w:val="auto"/>
        </w:rPr>
        <w:t>a</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Lender</w:t>
      </w:r>
    </w:p>
    <w:p>
      <w:pPr>
        <w:spacing w:after="0" w:line="227"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-14605</wp:posOffset>
            </wp:positionV>
            <wp:extent cx="1257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Name:</w:t>
      </w:r>
    </w:p>
    <w:p>
      <w:pPr>
        <w:ind w:left="4300"/>
        <w:spacing w:after="0"/>
        <w:rPr>
          <w:sz w:val="20"/>
          <w:szCs w:val="20"/>
          <w:color w:val="auto"/>
        </w:rPr>
      </w:pPr>
      <w:r>
        <w:rPr>
          <w:rFonts w:ascii="Arial" w:cs="Arial" w:eastAsia="Arial" w:hAnsi="Arial"/>
          <w:sz w:val="20"/>
          <w:szCs w:val="20"/>
          <w:color w:val="auto"/>
        </w:rPr>
        <w:t>Title:</w:t>
      </w:r>
    </w:p>
    <w:p>
      <w:pPr>
        <w:spacing w:after="0" w:line="221" w:lineRule="exact"/>
        <w:rPr>
          <w:sz w:val="20"/>
          <w:szCs w:val="20"/>
          <w:color w:val="auto"/>
        </w:rPr>
      </w:pPr>
    </w:p>
    <w:p>
      <w:pPr>
        <w:ind w:left="2520"/>
        <w:spacing w:after="0"/>
        <w:tabs>
          <w:tab w:leader="none" w:pos="3400" w:val="left"/>
          <w:tab w:leader="none" w:pos="4300" w:val="left"/>
          <w:tab w:leader="none" w:pos="5120" w:val="left"/>
        </w:tabs>
        <w:rPr>
          <w:sz w:val="20"/>
          <w:szCs w:val="20"/>
          <w:color w:val="auto"/>
        </w:rPr>
      </w:pPr>
      <w:r>
        <w:rPr>
          <w:rFonts w:ascii="Arial" w:cs="Arial" w:eastAsia="Arial" w:hAnsi="Arial"/>
          <w:sz w:val="20"/>
          <w:szCs w:val="20"/>
          <w:b w:val="1"/>
          <w:bCs w:val="1"/>
          <w:color w:val="auto"/>
        </w:rPr>
        <w:t>WELLS</w:t>
        <w:tab/>
        <w:t>FARGO</w:t>
        <w:tab/>
        <w:t>BANK,</w:t>
        <w:tab/>
        <w:t>NATIONAL</w:t>
      </w:r>
    </w:p>
    <w:p>
      <w:pPr>
        <w:spacing w:after="0" w:line="22" w:lineRule="exact"/>
        <w:rPr>
          <w:sz w:val="20"/>
          <w:szCs w:val="20"/>
          <w:color w:val="auto"/>
        </w:rPr>
      </w:pPr>
    </w:p>
    <w:p>
      <w:pPr>
        <w:ind w:left="2520"/>
        <w:spacing w:after="0"/>
        <w:rPr>
          <w:sz w:val="20"/>
          <w:szCs w:val="20"/>
          <w:color w:val="auto"/>
        </w:rPr>
      </w:pPr>
      <w:r>
        <w:rPr>
          <w:rFonts w:ascii="Arial" w:cs="Arial" w:eastAsia="Arial" w:hAnsi="Arial"/>
          <w:sz w:val="20"/>
          <w:szCs w:val="20"/>
          <w:b w:val="1"/>
          <w:bCs w:val="1"/>
          <w:color w:val="auto"/>
        </w:rPr>
        <w:t>ASSOCIATION</w:t>
      </w:r>
      <w:r>
        <w:rPr>
          <w:rFonts w:ascii="Arial" w:cs="Arial" w:eastAsia="Arial" w:hAnsi="Arial"/>
          <w:sz w:val="20"/>
          <w:szCs w:val="20"/>
          <w:color w:val="auto"/>
        </w:rPr>
        <w:t>, as a Lender</w:t>
      </w:r>
    </w:p>
    <w:p>
      <w:pPr>
        <w:spacing w:after="0" w:line="200" w:lineRule="exact"/>
        <w:rPr>
          <w:sz w:val="20"/>
          <w:szCs w:val="20"/>
          <w:color w:val="auto"/>
        </w:rPr>
      </w:pPr>
    </w:p>
    <w:p>
      <w:pPr>
        <w:spacing w:after="0" w:line="270"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-14605</wp:posOffset>
            </wp:positionV>
            <wp:extent cx="1257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Name:</w:t>
      </w:r>
    </w:p>
    <w:p>
      <w:pPr>
        <w:ind w:left="4300"/>
        <w:spacing w:after="0"/>
        <w:rPr>
          <w:sz w:val="20"/>
          <w:szCs w:val="20"/>
          <w:color w:val="auto"/>
        </w:rPr>
      </w:pPr>
      <w:r>
        <w:rPr>
          <w:rFonts w:ascii="Arial" w:cs="Arial" w:eastAsia="Arial" w:hAnsi="Arial"/>
          <w:sz w:val="20"/>
          <w:szCs w:val="20"/>
          <w:color w:val="auto"/>
        </w:rPr>
        <w:t>Title:</w:t>
      </w:r>
    </w:p>
    <w:p>
      <w:pPr>
        <w:spacing w:after="0" w:line="221" w:lineRule="exact"/>
        <w:rPr>
          <w:sz w:val="20"/>
          <w:szCs w:val="20"/>
          <w:color w:val="auto"/>
        </w:rPr>
      </w:pPr>
    </w:p>
    <w:p>
      <w:pPr>
        <w:ind w:left="2520"/>
        <w:spacing w:after="0"/>
        <w:rPr>
          <w:sz w:val="20"/>
          <w:szCs w:val="20"/>
          <w:color w:val="auto"/>
        </w:rPr>
      </w:pPr>
      <w:r>
        <w:rPr>
          <w:rFonts w:ascii="Arial" w:cs="Arial" w:eastAsia="Arial" w:hAnsi="Arial"/>
          <w:sz w:val="20"/>
          <w:szCs w:val="20"/>
          <w:b w:val="1"/>
          <w:bCs w:val="1"/>
          <w:color w:val="auto"/>
        </w:rPr>
        <w:t>TD BANK, NATIONAL ASSOCIATION</w:t>
      </w:r>
      <w:r>
        <w:rPr>
          <w:rFonts w:ascii="Arial" w:cs="Arial" w:eastAsia="Arial" w:hAnsi="Arial"/>
          <w:sz w:val="20"/>
          <w:szCs w:val="20"/>
          <w:color w:val="auto"/>
        </w:rPr>
        <w:t>, as a Lender</w:t>
      </w:r>
    </w:p>
    <w:p>
      <w:pPr>
        <w:spacing w:after="0" w:line="249" w:lineRule="exact"/>
        <w:rPr>
          <w:sz w:val="20"/>
          <w:szCs w:val="20"/>
          <w:color w:val="auto"/>
        </w:rPr>
      </w:pPr>
    </w:p>
    <w:p>
      <w:pPr>
        <w:ind w:left="2520"/>
        <w:spacing w:after="0"/>
        <w:tabs>
          <w:tab w:leader="none" w:pos="3040" w:val="left"/>
        </w:tabs>
        <w:rPr>
          <w:sz w:val="20"/>
          <w:szCs w:val="20"/>
          <w:color w:val="auto"/>
        </w:rPr>
      </w:pPr>
      <w:r>
        <w:rPr>
          <w:rFonts w:ascii="Arial" w:cs="Arial" w:eastAsia="Arial" w:hAnsi="Arial"/>
          <w:sz w:val="20"/>
          <w:szCs w:val="20"/>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-14605</wp:posOffset>
            </wp:positionV>
            <wp:extent cx="1257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43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120"/>
          </w:cols>
          <w:pgMar w:left="1440" w:top="122"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Dennis Bertolotti, certify that:</w:t>
      </w:r>
    </w:p>
    <w:p>
      <w:pPr>
        <w:spacing w:after="0" w:line="90"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34"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ind w:left="1300" w:right="460" w:hanging="644"/>
        <w:spacing w:after="0" w:line="342" w:lineRule="auto"/>
        <w:tabs>
          <w:tab w:leader="none" w:pos="129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May 06, 2021</w:t>
      </w:r>
    </w:p>
    <w:p>
      <w:pPr>
        <w:spacing w:after="0" w:line="14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575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Dennis Bertolotti</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8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Edward J. Prajzner, certify that:</w:t>
      </w:r>
    </w:p>
    <w:p>
      <w:pPr>
        <w:spacing w:after="0" w:line="90"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34"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ind w:left="1300" w:right="460" w:hanging="644"/>
        <w:spacing w:after="0" w:line="342" w:lineRule="auto"/>
        <w:tabs>
          <w:tab w:leader="none" w:pos="129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May 06, 2021</w:t>
      </w:r>
    </w:p>
    <w:p>
      <w:pPr>
        <w:spacing w:after="0" w:line="14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8404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Edward J. Prajzner</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98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March 31, 2021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Dated: May 06, 2021</w:t>
      </w:r>
    </w:p>
    <w:p>
      <w:pPr>
        <w:spacing w:after="0" w:line="29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37973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Dennis Bertolotti</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37973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Edward J. Prajzner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lvl w:ilvl="1">
      <w:lvlJc w:val="left"/>
      <w:lvlText w:val="%2."/>
      <w:numFmt w:val="lowerLetter"/>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lowerRoman"/>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1"/>
      <w:numFmt w:val="lowerLetter"/>
      <w:start w:val="1"/>
    </w:lvl>
    <w:lvl w:ilvl="1">
      <w:lvlJc w:val="left"/>
      <w:lvlText w:val="%2."/>
      <w:numFmt w:val="lowerLetter"/>
      <w:start w:val="1"/>
    </w:lvl>
  </w:abstractNum>
  <w:abstractNum w:abstractNumId="12">
    <w:nsid w:val="75A2A8D4"/>
    <w:multiLevelType w:val="hybridMultilevel"/>
    <w:lvl w:ilvl="0">
      <w:lvlJc w:val="left"/>
      <w:lvlText w:val="(%1)"/>
      <w:numFmt w:val="lowerLetter"/>
      <w:start w:val="1"/>
    </w:lvl>
    <w:lvl w:ilvl="1">
      <w:lvlJc w:val="left"/>
      <w:lvlText w:val="%2."/>
      <w:numFmt w:val="lowerLetter"/>
      <w:start w:val="2"/>
    </w:lvl>
  </w:abstractNum>
  <w:abstractNum w:abstractNumId="13">
    <w:nsid w:val="8EDBDAB"/>
    <w:multiLevelType w:val="hybridMultilevel"/>
    <w:lvl w:ilvl="0">
      <w:lvlJc w:val="left"/>
      <w:lvlText w:val="(%1)"/>
      <w:numFmt w:val="lowerRoman"/>
      <w:start w:val="1"/>
    </w:lvl>
  </w:abstractNum>
  <w:abstractNum w:abstractNumId="14">
    <w:nsid w:val="79838CB2"/>
    <w:multiLevelType w:val="hybridMultilevel"/>
    <w:lvl w:ilvl="0">
      <w:lvlJc w:val="left"/>
      <w:lvlText w:val="%1."/>
      <w:numFmt w:val="lowerRoman"/>
      <w:start w:val="1"/>
    </w:lvl>
  </w:abstractNum>
  <w:abstractNum w:abstractNumId="15">
    <w:nsid w:val="4353D0CD"/>
    <w:multiLevelType w:val="hybridMultilevel"/>
    <w:lvl w:ilvl="0">
      <w:lvlJc w:val="left"/>
      <w:lvlText w:val="(%1)"/>
      <w:numFmt w:val="lowerRoman"/>
      <w:start w:val="3"/>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lowerRoman"/>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lowerLetter"/>
      <w:start w:val="2"/>
    </w:lvl>
  </w:abstractNum>
  <w:abstractNum w:abstractNumId="20">
    <w:nsid w:val="2CA88611"/>
    <w:multiLevelType w:val="hybridMultilevel"/>
    <w:lvl w:ilvl="0">
      <w:lvlJc w:val="left"/>
      <w:lvlText w:val="%1."/>
      <w:numFmt w:val="lowerRoman"/>
      <w:start w:val="1"/>
    </w:lvl>
  </w:abstractNum>
  <w:abstractNum w:abstractNumId="21">
    <w:nsid w:val="836C40E"/>
    <w:multiLevelType w:val="hybridMultilevel"/>
    <w:lvl w:ilvl="0">
      <w:lvlJc w:val="left"/>
      <w:lvlText w:val="%1"/>
      <w:numFmt w:val="lowerRoman"/>
      <w:start w:val="1"/>
    </w:lvl>
    <w:lvl w:ilvl="1">
      <w:lvlJc w:val="left"/>
      <w:lvlText w:val="(%2)"/>
      <w:numFmt w:val="lowerLetter"/>
      <w:start w:val="9"/>
    </w:lvl>
    <w:lvl w:ilvl="2">
      <w:lvlJc w:val="left"/>
      <w:lvlText w:val="%3"/>
      <w:numFmt w:val="lowerLetter"/>
      <w:start w:val="1"/>
    </w:lvl>
  </w:abstractNum>
  <w:abstractNum w:abstractNumId="22">
    <w:nsid w:val="2901D82"/>
    <w:multiLevelType w:val="hybridMultilevel"/>
    <w:lvl w:ilvl="0">
      <w:lvlJc w:val="left"/>
      <w:lvlText w:val="(%1)"/>
      <w:numFmt w:val="lowerRoman"/>
      <w:start w:val="1"/>
    </w:lvl>
    <w:lvl w:ilvl="1">
      <w:lvlJc w:val="left"/>
      <w:lvlText w:val="(%2)"/>
      <w:numFmt w:val="lowerLetter"/>
      <w:start w:val="35"/>
    </w:lvl>
    <w:lvl w:ilvl="2">
      <w:lvlJc w:val="left"/>
      <w:lvlText w:val="(%3)"/>
      <w:numFmt w:val="lowerLetter"/>
      <w:start w:val="1"/>
    </w:lvl>
  </w:abstractNum>
  <w:abstractNum w:abstractNumId="23">
    <w:nsid w:val="3A95F874"/>
    <w:multiLevelType w:val="hybridMultilevel"/>
    <w:lvl w:ilvl="0">
      <w:lvlJc w:val="left"/>
      <w:lvlText w:val="%1."/>
      <w:numFmt w:val="lowerLetter"/>
      <w:start w:val="2"/>
    </w:lvl>
  </w:abstractNum>
  <w:abstractNum w:abstractNumId="24">
    <w:nsid w:val="8138641"/>
    <w:multiLevelType w:val="hybridMultilevel"/>
    <w:lvl w:ilvl="0">
      <w:lvlJc w:val="left"/>
      <w:lvlText w:val="(%1)"/>
      <w:numFmt w:val="lowerLetter"/>
      <w:start w:val="24"/>
    </w:lvl>
  </w:abstractNum>
  <w:abstractNum w:abstractNumId="25">
    <w:nsid w:val="1E7FF521"/>
    <w:multiLevelType w:val="hybridMultilevel"/>
    <w:lvl w:ilvl="0">
      <w:lvlJc w:val="left"/>
      <w:lvlText w:val="%1"/>
      <w:numFmt w:val="lowerLetter"/>
      <w:start w:val="1"/>
    </w:lvl>
    <w:lvl w:ilvl="1">
      <w:lvlJc w:val="left"/>
      <w:lvlText w:val="(%2)"/>
      <w:numFmt w:val="lowerLetter"/>
      <w:start w:val="5"/>
    </w:lvl>
  </w:abstractNum>
  <w:abstractNum w:abstractNumId="26">
    <w:nsid w:val="7C3DBD3D"/>
    <w:multiLevelType w:val="hybridMultilevel"/>
    <w:lvl w:ilvl="0">
      <w:lvlJc w:val="left"/>
      <w:lvlText w:val="(%1)"/>
      <w:numFmt w:val="lowerLetter"/>
      <w:start w:val="9"/>
    </w:lvl>
    <w:lvl w:ilvl="1">
      <w:lvlJc w:val="left"/>
      <w:lvlText w:val="%2"/>
      <w:numFmt w:val="lowerLetter"/>
      <w:start w:val="1"/>
    </w:lvl>
  </w:abstractNum>
  <w:abstractNum w:abstractNumId="27">
    <w:nsid w:val="737B8DDC"/>
    <w:multiLevelType w:val="hybridMultilevel"/>
    <w:lvl w:ilvl="0">
      <w:lvlJc w:val="left"/>
      <w:lvlText w:val="%1."/>
      <w:numFmt w:val="lowerLetter"/>
      <w:start w:val="1"/>
    </w:lvl>
    <w:lvl w:ilvl="1">
      <w:lvlJc w:val="left"/>
      <w:lvlText w:val="%2."/>
      <w:numFmt w:val="lowerRoman"/>
      <w:start w:val="1"/>
    </w:lvl>
  </w:abstractNum>
  <w:abstractNum w:abstractNumId="28">
    <w:nsid w:val="6CEAF087"/>
    <w:multiLevelType w:val="hybridMultilevel"/>
    <w:lvl w:ilvl="0">
      <w:lvlJc w:val="left"/>
      <w:lvlText w:val="%1."/>
      <w:numFmt w:val="lowerRoman"/>
      <w:start w:val="3"/>
    </w:lvl>
  </w:abstractNum>
  <w:abstractNum w:abstractNumId="29">
    <w:nsid w:val="22221A70"/>
    <w:multiLevelType w:val="hybridMultilevel"/>
    <w:lvl w:ilvl="0">
      <w:lvlJc w:val="left"/>
      <w:lvlText w:val="%1."/>
      <w:numFmt w:val="lowerRoman"/>
      <w:start w:val="4"/>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2021-05-07T05:40:15Z</dcterms:created>
  <dcterms:modified xsi:type="dcterms:W3CDTF">2021-05-07T05:40:15Z</dcterms:modified>
</cp:coreProperties>
</file>