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191135</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47625</wp:posOffset>
            </wp:positionV>
            <wp:extent cx="31629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181" w:lineRule="exact"/>
        <w:rPr>
          <w:sz w:val="24"/>
          <w:szCs w:val="24"/>
          <w:color w:val="auto"/>
        </w:rPr>
      </w:pPr>
    </w:p>
    <w:tbl>
      <w:tblPr>
        <w:tblLayout w:type="fixed"/>
        <w:tblInd w:w="3440" w:type="dxa"/>
        <w:tblCellMar>
          <w:top w:w="0" w:type="dxa"/>
          <w:left w:w="0" w:type="dxa"/>
          <w:bottom w:w="0" w:type="dxa"/>
          <w:right w:w="0" w:type="dxa"/>
        </w:tblCellMar>
      </w:tblPr>
      <w:tr>
        <w:trPr>
          <w:trHeight w:val="238"/>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196"/>
        </w:trPr>
        <w:tc>
          <w:tcPr>
            <w:tcW w:w="2960" w:type="dxa"/>
            <w:vAlign w:val="bottom"/>
          </w:tcPr>
          <w:p>
            <w:pPr>
              <w:jc w:val="center"/>
              <w:ind w:righ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460" w:type="dxa"/>
            <w:vAlign w:val="bottom"/>
          </w:tcPr>
          <w:p>
            <w:pPr>
              <w:jc w:val="center"/>
              <w:ind w:lef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8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1460" w:type="dxa"/>
            <w:vAlign w:val="bottom"/>
          </w:tcPr>
          <w:p>
            <w:pPr>
              <w:spacing w:after="0"/>
              <w:rPr>
                <w:sz w:val="24"/>
                <w:szCs w:val="24"/>
                <w:color w:val="auto"/>
              </w:rPr>
            </w:pPr>
          </w:p>
        </w:tc>
      </w:tr>
      <w:tr>
        <w:trPr>
          <w:trHeight w:val="250"/>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716-4000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4"/>
          <w:szCs w:val="24"/>
          <w:color w:val="auto"/>
        </w:rPr>
      </w:pP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56"/>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2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8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MG</w:t>
            </w:r>
          </w:p>
        </w:tc>
        <w:tc>
          <w:tcPr>
            <w:tcW w:w="8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36"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189"/>
        </w:trPr>
        <w:tc>
          <w:tcPr>
            <w:tcW w:w="1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340"/>
              <w:spacing w:after="0" w:line="189" w:lineRule="exact"/>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line="189" w:lineRule="exact"/>
              <w:rPr>
                <w:sz w:val="20"/>
                <w:szCs w:val="20"/>
                <w:color w:val="auto"/>
              </w:rPr>
            </w:pPr>
            <w:r>
              <w:rPr>
                <w:rFonts w:ascii="Wingdings" w:cs="Wingdings" w:eastAsia="Wingdings" w:hAnsi="Wingdings"/>
                <w:sz w:val="18"/>
                <w:szCs w:val="18"/>
                <w:b w:val="1"/>
                <w:bCs w:val="1"/>
                <w:color w:val="auto"/>
                <w:w w:val="83"/>
              </w:rPr>
              <w:t>x</w:t>
            </w: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225" w:right="339" w:bottom="231"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3, 2025, the registrant had 31,548,153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231"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410845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9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7520" w:type="dxa"/>
            <w:vAlign w:val="bottom"/>
            <w:gridSpan w:val="15"/>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1"/>
            <w:vMerge w:val="continue"/>
          </w:tcPr>
          <w:p>
            <w:pPr>
              <w:spacing w:after="0"/>
              <w:rPr>
                <w:sz w:val="14"/>
                <w:szCs w:val="14"/>
                <w:color w:val="auto"/>
              </w:rPr>
            </w:pPr>
          </w:p>
        </w:tc>
        <w:tc>
          <w:tcPr>
            <w:tcW w:w="7520" w:type="dxa"/>
            <w:vAlign w:val="bottom"/>
            <w:gridSpan w:val="15"/>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Unaudited Condensed Consolidated Balance Sheets as of September 30, 2025 and December 31, 2024</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8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Income for the three and nine months ended September 30, 2025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20" w:type="dxa"/>
            <w:vAlign w:val="bottom"/>
            <w:tcBorders>
              <w:top w:val="single" w:sz="8" w:color="0E32E1"/>
            </w:tcBorders>
            <w:gridSpan w:val="19"/>
          </w:tcPr>
          <w:p>
            <w:pPr>
              <w:spacing w:after="0" w:line="142" w:lineRule="exact"/>
              <w:rPr>
                <w:sz w:val="20"/>
                <w:szCs w:val="20"/>
                <w:color w:val="auto"/>
              </w:rPr>
            </w:pPr>
            <w:r>
              <w:rPr>
                <w:rFonts w:ascii="Times New Roman" w:cs="Times New Roman" w:eastAsia="Times New Roman" w:hAnsi="Times New Roman"/>
                <w:sz w:val="16"/>
                <w:szCs w:val="16"/>
                <w:color w:val="0E32E1"/>
              </w:rPr>
              <w:t>September 30, 2024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Comprehensive Income for the three and nine months ended September</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20" w:type="dxa"/>
            <w:vAlign w:val="bottom"/>
            <w:tcBorders>
              <w:top w:val="single" w:sz="8" w:color="0E32E1"/>
            </w:tcBorders>
            <w:gridSpan w:val="20"/>
          </w:tcPr>
          <w:p>
            <w:pPr>
              <w:spacing w:after="0" w:line="142" w:lineRule="exact"/>
              <w:rPr>
                <w:sz w:val="20"/>
                <w:szCs w:val="20"/>
                <w:color w:val="auto"/>
              </w:rPr>
            </w:pPr>
            <w:r>
              <w:rPr>
                <w:rFonts w:ascii="Times New Roman" w:cs="Times New Roman" w:eastAsia="Times New Roman" w:hAnsi="Times New Roman"/>
                <w:sz w:val="16"/>
                <w:szCs w:val="16"/>
                <w:color w:val="0E32E1"/>
              </w:rPr>
              <w:t>30, 2025 and September 30, 2024</w:t>
            </w:r>
          </w:p>
        </w:tc>
        <w:tc>
          <w:tcPr>
            <w:tcW w:w="8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Equity for the three and nine months ended September 30, 2025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560" w:type="dxa"/>
            <w:vAlign w:val="bottom"/>
            <w:tcBorders>
              <w:top w:val="single" w:sz="8" w:color="0E32E1"/>
            </w:tcBorders>
            <w:gridSpan w:val="18"/>
          </w:tcPr>
          <w:p>
            <w:pPr>
              <w:spacing w:after="0" w:line="142" w:lineRule="exact"/>
              <w:rPr>
                <w:sz w:val="20"/>
                <w:szCs w:val="20"/>
                <w:color w:val="auto"/>
              </w:rPr>
            </w:pPr>
            <w:r>
              <w:rPr>
                <w:rFonts w:ascii="Times New Roman" w:cs="Times New Roman" w:eastAsia="Times New Roman" w:hAnsi="Times New Roman"/>
                <w:sz w:val="16"/>
                <w:szCs w:val="16"/>
                <w:color w:val="0E32E1"/>
              </w:rPr>
              <w:t>September 30, 2024</w:t>
            </w:r>
          </w:p>
        </w:tc>
        <w:tc>
          <w:tcPr>
            <w:tcW w:w="340" w:type="dxa"/>
            <w:vAlign w:val="bottom"/>
            <w:gridSpan w:val="3"/>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Cash Flows for the nine months ended September 30, 2025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E32E1"/>
            </w:tcBorders>
            <w:gridSpan w:val="9"/>
          </w:tcPr>
          <w:p>
            <w:pPr>
              <w:spacing w:after="0" w:line="142" w:lineRule="exact"/>
              <w:rPr>
                <w:sz w:val="20"/>
                <w:szCs w:val="20"/>
                <w:color w:val="auto"/>
              </w:rPr>
            </w:pPr>
            <w:r>
              <w:rPr>
                <w:rFonts w:ascii="Times New Roman" w:cs="Times New Roman" w:eastAsia="Times New Roman" w:hAnsi="Times New Roman"/>
                <w:sz w:val="16"/>
                <w:szCs w:val="16"/>
                <w:color w:val="0E32E1"/>
              </w:rPr>
              <w:t>September 30, 2024</w:t>
            </w:r>
          </w:p>
        </w:tc>
        <w:tc>
          <w:tcPr>
            <w:tcW w:w="6460" w:type="dxa"/>
            <w:vAlign w:val="bottom"/>
            <w:tcBorders>
              <w:top w:val="single" w:sz="8" w:color="0E32E1"/>
            </w:tcBorders>
            <w:gridSpan w:val="8"/>
          </w:tcPr>
          <w:p>
            <w:pPr>
              <w:spacing w:after="0"/>
              <w:rPr>
                <w:sz w:val="13"/>
                <w:szCs w:val="13"/>
                <w:color w:val="auto"/>
              </w:rPr>
            </w:pPr>
          </w:p>
        </w:tc>
        <w:tc>
          <w:tcPr>
            <w:tcW w:w="680" w:type="dxa"/>
            <w:vAlign w:val="bottom"/>
            <w:gridSpan w:val="4"/>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E32E1"/>
          </w:tcPr>
          <w:p>
            <w:pPr>
              <w:spacing w:after="0"/>
              <w:rPr>
                <w:sz w:val="2"/>
                <w:szCs w:val="2"/>
                <w:color w:val="auto"/>
              </w:rPr>
            </w:pPr>
          </w:p>
        </w:tc>
        <w:tc>
          <w:tcPr>
            <w:tcW w:w="300" w:type="dxa"/>
            <w:vAlign w:val="bottom"/>
            <w:shd w:val="clear" w:color="auto" w:fill="0E32E1"/>
          </w:tcPr>
          <w:p>
            <w:pPr>
              <w:spacing w:after="0"/>
              <w:rPr>
                <w:sz w:val="2"/>
                <w:szCs w:val="2"/>
                <w:color w:val="auto"/>
              </w:rPr>
            </w:pPr>
          </w:p>
        </w:tc>
        <w:tc>
          <w:tcPr>
            <w:tcW w:w="160" w:type="dxa"/>
            <w:vAlign w:val="bottom"/>
            <w:shd w:val="clear" w:color="auto" w:fill="0E32E1"/>
          </w:tcPr>
          <w:p>
            <w:pPr>
              <w:spacing w:after="0"/>
              <w:rPr>
                <w:sz w:val="2"/>
                <w:szCs w:val="2"/>
                <w:color w:val="auto"/>
              </w:rPr>
            </w:pPr>
          </w:p>
        </w:tc>
        <w:tc>
          <w:tcPr>
            <w:tcW w:w="260" w:type="dxa"/>
            <w:vAlign w:val="bottom"/>
            <w:shd w:val="clear" w:color="auto" w:fill="0E32E1"/>
          </w:tcPr>
          <w:p>
            <w:pPr>
              <w:spacing w:after="0"/>
              <w:rPr>
                <w:sz w:val="2"/>
                <w:szCs w:val="2"/>
                <w:color w:val="auto"/>
              </w:rPr>
            </w:pPr>
          </w:p>
        </w:tc>
        <w:tc>
          <w:tcPr>
            <w:tcW w:w="20" w:type="dxa"/>
            <w:vAlign w:val="bottom"/>
            <w:shd w:val="clear" w:color="auto" w:fill="0E32E1"/>
          </w:tcPr>
          <w:p>
            <w:pPr>
              <w:spacing w:after="0"/>
              <w:rPr>
                <w:sz w:val="2"/>
                <w:szCs w:val="2"/>
                <w:color w:val="auto"/>
              </w:rPr>
            </w:pPr>
          </w:p>
        </w:tc>
        <w:tc>
          <w:tcPr>
            <w:tcW w:w="420" w:type="dxa"/>
            <w:vAlign w:val="bottom"/>
            <w:gridSpan w:val="4"/>
            <w:shd w:val="clear" w:color="auto" w:fill="0E32E1"/>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40" w:type="dxa"/>
            <w:vAlign w:val="bottom"/>
            <w:gridSpan w:val="6"/>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540" w:type="dxa"/>
            <w:vAlign w:val="bottom"/>
            <w:gridSpan w:val="2"/>
          </w:tcPr>
          <w:p>
            <w:pPr>
              <w:spacing w:after="0"/>
              <w:rPr>
                <w:sz w:val="24"/>
                <w:szCs w:val="24"/>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540" w:type="dxa"/>
            <w:vAlign w:val="bottom"/>
            <w:gridSpan w:val="2"/>
          </w:tcPr>
          <w:p>
            <w:pPr>
              <w:spacing w:after="0"/>
              <w:rPr>
                <w:sz w:val="24"/>
                <w:szCs w:val="24"/>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1.</w:t>
            </w:r>
          </w:p>
        </w:tc>
        <w:tc>
          <w:tcPr>
            <w:tcW w:w="540" w:type="dxa"/>
            <w:vAlign w:val="bottom"/>
            <w:gridSpan w:val="2"/>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560" w:type="dxa"/>
            <w:vAlign w:val="bottom"/>
            <w:gridSpan w:val="16"/>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3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56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65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4.</w:t>
            </w:r>
          </w:p>
        </w:tc>
        <w:tc>
          <w:tcPr>
            <w:tcW w:w="540" w:type="dxa"/>
            <w:vAlign w:val="bottom"/>
            <w:gridSpan w:val="2"/>
          </w:tcPr>
          <w:p>
            <w:pPr>
              <w:spacing w:after="0"/>
              <w:rPr>
                <w:sz w:val="24"/>
                <w:szCs w:val="24"/>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8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5.</w:t>
            </w:r>
          </w:p>
        </w:tc>
        <w:tc>
          <w:tcPr>
            <w:tcW w:w="540" w:type="dxa"/>
            <w:vAlign w:val="bottom"/>
            <w:gridSpan w:val="2"/>
          </w:tcPr>
          <w:p>
            <w:pPr>
              <w:spacing w:after="0"/>
              <w:rPr>
                <w:sz w:val="24"/>
                <w:szCs w:val="24"/>
                <w:color w:val="auto"/>
              </w:rPr>
            </w:pP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5"/>
          </w:tcPr>
          <w:p>
            <w:pPr>
              <w:spacing w:after="0"/>
              <w:rPr>
                <w:sz w:val="24"/>
                <w:szCs w:val="24"/>
                <w:color w:val="auto"/>
              </w:rPr>
            </w:pPr>
          </w:p>
        </w:tc>
        <w:tc>
          <w:tcPr>
            <w:tcW w:w="714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58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w:t>
            </w:r>
          </w:p>
        </w:tc>
        <w:tc>
          <w:tcPr>
            <w:tcW w:w="540" w:type="dxa"/>
            <w:vAlign w:val="bottom"/>
            <w:gridSpan w:val="2"/>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3"/>
          </w:tcPr>
          <w:p>
            <w:pPr>
              <w:spacing w:after="0"/>
              <w:rPr>
                <w:sz w:val="24"/>
                <w:szCs w:val="24"/>
                <w:color w:val="auto"/>
              </w:rPr>
            </w:pPr>
          </w:p>
        </w:tc>
        <w:tc>
          <w:tcPr>
            <w:tcW w:w="7580" w:type="dxa"/>
            <w:vAlign w:val="bottom"/>
            <w:gridSpan w:val="1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172,470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80,892</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42,259</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158,056</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324,143</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1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200,000,000 shares authorized, 31,548,153 and 31,010,375 shares issued</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250,832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(42,682)</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0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67"/>
        </w:trPr>
        <w:tc>
          <w:tcPr>
            <w:tcW w:w="4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392,956</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146,397</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105,632</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29"/>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w:t>
            </w:r>
          </w:p>
        </w:tc>
      </w:tr>
      <w:tr>
        <w:trPr>
          <w:trHeight w:val="223"/>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w:t>
            </w:r>
          </w:p>
        </w:tc>
      </w:tr>
      <w:tr>
        <w:trPr>
          <w:trHeight w:val="175"/>
        </w:trPr>
        <w:tc>
          <w:tcPr>
            <w:tcW w:w="46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 net</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taxes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Mistras Group, Inc.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13,765</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4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30"/>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30,895</w:t>
            </w:r>
          </w:p>
        </w:tc>
      </w:tr>
      <w:tr>
        <w:trPr>
          <w:trHeight w:val="230"/>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36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4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76"/>
        </w:trPr>
        <w:tc>
          <w:tcPr>
            <w:tcW w:w="4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Foreign currency translation adjustments attributable to</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Mistras Group, Inc.</w:t>
            </w:r>
          </w:p>
        </w:tc>
        <w:tc>
          <w:tcPr>
            <w:tcW w:w="96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2800" w:type="dxa"/>
            <w:vAlign w:val="bottom"/>
          </w:tcPr>
          <w:p>
            <w:pPr>
              <w:spacing w:after="0"/>
              <w:rPr>
                <w:sz w:val="24"/>
                <w:szCs w:val="24"/>
                <w:color w:val="auto"/>
              </w:rPr>
            </w:pPr>
          </w:p>
        </w:tc>
        <w:tc>
          <w:tcPr>
            <w:tcW w:w="166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8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8"/>
                <w:szCs w:val="8"/>
                <w:color w:val="auto"/>
              </w:rPr>
            </w:pPr>
          </w:p>
        </w:tc>
        <w:tc>
          <w:tcPr>
            <w:tcW w:w="8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60" w:type="dxa"/>
            <w:vAlign w:val="bottom"/>
          </w:tcPr>
          <w:p>
            <w:pPr>
              <w:spacing w:after="0"/>
              <w:rPr>
                <w:sz w:val="8"/>
                <w:szCs w:val="8"/>
                <w:color w:val="auto"/>
              </w:rPr>
            </w:pPr>
          </w:p>
        </w:tc>
        <w:tc>
          <w:tcPr>
            <w:tcW w:w="118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Mistras Group,</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Inc.</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Total equity</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earnings (deficit)</w:t>
            </w:r>
          </w:p>
        </w:tc>
        <w:tc>
          <w:tcPr>
            <w:tcW w:w="80" w:type="dxa"/>
            <w:vAlign w:val="bottom"/>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216,175</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13,203</w:t>
            </w:r>
          </w:p>
        </w:tc>
        <w:tc>
          <w:tcPr>
            <w:tcW w:w="0" w:type="dxa"/>
            <w:vAlign w:val="bottom"/>
          </w:tcPr>
          <w:p>
            <w:pPr>
              <w:spacing w:after="0"/>
              <w:rPr>
                <w:sz w:val="1"/>
                <w:szCs w:val="1"/>
                <w:color w:val="auto"/>
              </w:rPr>
            </w:pPr>
          </w:p>
        </w:tc>
      </w:tr>
      <w:tr>
        <w:trPr>
          <w:trHeight w:val="18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0" w:type="dxa"/>
            <w:vAlign w:val="bottom"/>
          </w:tcPr>
          <w:p>
            <w:pPr>
              <w:spacing w:after="0"/>
              <w:rPr>
                <w:sz w:val="1"/>
                <w:szCs w:val="1"/>
                <w:color w:val="auto"/>
              </w:rPr>
            </w:pPr>
          </w:p>
        </w:tc>
      </w:tr>
      <w:tr>
        <w:trPr>
          <w:trHeight w:val="18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9"/>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31,548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255,297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(31,328)</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227,404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227,826</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248,524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(34,181)</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193,150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193,474</w:t>
            </w:r>
          </w:p>
        </w:tc>
        <w:tc>
          <w:tcPr>
            <w:tcW w:w="0" w:type="dxa"/>
            <w:vAlign w:val="bottom"/>
          </w:tcPr>
          <w:p>
            <w:pPr>
              <w:spacing w:after="0"/>
              <w:rPr>
                <w:sz w:val="1"/>
                <w:szCs w:val="1"/>
                <w:color w:val="auto"/>
              </w:rPr>
            </w:pPr>
          </w:p>
        </w:tc>
      </w:tr>
      <w:tr>
        <w:trPr>
          <w:trHeight w:val="18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6,416</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0" w:type="dxa"/>
            <w:vAlign w:val="bottom"/>
          </w:tcPr>
          <w:p>
            <w:pPr>
              <w:spacing w:after="0"/>
              <w:rPr>
                <w:sz w:val="1"/>
                <w:szCs w:val="1"/>
                <w:color w:val="auto"/>
              </w:rPr>
            </w:pPr>
          </w:p>
        </w:tc>
      </w:tr>
      <w:tr>
        <w:trPr>
          <w:trHeight w:val="18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205,543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20955</wp:posOffset>
            </wp:positionV>
            <wp:extent cx="5332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83" w:lineRule="exact"/>
        <w:rPr>
          <w:sz w:val="20"/>
          <w:szCs w:val="20"/>
          <w:color w:val="auto"/>
        </w:rPr>
      </w:pPr>
    </w:p>
    <w:tbl>
      <w:tblPr>
        <w:tblLayout w:type="fixed"/>
        <w:tblInd w:w="2820" w:type="dxa"/>
        <w:tblCellMar>
          <w:top w:w="0" w:type="dxa"/>
          <w:left w:w="0" w:type="dxa"/>
          <w:bottom w:w="0" w:type="dxa"/>
          <w:right w:w="0" w:type="dxa"/>
        </w:tblCellMar>
      </w:tblPr>
      <w:tr>
        <w:trPr>
          <w:trHeight w:val="176"/>
        </w:trPr>
        <w:tc>
          <w:tcPr>
            <w:tcW w:w="15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9"/>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r>
      <w:tr>
        <w:trPr>
          <w:trHeight w:val="183"/>
        </w:trPr>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earnings (deficit)</w:t>
            </w: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00" w:type="dxa"/>
            <w:vAlign w:val="bottom"/>
            <w:gridSpan w:val="2"/>
            <w:vMerge w:val="continue"/>
          </w:tcPr>
          <w:p>
            <w:pPr>
              <w:spacing w:after="0"/>
              <w:rPr>
                <w:sz w:val="10"/>
                <w:szCs w:val="10"/>
                <w:color w:val="auto"/>
              </w:rPr>
            </w:pPr>
          </w:p>
        </w:tc>
        <w:tc>
          <w:tcPr>
            <w:tcW w:w="12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2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rPr>
              <w:t>Inc.</w:t>
            </w:r>
          </w:p>
        </w:tc>
        <w:tc>
          <w:tcPr>
            <w:tcW w:w="12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400" w:space="120"/>
            <w:col w:w="4700"/>
          </w:cols>
          <w:pgMar w:left="320" w:top="118" w:right="359" w:bottom="1440" w:gutter="0" w:footer="0" w:header="0"/>
          <w:type w:val="continuous"/>
        </w:sectPr>
      </w:pP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250,832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198,568</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198,895</w:t>
            </w: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13,161</w:t>
            </w:r>
          </w:p>
        </w:tc>
      </w:tr>
      <w:tr>
        <w:trPr>
          <w:trHeight w:val="18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11,354</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11,227</w:t>
            </w: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6,067</w:t>
            </w:r>
          </w:p>
        </w:tc>
      </w:tr>
      <w:tr>
        <w:trPr>
          <w:trHeight w:val="17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w:t>
            </w:r>
          </w:p>
        </w:tc>
      </w:tr>
      <w:tr>
        <w:trPr>
          <w:trHeight w:val="175"/>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31,548</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255,297</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2,955</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(31,328)</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227,404</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227,826</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27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30,598</w:t>
            </w:r>
          </w:p>
        </w:tc>
        <w:tc>
          <w:tcPr>
            <w:tcW w:w="120" w:type="dxa"/>
            <w:vAlign w:val="bottom"/>
          </w:tcPr>
          <w:p>
            <w:pPr>
              <w:spacing w:after="0"/>
              <w:rPr>
                <w:sz w:val="14"/>
                <w:szCs w:val="14"/>
                <w:color w:val="auto"/>
              </w:rPr>
            </w:pP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247,165</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(28,942)</w:t>
            </w:r>
          </w:p>
        </w:tc>
        <w:tc>
          <w:tcPr>
            <w:tcW w:w="120" w:type="dxa"/>
            <w:vAlign w:val="bottom"/>
          </w:tcPr>
          <w:p>
            <w:pPr>
              <w:spacing w:after="0"/>
              <w:rPr>
                <w:sz w:val="14"/>
                <w:szCs w:val="14"/>
                <w:color w:val="auto"/>
              </w:rPr>
            </w:pP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(28,336)</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190,192</w:t>
            </w:r>
          </w:p>
        </w:tc>
        <w:tc>
          <w:tcPr>
            <w:tcW w:w="120" w:type="dxa"/>
            <w:vAlign w:val="bottom"/>
          </w:tcPr>
          <w:p>
            <w:pPr>
              <w:spacing w:after="0"/>
              <w:rPr>
                <w:sz w:val="14"/>
                <w:szCs w:val="14"/>
                <w:color w:val="auto"/>
              </w:rPr>
            </w:pPr>
          </w:p>
        </w:tc>
        <w:tc>
          <w:tcPr>
            <w:tcW w:w="460" w:type="dxa"/>
            <w:vAlign w:val="bottom"/>
          </w:tcPr>
          <w:p>
            <w:pPr>
              <w:jc w:val="right"/>
              <w:ind w:right="34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tcPr>
          <w:p>
            <w:pPr>
              <w:spacing w:after="0"/>
              <w:rPr>
                <w:sz w:val="14"/>
                <w:szCs w:val="14"/>
                <w:color w:val="auto"/>
              </w:rPr>
            </w:pPr>
          </w:p>
        </w:tc>
        <w:tc>
          <w:tcPr>
            <w:tcW w:w="280" w:type="dxa"/>
            <w:vAlign w:val="bottom"/>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190,503</w:t>
            </w:r>
          </w:p>
        </w:tc>
      </w:tr>
      <w:tr>
        <w:trPr>
          <w:trHeight w:val="18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13,765</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13,793</w:t>
            </w: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w:t>
            </w:r>
          </w:p>
        </w:tc>
      </w:tr>
      <w:tr>
        <w:trPr>
          <w:trHeight w:val="18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4,256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4,256</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4,256</w:t>
            </w:r>
          </w:p>
        </w:tc>
      </w:tr>
      <w:tr>
        <w:trPr>
          <w:trHeight w:val="1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r>
      <w:tr>
        <w:trPr>
          <w:trHeight w:val="200"/>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250,016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205,543</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13,793</w:t>
            </w: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24,726</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 provision for troubled customers, net of recoveries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loss (gain)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 and dispositions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(11,979)</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24,471</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(14,315)</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w:t>
            </w: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(18,964)</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(17,152)</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(6,537)</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revolver</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revolver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(47,701)</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(6,247)</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9,488</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18,317</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17,646</w:t>
            </w:r>
          </w:p>
        </w:tc>
      </w:tr>
      <w:tr>
        <w:trPr>
          <w:trHeight w:val="19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27,805</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20,360</w:t>
            </w:r>
          </w:p>
        </w:tc>
      </w:tr>
      <w:tr>
        <w:trPr>
          <w:trHeight w:val="18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net</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10,070</w:t>
            </w:r>
          </w:p>
        </w:tc>
        <w:tc>
          <w:tcPr>
            <w:tcW w:w="12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12,595</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w:t>
            </w:r>
          </w:p>
        </w:tc>
      </w:tr>
    </w:tbl>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1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global leader in technology-enabled industrial asset integrity solutions, serving critical industries including oil &amp; gas, aerospace &amp; defense, power &amp; utilities, manufacturing, and civil infrastructure.</w:t>
      </w:r>
    </w:p>
    <w:p>
      <w:pPr>
        <w:spacing w:after="0" w:line="18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Company provides a diversified portfolio of products and services, ranging from advanced non-destructive testing ("NDT") and pipeline inspections to real-time condition monitoring, maintenance planning, and specialized engineering, powered by a proprietary management software suite that centralizes</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integrity data for predictive analytics and benchmark analysis. With a long-standing track record of innovation and deep industry expertise, the Company helps clients reduce risk, extend asset life, and optimize operational performance.</w:t>
      </w:r>
    </w:p>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3"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Our segments are as follows:</w:t>
      </w:r>
    </w:p>
    <w:p>
      <w:pPr>
        <w:spacing w:after="0" w:line="250" w:lineRule="exact"/>
        <w:rPr>
          <w:sz w:val="20"/>
          <w:szCs w:val="20"/>
          <w:color w:val="auto"/>
        </w:rPr>
      </w:pPr>
    </w:p>
    <w:p>
      <w:pPr>
        <w:ind w:left="900" w:right="20" w:hanging="244"/>
        <w:spacing w:after="0" w:line="26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40" w:hanging="244"/>
        <w:spacing w:after="0" w:line="267"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60" w:hanging="244"/>
        <w:spacing w:after="0" w:line="284"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to monitor the impact tariffs or trade barriers may have on our business, including recent U.S. tariffs imposed or threatened to be imposed on China, Canada, Mexico and other countries and any retaliatory actions taken by such countries. The tariffs have not had a material effect on our business or results of operations to date in 2025, but could result in additional costs to us and could impact the import of materials by our customers which are inspected by us.</w:t>
      </w:r>
    </w:p>
    <w:p>
      <w:pPr>
        <w:spacing w:after="0" w:line="193"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7"/>
          <w:szCs w:val="17"/>
          <w:color w:val="auto"/>
        </w:rPr>
        <w:t>In the third quarter of 2025, the price of crude oil continued to decline due to multiple macroeconomic and geopolitical forces. The decline in crude oil prices has had an adverse impact on field related services that the Company provides to the oil and gas sector, which could continue if prices remain 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2025 and December 31, 2024.</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for the year ended December 31, 2024 (the "2024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consolidated subsidiaries in which the Company’s ownership interest is less than 100%, the non-controlling interests are reported in stockholders’ equity in the accompanying Unaudited Condensed Consolidated Balance Sheets. The non-controlling interests in net results, net of tax, is classified separately in the accompanying Unaudited Condensed Consolidated Statements of Income. All significant intercompany accounts and transactions have been eliminated in 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The impacts of the reclassifications are shown in the tables below. Any reclassifications not shown below did not have a material effect on the Company's financial condition or results of operations as previously reported.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Classification of Certain Expenses from Selling, General and Administrative Expenses to Cost of Revenue</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Beginning on January 1, 2025, the Company changed the presentation of certain costs on its Unaudited Condensed Consolidated Statements of Income, which include costs incurred at the Company's operational labs as well as the costs for certain personnel that indirectly support the Company’s delivery of services. This voluntary change in classification of certain overhead and personnel costs, which were determined to be directly related to the Company’s delivery of services, resulted in a decrease in selling, general and administrative expenses and an offsetting increase in cost of revenue. The Company believes this presentation is preferable as it will provide greater transparency regarding its cost of revenue and better align with how the business is managed.</w:t>
      </w:r>
    </w:p>
    <w:p>
      <w:pPr>
        <w:spacing w:after="0" w:line="21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This change in classification has been applied retrospectively to all periods presented and affects selling, general and administrative expenses; cost of revenue; and gross profit on the Company's Unaudited Condensed Consolidated Statements of Income. This change in presentation had no impact to revenue, income from operations, income before provision for income taxes, provision for income taxes, net income, earnings per common share, or other components of equity, net assets or cash flows. In addition, selling, general and administrative expenses and other expenses information disclosed in Note 14 Segment Disclosure were adjusted for this change. The impacts of the update to the presentation of certain indirect costs on the Company’s Unaudited Condensed Consolidated Financial Statements for the three and nine months ended September 30, 2024 are reflected below under the "Effect of change" columns</w:t>
      </w:r>
      <w:r>
        <w:rPr>
          <w:rFonts w:ascii="Times New Roman" w:cs="Times New Roman" w:eastAsia="Times New Roman" w:hAnsi="Times New Roman"/>
          <w:sz w:val="19"/>
          <w:szCs w:val="19"/>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940" w:type="dxa"/>
            <w:vAlign w:val="bottom"/>
            <w:gridSpan w:val="6"/>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80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420" w:type="dxa"/>
            <w:vAlign w:val="bottom"/>
          </w:tcPr>
          <w:p>
            <w:pPr>
              <w:spacing w:after="0"/>
              <w:rPr>
                <w:sz w:val="16"/>
                <w:szCs w:val="16"/>
                <w:color w:val="auto"/>
              </w:rPr>
            </w:pPr>
          </w:p>
        </w:tc>
        <w:tc>
          <w:tcPr>
            <w:tcW w:w="18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128,064</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48,905</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r>
      <w:tr>
        <w:trPr>
          <w:trHeight w:val="530"/>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420" w:type="dxa"/>
            <w:vAlign w:val="bottom"/>
          </w:tcPr>
          <w:p>
            <w:pPr>
              <w:spacing w:after="0"/>
              <w:rPr>
                <w:sz w:val="16"/>
                <w:szCs w:val="16"/>
                <w:color w:val="auto"/>
              </w:rPr>
            </w:pPr>
          </w:p>
        </w:tc>
        <w:tc>
          <w:tcPr>
            <w:tcW w:w="18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377,570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392,956</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146,397</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1–</w:t>
      </w:r>
      <w:r>
        <w:rPr>
          <w:rFonts w:ascii="Times New Roman" w:cs="Times New Roman" w:eastAsia="Times New Roman" w:hAnsi="Times New Roman"/>
          <w:sz w:val="18"/>
          <w:szCs w:val="18"/>
          <w:b w:val="1"/>
          <w:bCs w:val="1"/>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2024 Annual Report. On an ongoing basis, the Company evaluates its estimates and assumptions, including among other things, those related to revenue recognition, long-lived assets, goodwill and acquisitions. Since the date of the 2024 Annual Report, there have been no material changes to the Company’s significant accounting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September 30, 2025, management concluded that it is more likely than not that a substantial portion of the Company's deferred tax assets will be realized.</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22.3% and 29.0% for the three months ended September 30, 2025 and 2024, respectively. The Company’s effective income tax rate was approximately 21.9% and 22.1% for the nine months ended September 30, 2025 and 2024, respectively.</w:t>
      </w:r>
    </w:p>
    <w:p>
      <w:pPr>
        <w:spacing w:after="0" w:line="203"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2025, was higher than the statutory rate primarily due to the impact of foreign currency losses. The effective income tax rate for the three months ended September 30, 2024, was higher than the statutory rate primarily due to the impact of an unfavorable discrete item related to stock compensation.</w:t>
      </w:r>
    </w:p>
    <w:p>
      <w:pPr>
        <w:spacing w:after="0" w:line="217"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2025, was higher than the statutory rate primarily due to the impact of foreign currency losses. The effective income tax rate for the nine months ended September 30, 2024, was higher than the statutory rate primarily due to the reversal of valuation allowances.</w:t>
      </w:r>
    </w:p>
    <w:p>
      <w:pPr>
        <w:spacing w:after="0" w:line="21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July 4, 2025, H.R.1, commonly referred to as the One Big Beautiful Bill Act ("OBBBA"), was enacted, which includes a broad range of tax reform provisions. These tax reform provisions include the extension and modification of certain provisions of the Tax Cuts and Jobs Act and is effective for calendar year 2025. The changes include, but are not limited to, immediate expensing of domestic research and development expenditure, the restoration of 100% bonus depreciation, and an EBITDA-based interest expense limitation. These provisions did not have a material impact on the Company’s financial statements for the three or nine months ended September 30,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to enhance the transparency and decision usefulness of income tax disclosures, primarily related to the rate reconciliation and income taxes paid disclosures. The new standard is effective for fiscal years beginning after December 15, 2024. The Company does not expect ASU 2023-09 to have a significant impact on its annual consolidated financial statements and related disclosures.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November 4, 2024, the FASB issued ASU 2024-03, Income Statement - Reporting Comprehensive Income (Topic 220): Expense Disaggregation Disclosures, to require disaggregation of certain expense captions into specified categories in disclosures within the notes of the financial statements. The standard is effective for fiscal years beginning after December 31, 2026 and early adoption is permitted. The guidance is required to be applied prospectively and amendments in the ASU may be applied prospectively or retrospectively. We are currently evaluating the impacts this standard will have on our disclosures.</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March 6, 2024, the SEC adopted the final rule under SEC Release No. 33-11275, The Enhancement and Standardization of Climate-Related Disclosures for Investors, which will require registrants to provide certain climate-related information in their registration statements and periodic reports. The required disclosures will include, but are not limited to, specific disclosures about climate-related risks and their actual or likely material impacts on the registrant’s business, strategy, and outlook; the governance of climate-related risks and relevant risk management processes; Scope 1 and 2 greenhouse gas (GHG) emissions, if material or included in announced emission targets; certain climate-related financial statement metrics and related disclosures in a note to the audited financial statements; and information about climate-related targets and goals. The rules were scheduled to become effective for the Company beginning with the year ended December 31, 2025. However, in response to various legal challenges, the SEC voluntarily stayed the rules on April 4, 2024, and ended its defense of the rules in response to the pending legal challenges. The company continues to monitor any developments regarding these rules and the expected timing for compliance.</w:t>
      </w: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5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materials basis, which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Company's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majority of the Company's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105,669</w:t>
            </w: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w:t>
            </w:r>
          </w:p>
        </w:tc>
      </w:tr>
      <w:tr>
        <w:trPr>
          <w:trHeight w:val="229"/>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w:t>
            </w: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w:t>
            </w: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w:t>
            </w: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r>
      <w:tr>
        <w:trPr>
          <w:trHeight w:val="229"/>
        </w:trPr>
        <w:tc>
          <w:tcPr>
            <w:tcW w:w="20" w:type="dxa"/>
            <w:vAlign w:val="bottom"/>
          </w:tcPr>
          <w:p>
            <w:pPr>
              <w:spacing w:after="0"/>
              <w:rPr>
                <w:sz w:val="19"/>
                <w:szCs w:val="19"/>
                <w:color w:val="auto"/>
              </w:rPr>
            </w:pP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r>
      <w:tr>
        <w:trPr>
          <w:trHeight w:val="248"/>
        </w:trPr>
        <w:tc>
          <w:tcPr>
            <w:tcW w:w="20" w:type="dxa"/>
            <w:vAlign w:val="bottom"/>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6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99,503</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21,886</w:t>
            </w: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w:t>
            </w: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r>
      <w:tr>
        <w:trPr>
          <w:trHeight w:val="230"/>
        </w:trPr>
        <w:tc>
          <w:tcPr>
            <w:tcW w:w="2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43"/>
        </w:trPr>
        <w:tc>
          <w:tcPr>
            <w:tcW w:w="20" w:type="dxa"/>
            <w:vAlign w:val="bottom"/>
            <w:shd w:val="clear" w:color="auto" w:fill="CCEEFF"/>
          </w:tcPr>
          <w:p>
            <w:pPr>
              <w:spacing w:after="0"/>
              <w:rPr>
                <w:sz w:val="21"/>
                <w:szCs w:val="21"/>
                <w:color w:val="auto"/>
              </w:rPr>
            </w:pPr>
          </w:p>
        </w:tc>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305,049</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68,613</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25,850</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(12,613)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w:t>
            </w: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321,924</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66,344</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53,005</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26,539</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38,624</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23,949</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w:t>
            </w: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7"/>
              </w:rPr>
              <w:t>(10,511)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14,157</w:t>
            </w: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(10,511)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3"/>
        </w:trPr>
        <w:tc>
          <w:tcPr>
            <w:tcW w:w="4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383,726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542,569</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387,270</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70,411</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90,376</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w:t>
            </w: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Unaudited Condensed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Unaudited Condensed Consolidated Balance Sheets at the end of each reporting period within accounts receivable, net or accrued expenses and other current liabilities.</w:t>
      </w:r>
    </w:p>
    <w:p>
      <w:pPr>
        <w:spacing w:after="0" w:line="2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 recognized during the nine months ended September 30, 2025 and 2024 that was included in the contract liability balance at the beginning of the year was $6.8 million and $6.2 million, respectively. Changes in the contract asset and liability balances during these periods were not materially impacted by any other factors. The Company applies the practical expedient to expense incremental costs incurred related to obtaining a contract when the amortization period of the asset that the Company otherwise would have recognized is one year or less.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its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14, 2024, the Company’s shareholders approved an amendment to increase the total number of shares that may be issued under the 2016 Plan by 1.3 million, for a total of 6.2 million shares that are authorized for issuance under the 2016 Plan, of which approximately 884,000 shares were available for future grants as of September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3"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color w:val="auto"/>
        </w:rPr>
        <w:t>On December 31, 2024, the Compensation Committee (the "Compensation Committee") of the Company's Board of Directors approved the grant to Mr. Stamatakis, of a stock option for the purchase of 375,000 shares of the Company's common stock at an exercise price of $9.06, the closing price of the</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Company's common stock on the New York Stock Exchange (the "NYSE") on the grant date of January 6, 2025. These stock options can be exercised any time on or after January 6, 2026, and expire ten years after the grant date of January 6, 2025, subject to certain exceptions as to the vesting and expiration in case of termination of employment, death or disability.</w:t>
      </w:r>
    </w:p>
    <w:p>
      <w:pPr>
        <w:spacing w:after="0" w:line="2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September 8, 2025, Natalia Shuman, President and Chief Executive Officer of the Company, was awarded options to purchase 35,000 shares of the Company’s common stock, pursuant to the approval of the Compensation Committee. The options have an exercise price of $9.71, the closing price of the Company's common stock on the NYSE on the grant date of September 8, 2025. The options can be exercised any time on or after September 8, 2026, and expire ten years after the grant date of September 8, 2025, in each case subject to certain exceptions as to the vesting and expiration in case of termination of employment,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stock option activity, weighted-average exercise prices and options outstanding as of September 30, 2025 (in thousands, except per share amounts and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recognized $0.5 million of share-based compensation expense within Reorganization and other costs on the Company's Unaudited Condensed Consolidated Statements of Income during the three months ended September 30, 2025 related to the stock options that were granted in the first quarter of 2025. The Company recognized $1.5 million of share-based compensation expense within Reorganization and other costs on the Company's Unaudited Condensed Consolidated Statements of Income during the nine months ended September 30, 2025 related to the stock options that were granted in the first quarter of 2025. $0.5 million of share-based compensation expense related to stock options that were granted in the first quarter of 2025 remains unrecognized as of the end of the current period, which is all expected to be recognized during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Issuances to Non-Employee Directors</w:t>
      </w:r>
    </w:p>
    <w:p>
      <w:pPr>
        <w:spacing w:after="0" w:line="256"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As part of its compensation program for non-employee directors, the Company issues fully-vested common stock to its non-employee directors. Prior to 2025, the shares of common stock were issued in semi-annual awards during the quarters ended March 31 and September 30. In 2025, non-employee directors received a single award during the quarter ended June 30, 2025. A summary of the fully-vested common stock the Company issued to its non-employee directors, in connection with its non-employee director compensation,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7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20"/>
                <w:szCs w:val="20"/>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4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September 8, 2025, Natalia Shuman was awarded 25,000 restricted stock units (“RSUs”) pursuant to the approval of the Compensation Committee. The RSUs vest in three equal annual installments on the first three anniversary dates of the grant date of September 8, 2025. Upon vesting, each RSU is converted into one share of the Company's common stock. The terms of the award are consistent with the standard terms of RSU awards for senior officers of the Company.</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2025 and September 30, 2024, the Company recognized share-based compensation expense within Selling, general and administrative expenses related to RSU awards of $0.7 million and $1.6 million, respectively. For the nine months ended September 30, 2025 and September 30, 2024, the Company recognized share-based compensation expense within Selling, general and administrative expenses related to RSU awards of $2.8 million and $3.9 million, respectively. For the nine months ended September 30, 2025, the Company recognized share-based compensation expense within Reorganization and other costs related to RSU awards of $0.5 million. As of September 30, 2025, there was $6.2 million of unrecognized compensation costs related to RSU awards, which is expected to be recognized over a remaining weighted-average period of 2.4 years. Upon vesting, RSUs are generally net share-settled to cover the required withholding tax and the remaining amount is converted into an equivalent number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RSU awards, with the respective fair value of the awards,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4,184</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RSUs is as follows:</w:t>
      </w:r>
    </w:p>
    <w:p>
      <w:pPr>
        <w:spacing w:after="0" w:line="28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7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the ultimate payout of which may vary between zero and 200% of the target award, based on the Company’s performance over a one-year period based on specific metrics approved by the Compensation Committee of the Board of Directors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the Compensation Committee is using the following three performance metrics for PRSU awards.</w:t>
      </w:r>
    </w:p>
    <w:p>
      <w:pPr>
        <w:spacing w:after="0" w:line="250" w:lineRule="exact"/>
        <w:rPr>
          <w:sz w:val="20"/>
          <w:szCs w:val="20"/>
          <w:color w:val="auto"/>
        </w:rPr>
      </w:pPr>
    </w:p>
    <w:p>
      <w:pPr>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defined as net cash provided by operating activities less purchases of property, plant, equipment and intangible assets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adjustments approved by the Compensation Committee.</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PRSUs awarded in 2024, the Compensation Committee utilized the same metrics as 2025 PRSUs, but with different performance goals.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Compensation cost related to the PRSUs with a market condition is not reversed if the market condition is not achieved, provided the employee requisite service has been rendered. Earned PRSUs generally vest ratably in four equal annual installments over the four years following completion of the performance period, for a total requisite service period of up to five years, and have no dividend equivalent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28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9"/>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Performance condition adjustments during the nine months ended September 30, 2025 decreased the PRSUs outstanding at the end of the period by approximately 203,000 units based on forecasted results for 2025 as compared to performance metrics determined by the Compensation Committee.</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and September 30, 2024, the Company recognized aggregate share-based compensation expense related to the awards described above of approximately $0.3 million and $0.0 million, respectively. For the nine months ended September 30, 2025 and September 30, 2024, the Company recognized aggregate share-based compensation expense related to the awards described above of approximately $0.9 million and $0.3 million, respectively. At September 30, 2025, there was $2.9 million of total unrecognized compensation costs related to approximately 404,000 non-vested PRSUs, which is expected to be recognized over a remaining weighted-average period of 2.6 years.</w:t>
      </w:r>
    </w:p>
    <w:p>
      <w:pPr>
        <w:spacing w:after="0" w:line="200" w:lineRule="exact"/>
        <w:rPr>
          <w:sz w:val="20"/>
          <w:szCs w:val="20"/>
          <w:color w:val="auto"/>
        </w:rPr>
      </w:pPr>
    </w:p>
    <w:p>
      <w:pPr>
        <w:spacing w:after="0" w:line="3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80"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effect of assumed conversion of equity awards using the treasury stock method. With respect to the number of weighted-average shares outstanding (denominator), diluted shares reflect: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per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0"/>
        </w:trPr>
        <w:tc>
          <w:tcPr>
            <w:tcW w:w="4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30,895</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stock options outstanding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restricted stock units outstanding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8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9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320" w:hanging="172"/>
        <w:spacing w:after="0" w:line="235" w:lineRule="auto"/>
        <w:tabs>
          <w:tab w:leader="none" w:pos="183"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months ended September 30, 2025, 388,000 shares, related to stock options and 165,000 shares, related to RSUs were anti-dilutive and therefore were excluded from the calculation of diluted earnings per share. For the nine months ended September 30, 2025, 379,000 shares, related to stock options and 227,000 shares, related to RSUs were anti-dilutive and therefore were excluded from the calculation of diluted earnings per share.</w:t>
      </w:r>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 - billed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108,563</w:t>
            </w:r>
          </w:p>
        </w:tc>
      </w:tr>
      <w:tr>
        <w:trPr>
          <w:trHeight w:val="230"/>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accounts receivable - unbilled</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21,331</w:t>
            </w:r>
          </w:p>
        </w:tc>
      </w:tr>
      <w:tr>
        <w:trPr>
          <w:trHeight w:val="229"/>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2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174,787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127,281</w:t>
            </w:r>
          </w:p>
        </w:tc>
      </w:tr>
      <w:tr>
        <w:trPr>
          <w:trHeight w:val="21"/>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Trade accounts receivables - unbilled are generally billed in the subsequent quarter to their revenue recognition. The Company considers Trade accounts receivables - unbilled as short-term in nature as they are normally converted to Trade accounts receivables - billed within 90 days, thus future changes in economic conditions will not have a significant effect on the credit loss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consumable supplies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(261,735)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(241,185)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September 30, 2025 and 2024 was approximately $6.0 million and $6.1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nine months ended September 30, 2025 and 2024 was $18.1 million and $18.9 million, respectively.</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performed a quantitative annual impairment test as of October 1, 2024 and did not identify any changes in circumstances that would indicate the carrying value of goodwill may not be recoverable. Additionally, through September 30, 2025,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3"/>
        </w:trPr>
        <w:tc>
          <w:tcPr>
            <w:tcW w:w="30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September 30, 2025 and 2024 was approximately $1.7 million and $1.9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nine months ended September 30, 2025 and 2024 was $5.1 million and $5.8 million, respectively.</w:t>
      </w:r>
    </w:p>
    <w:p>
      <w:pPr>
        <w:spacing w:after="0" w:line="24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tab/>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7"/>
                <w:szCs w:val="17"/>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59,650</w:t>
            </w:r>
          </w:p>
        </w:tc>
        <w:tc>
          <w:tcPr>
            <w:tcW w:w="0" w:type="dxa"/>
            <w:vAlign w:val="bottom"/>
          </w:tcPr>
          <w:p>
            <w:pPr>
              <w:spacing w:after="0"/>
              <w:rPr>
                <w:sz w:val="1"/>
                <w:szCs w:val="1"/>
                <w:color w:val="auto"/>
              </w:rPr>
            </w:pPr>
          </w:p>
        </w:tc>
      </w:tr>
      <w:tr>
        <w:trPr>
          <w:trHeight w:val="184"/>
        </w:trPr>
        <w:tc>
          <w:tcPr>
            <w:tcW w:w="7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Senior secured term loan, net of unamortized debt issuance costs of $0.2 million and $0.3 million,</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158,056</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 2022, the Company entered into a credit agreement (the “Credit Agreement”), which provides the Company with a $190 million 5-year committed revolving credit facility and a $125 million term loan with a balance of $99.8 million as of September 30, 2025.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52" w:lineRule="exact"/>
        <w:rPr>
          <w:sz w:val="20"/>
          <w:szCs w:val="20"/>
          <w:color w:val="auto"/>
        </w:rPr>
      </w:pPr>
    </w:p>
    <w:p>
      <w:pPr>
        <w:ind w:left="660" w:right="34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Secured Overnight Financing Rate ("SOFR") plus a credit spread adjustment and applicable SOFR margin ranging from 1.25% to 2.75%, based upon our Total Consolidated Debt Leverage Ratio (defined below).</w:t>
      </w:r>
    </w:p>
    <w:p>
      <w:pPr>
        <w:ind w:left="1300" w:right="720" w:hanging="320"/>
        <w:spacing w:after="0" w:line="250"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33"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20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Total Consolidated Debt Leverage Ratio of no more than 4.0 to 1.0 at the end of each quarter through June 30, 2023 and stepping down to a maximum permitted ratio of no more than 3.75 to 1.0 for the remainder of the term.</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Fixed Charge Coverage Ratio of 1.25 to 1.0 for the duration of the Credit Agreement, as defined in the Credit Agreement.</w:t>
      </w:r>
    </w:p>
    <w:p>
      <w:pPr>
        <w:spacing w:after="0" w:line="188"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202"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06"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borrowings of $200.1 million and a total of $3.4 million of letters of credit outstanding under the Credit Agreement. The Company has capitalized costs associated with debt modifications of $0.6 million as of September 30, 2025, which are included in Other Assets on the Unaudited Condensed Consolidated Balance Sheets and will be amortized into interest expense over the remaining term of the Credit Agreement through July 30, 2027.</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was in compliance with the terms and covenants of the Credit Agreement. The Company continuously monitors compliance with the covenants contained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56"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The Company's other debt includes bank financing provided at the local subsidiary level used to support working capital requirements and fund capital expenditures. At September 30, 2025, there was an aggregate of approximately $2.2 million outstanding, payable at various times through 2030.</w:t>
      </w:r>
    </w:p>
    <w:p>
      <w:pPr>
        <w:spacing w:after="0" w:line="1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7"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 xml:space="preserve">The Company performs fair value measurements in accordance with the guidance provided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While uncertainties exist with respect to the ultimate resolution of lawsuits, investigations and claims asserted against it, except as stated below, the Company, based on currently available information, does not believe that any currently pending or threatened legal proceeding to which the Company is a party,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and a subsidiary of the Company, Mistras Arizona Inspection Services LLC (“Mistras Arizona”), are subject to a lawsuit ("the DEQ Proceeding") filed by the State of Arizona and the Arizona Department of Environmental Quality (collectively “DEQ”). The DEQ Proceeding, captioned State of Arizona v. Mistras Group, Inc., Mistras Arizona Inspection Services, LLC and Naiman Phoenix, Ltd., was originally filed on February 27, 2024, in the Superior Court of the State of Arizona for Maricopa County, CV 2024-003866 (the "DEQ Complaint"). The DEQ Complaint alleges various violations of Arizona environmental laws and regulations by Mistras Arizona in connection with the operation by Mistras Arizona of its testing facility in Phoenix, Arizona. The DEQ Complaint seeks, through injunctive relief, the closing of a chromic acid plating line at the testing facility, implementation of a site assessment plan approved by the DEQ, and corrective and remedial action to bring the testing facility into compliance with laws and regulations. In addition, the DEQ is seeking unspecified penalties and costs in connection with the DEQ Proceeding.</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Superior Court held a hearing in September 2024 regarding the DEQ’s request for a preliminary injunction. On October 23, 2024, the Superior Court issued a ruling, which declined to issue the preliminary injunction requested by the DEQ, but imposed the following conditions on the Company and Mistras Arizona unless and until modified by the Superior Court or entry of a final judgment: (1) the Company and Mistras Arizona are prohibited from releasing or permitting any release of chromic acid from the facility; (2) within a reasonable time, the Company and Mistras Arizona must complete improvements to the testing facility designed to prevent future discharges of chromium or chromic acid; (3) the Company and Mistras Arizona must notify the DEQ upon completion of the improvement to enable the DEQ to conduct an inspection; and (4) the Company and Mistras Arizona are prohibited from engaging in any chrome plating operations at the testing facility until they notify the DEQ that the improvements have been completed. The DEQ may seek relief if it determines that the improvements are not sufficient to prevent discharges. In April 2025, Mistras Arizona notified the DEQ that the improvements were completed, which the DEQ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then inspected. Following the DEQ site visit, Mistras Arizona commenced its chrome plating operations on April 28, 2025. Mistras Arizona has been and intends to continue complying with the Superior Court's ruling. In the meantime, the DEQ Proceeding is ongoing.</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It is probable that additional remediation costs, as well as fines and penalties will be imposed related to the DEQ Proceeding. However, the Company is unable to estimate the range of loss that it may incur and whether these amounts will be material to the Company.</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Mistras Arizona’s operations in Phoenix are located at a leased site within the footprint of the Motorola 52nd Street Superfund Site (the “Motorola Site”). Mistras Arizona received a General Notice Letter from the US Environmental Protection Agency (the "EPA"), dated May 21, 2024, informing Mistras Arizona that the EPA has identified it as a potentially responsible party in relation to the Motorola Site. On April 29, 2025, the Company received a notice from the EPA requesting information regarding the improvements and other matters related to Phoenix testing facility. Mistras Arizona provided the EPA with the requested information in July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subsidiaries had significant reductions in their unionized workers in 2018. The collective bargaining agreements for the</w:t>
      </w:r>
    </w:p>
    <w:p>
      <w:pPr>
        <w:spacing w:after="0" w:line="6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employees of these subsidiaries required contributions for these employees to two national multi-employer pension funds. The reduction in employees resulted in one of the Company's subsidiaries incurring a complete withdrawal to one of the pension funds under the Employee Retirement Income Security</w:t>
      </w:r>
    </w:p>
    <w:p>
      <w:pPr>
        <w:ind w:right="800"/>
        <w:spacing w:after="0" w:line="266" w:lineRule="auto"/>
        <w:rPr>
          <w:sz w:val="20"/>
          <w:szCs w:val="20"/>
          <w:color w:val="auto"/>
        </w:rPr>
      </w:pPr>
      <w:r>
        <w:rPr>
          <w:rFonts w:ascii="Times New Roman" w:cs="Times New Roman" w:eastAsia="Times New Roman" w:hAnsi="Times New Roman"/>
          <w:sz w:val="18"/>
          <w:szCs w:val="18"/>
          <w:color w:val="auto"/>
        </w:rPr>
        <w:t>Act of 1974 ("ERISA"), which was fully satisfied in 2019. The Company has determined that the subsidiary is likely to incur partial or complete withdrawal liability to the other pension fund. The balance of the estimated total amount of this potential liability as of September 30, 2025 is approximately $2.2 million, which was incurred in 2018 and 2019.</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which are also the Company's reportable segments, are:</w:t>
      </w:r>
    </w:p>
    <w:p>
      <w:pPr>
        <w:spacing w:after="0" w:line="223" w:lineRule="exact"/>
        <w:rPr>
          <w:sz w:val="20"/>
          <w:szCs w:val="20"/>
          <w:color w:val="auto"/>
        </w:rPr>
      </w:pPr>
    </w:p>
    <w:p>
      <w:pPr>
        <w:ind w:left="900" w:right="40" w:hanging="244"/>
        <w:spacing w:after="0" w:line="261" w:lineRule="auto"/>
        <w:tabs>
          <w:tab w:leader="none" w:pos="89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("CODM") reviews financial information at the operating segment level to allocate resources and to assess the operating results and financial performance for each operating segment. For the year ended December 31, 2024, our CODM was identified as Manny Stamatakis, the Interim Chief Executive Officer, because he has final authority over performance assessment and resource allocation decisions. Beginning January 1, 2025, our CODM was identified as Natalia Shuman, upon her appointment as our Chief Executive Officer effective January 1, 2025, as she has final authority over performance assessment and resource allocation decisions. Our segments are based on the type and concentration of customers served, service requirements, methods of distribution and major product lines.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line="3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Segment income (loss) from operations is the primary performance measure used by the CODM to evaluate segment performance and allocate resources, including considering budget-to-actual variances and prior year-to-actual variances on a monthly basis in accordance with GAAP under ASC 280, Segment Reporting. Segment income (loss) from operations for each of the Company's reportable segments are comprised of revenue, selling, general &amp; administrative expenses, and "other expenses." "Other expenses" include cost of revenue, reorganization and environmental costs, legal settlements and recoveries, depreciation and amortization and research and engineering.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 These items of our operating profit are managed centrally at the corporate level and are excluded from the measure of segment income reviewed by the CODM, as well as the measure of segment performance used for incentive compensation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accounting policies of the reportable segments are the same as those described in Note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Income (loss) from operations by operating segment includes intercompany transactions, which are eliminated in Corporate and eliminations</w:t>
      </w:r>
      <w:r>
        <w:rPr>
          <w:rFonts w:ascii="Times New Roman" w:cs="Times New Roman" w:eastAsia="Times New Roman" w:hAnsi="Times New Roman"/>
          <w:sz w:val="21"/>
          <w:szCs w:val="21"/>
          <w:color w:val="008080"/>
        </w:rPr>
        <w: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the </w:t>
      </w:r>
      <w:r>
        <w:rPr>
          <w:rFonts w:ascii="Times New Roman" w:cs="Times New Roman" w:eastAsia="Times New Roman" w:hAnsi="Times New Roman"/>
          <w:sz w:val="16"/>
          <w:szCs w:val="16"/>
          <w:b w:val="1"/>
          <w:bCs w:val="1"/>
          <w:color w:val="auto"/>
        </w:rPr>
        <w:t>three months ended September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160,609</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200,166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(4,617)</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195,549</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5,327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117,479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(2,683)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141,690</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(7,261)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149,845</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186,783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(4,089)</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6,979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114,334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(3,023)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137,636</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(8,045)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437,503</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107,812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555,182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542,569</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108,923</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405,849</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456,588</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567,420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556,909</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105,632</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349,557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421,909</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tables above only reconcile to income (loss) from operations as our measure of segment profitability and the remainder of the reconciliation to net income can be seen on the Unaudited Condensed Consolidated Statement of Income. Products and Systems segment revenue was comprised of approximately $0.6 million and $0.9 million of sales to the International segment, which were eliminated upon consolidation, for the three months ended September 30, 2025 and September 30, 2024, respectively. Products and Systems segment revenue was comprised of approximately $2.4 million and $2.8 million of sales to the International segment, which were eliminated upon consolidation, for the nine months ended September 30, 2025 and September 30, 2024, respectively. Intersegment revenue related to sales between other segments was immaterial for each of the three and nine month periods ended September 30, 2025 and September 30, 2024.</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390,052</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24"/>
                <w:szCs w:val="24"/>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268,608</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2 - </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revenue by geographic area for the three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(“MD&amp;A”) provides a discussion of our results of operations and financial position for the three and nine months ended September 30, 2025 and 2024. The MD&amp;A should be read together with our Unaudited Condensed Consolidated Financial Statements and related notes included in Item 1 in this Quarterly Report on Form 10-Q (the "Quarterly Report") and our audited consolidated financial statements and related notes included in our 2024 Annual Report. Unless otherwise specified or the context otherwise requires, “Mistras,” “the Company,” “we,” “us” and “our” refer to Mistras Group, Inc. and its consolidated subsidiaries. The MD&amp;A includes the following sections:</w:t>
      </w:r>
    </w:p>
    <w:p>
      <w:pPr>
        <w:spacing w:after="0" w:line="18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including any impacts from the imposition of tariffs or other trade restrictions, changes to the</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U.S. trade policy and impacts from the recent U.S federal government shutdown, include, without limitation, those discussed in the “Business—Forward-Looking Statements,” and “Risk Factors” sections of our 2024 Annual Report as well as those discussed in this Quarterly Report and in our other filings with the SEC.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is a global leader in technology-enabled industrial asset integrity solutions, serving critical industries including oil &amp; gas, aerospace &amp; defense, power &amp; utilities, manufacturing, and civil infrastructure.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a diversified portfolio of products and services, ranging from advanced non-destructive testing ("NDT") and pipeline inspections to 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the Company helps clients reduce risk, extend asset life, and optimize operational performance.</w:t>
      </w:r>
    </w:p>
    <w:p>
      <w:pPr>
        <w:spacing w:after="0" w:line="19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17" w:lineRule="exact"/>
        <w:rPr>
          <w:sz w:val="20"/>
          <w:szCs w:val="20"/>
          <w:color w:val="auto"/>
        </w:rPr>
      </w:pPr>
    </w:p>
    <w:p>
      <w:pPr>
        <w:jc w:val="both"/>
        <w:ind w:right="420"/>
        <w:spacing w:after="0" w:line="312" w:lineRule="auto"/>
        <w:rPr>
          <w:sz w:val="20"/>
          <w:szCs w:val="20"/>
          <w:color w:val="auto"/>
        </w:rPr>
      </w:pPr>
      <w:r>
        <w:rPr>
          <w:rFonts w:ascii="Times New Roman" w:cs="Times New Roman" w:eastAsia="Times New Roman" w:hAnsi="Times New Roman"/>
          <w:sz w:val="17"/>
          <w:szCs w:val="17"/>
          <w:color w:val="auto"/>
        </w:rPr>
        <w:t>The Company’s core capabilities also include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North America, International, and Products and Systems.</w:t>
      </w:r>
    </w:p>
    <w:p>
      <w:pPr>
        <w:spacing w:after="0" w:line="61" w:lineRule="exact"/>
        <w:rPr>
          <w:sz w:val="20"/>
          <w:szCs w:val="20"/>
          <w:color w:val="auto"/>
        </w:rPr>
      </w:pPr>
    </w:p>
    <w:p>
      <w:pPr>
        <w:ind w:left="660" w:hanging="328"/>
        <w:spacing w:after="0" w:line="251"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20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85" w:lineRule="exact"/>
        <w:rPr>
          <w:rFonts w:ascii="Times New Roman" w:cs="Times New Roman" w:eastAsia="Times New Roman" w:hAnsi="Times New Roman"/>
          <w:sz w:val="18"/>
          <w:szCs w:val="18"/>
          <w:i w:val="1"/>
          <w:iCs w:val="1"/>
          <w:color w:val="auto"/>
        </w:rPr>
      </w:pPr>
    </w:p>
    <w:p>
      <w:pPr>
        <w:ind w:left="660" w:right="74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oil and gas, aerospace and defense, industrials, power generation and transmission (including alternative and renewable energy), other process industries and infrastructure, research and engineering and other industries.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the past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OneSuite platform. The software platform offers functions of our software and services brands as integrated apps on a cloud environment. OneSuite serves as a single access portal for customers' data activities and provides access to 90 plus applications being offered on one centralized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cash position and liquidity remains strong. As of September 30, 2025, our cash balance was approximately $27.8 million and, with our Credit Agreement, provides us with significant liquidity.</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above in Note 1 - Description of Business and Basis of Presentation, we changed the presentation of certain costs incurred at our operational labs as well as for certain lab personnel on our Unaudited Condensed Consolidated Statements of Income. This voluntary change in classification of certain overhead and personnel costs, which were determined to be directly related to the delivery of our services, resulted in a decrease in from selling, general and administrative expenses and an offsetting increase in cost of revenue. We believe this presentation is preferable as it will provide greater transparency regarding our cost of revenue and better align with how our business is managed.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to monitor the impact that tariffs or trade barriers may have on our business, including recent U.S. tariffs imposed or threatened to be imposed on China, Canada, Mexico and other countries and any retaliatory actions taken by such countries. The tariffs have not had a material effect on our business or results of operations to date in 2025, but they could result in additional costs to us and could impact the import of materials by our customers which are inspected by us.</w:t>
      </w:r>
    </w:p>
    <w:p>
      <w:pPr>
        <w:spacing w:after="0" w:line="19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the third quarter of 2025, the price of crude oil continued to decline due to multiple macroeconomic and geopolitical forces. The decline in crude oil prices has had an adverse impact on our field related services that we provide to the oil and gas sector, which could continue if prices remain 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7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 prepares its consolidated financial statements in accordance with GAAP. In this MD&amp;A under the heading "Income from Operations", the non-GAAP financial performance measure "Income from operations before special items” is used for each of our three operating segments, “Corporate and Eliminations” and the "Total Company", with tables reconciling the measure to a financial measure under GAAP. This presentation excludes from "Income from Operations" (a) reorganization and other costs, which includes items such as severance, labor relations matters and asset and lease termination costs,</w:t>
      </w:r>
    </w:p>
    <w:p>
      <w:pPr>
        <w:spacing w:after="0" w:line="3" w:lineRule="exact"/>
        <w:rPr>
          <w:sz w:val="20"/>
          <w:szCs w:val="20"/>
          <w:color w:val="auto"/>
        </w:rPr>
      </w:pPr>
    </w:p>
    <w:p>
      <w:pPr>
        <w:ind w:right="40" w:firstLine="8"/>
        <w:spacing w:after="0" w:line="251"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expense, which relates to costs associated with the environmental matter at the Phoenix lab operated by Mistras Arizona, as described in Note 13 to the Unaudited Condensed Consolidated Financial Statements in this Quarterly Report, and (c) legal settlement and insurance recoveries, net. These adjustments have been excluded from the GAAP measure because these expenses and credits are not related to our or any individual segment's core business operations.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before special items excludes the identified adjustments, which provides additional tools to compare our core business operating performance on a consistent basis and measure underlying trends and results in our business. Income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or any other measures derived in accordance with GAAP. Because Income from operations before special items may not be calculated in the same manner by all companies, this measure may not be comparable to other similarly titled measures used by other companies.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and nine months ended September 30, 2025 and 2024 were as follows: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8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195,549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182,694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542,569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556,909</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58,193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48,905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153,030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146,397</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26.3 %</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20,381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27,797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29,368</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5.3 %</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16,853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17,702</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13,161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13,793</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6,401</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12,939</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13,765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was $195.5 million for the three months ended September 30, 2025, an increase of $12.9 million, or 7.0%, compared with the three months ended September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and nine months ended September 30, 2025 and 2024 were as follows:</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456,588</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100,972</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and Systems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w:t>
            </w:r>
          </w:p>
        </w:tc>
      </w:tr>
      <w:tr>
        <w:trPr>
          <w:trHeight w:val="248"/>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three months ended September 30, 2025, total revenue increased 7.0% versus the prior year comparable period due predominantly to a mid-single-digit organic increase driven by increases in the Oil and Gas and Power Generation markets. North America segment revenue increased 7.2%, driven predominantly by increases in the Oil and Gas and Power Generation markets as a result of strong turnaround activity and market demand. International segment revenue increased 5.5%, due predominantly to a mid-single-digit favorable impact of foreign exchange rates. Products and Systems segment revenue increase by 23.2%, due to increased sales volume and shipments as compared to the prior year comparable period.</w:t>
      </w:r>
    </w:p>
    <w:p>
      <w:pPr>
        <w:spacing w:after="0" w:line="21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Oil and gas customer revenue comprised approximately 54% of total revenue for the three months ended September 30, 2025 and 2024, respectively. Aerospace and defense customer revenue comprised approximately 12% of total revenue for the three months ended September 30, 2025 and 2024, respectively. The Company’s top ten customers comprised approximately 36% of total revenue for the three months ended September 30, 2025, as compared to 35% for the three months ended September 30, 2024, with no customer accounting for 10% or more of total revenue in either three-month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2025, total revenue decreased 2.6% versus the prior year comparable period due predominantly to a low single-digit organic decrease. North America segment revenue decreased 4.2%, driven predominantly by a decrease in our Oil and Gas market revenue due to multiple macroeconomic and geopolitical forces which slowed global oil demand growth and consequently, the demand for inspection services from Oil and Gas market customers. International segment revenue increased 6.8%, due predominantly to low single-digit organic growth and low single-digit favorable impact of foreign exchange rates. Products and Systems segment revenue was flat as compared to the prior year comparable period.</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56% and 58% of total revenue for the nine months ended September 30, 2025 and 2024, respectively. Aerospace and defense customer revenue comprised approximately 13% and 12% of total revenue for the nine months ended September 30, 2025 and 2024, respectively. The Company’s top ten customers comprised approximately 36% of total revenue for the nine months ended September 30, 2025 and 2024, respectively, with no customer accounting for 10% or more of total revenue in either nine-month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6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6"/>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Field Services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388,129</w:t>
            </w:r>
          </w:p>
        </w:tc>
      </w:tr>
      <w:tr>
        <w:trPr>
          <w:trHeight w:val="229"/>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Laboratories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49,147</w:t>
            </w:r>
          </w:p>
        </w:tc>
      </w:tr>
      <w:tr>
        <w:trPr>
          <w:trHeight w:val="230"/>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Data Analytical Solutions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51,757</w:t>
            </w:r>
          </w:p>
        </w:tc>
      </w:tr>
      <w:tr>
        <w:trPr>
          <w:trHeight w:val="229"/>
        </w:trPr>
        <w:tc>
          <w:tcPr>
            <w:tcW w:w="4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67,876</w:t>
            </w:r>
          </w:p>
        </w:tc>
      </w:tr>
      <w:tr>
        <w:trPr>
          <w:trHeight w:val="248"/>
        </w:trPr>
        <w:tc>
          <w:tcPr>
            <w:tcW w:w="4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presenting the allocation of revenue by type in the table above, management makes certain assumptions in its allocation of revenue from laboratories that provide more than one type of service. The allocation methodology and assumptions made are consistent for the years presented.</w:t>
      </w:r>
    </w:p>
    <w:p>
      <w:pPr>
        <w:spacing w:after="0" w:line="18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Field Services revenue is comprised of revenue derived primarily by technicians performing asset inspections and maintenance services for our customers at locations other than our properties. Field Services revenue decreased by $1.4 million for the three months ended September 30, 2025 as compared to the three months ended September 30, 2024 and decreased by $28.6 million for the nine months ended September 30, 2025 as compared to the nine months ended September 30, 2024, primarily due to decreases in sales volume in our oil and gas, industrials and infrastructure, and research and engineering end markets within our North America segment and our oil and gas end market within our International segment.</w:t>
      </w:r>
    </w:p>
    <w:p>
      <w:pPr>
        <w:spacing w:after="0" w:line="2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Laboratory revenue is comprised of quality assurance inspections of components and materials at our in-house laboratory facilities. Laboratory revenue increased by $1.8 million for the three months ended September 30, 2025 as compared to the three months ended September 30, 2024 primarily due to increased sales volumes in our aerospace and defense end market in our North America segment. Laboratory revenue decreased by $1.6 million for the nine months ended September 30, 2025 as compared to the nine months ended September 30, 2024, primarily due to lower volumes in our laboratory testing inspection services as compared to the prior year comparable period.</w:t>
      </w:r>
    </w:p>
    <w:p>
      <w:pPr>
        <w:spacing w:after="0" w:line="22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Data Analytical Solutions revenue is comprised of revenue derived from data software licenses and subscriptions, implementation services and analytics which offer insights and generate value from asset protection. Data Analytical Solutions revenue is derived from work performed by our employees in our facilities, or at customer locations. Data Analytical Solutions revenue increased by $1.7 million for the three months ended September 30, 2025 as compared to the prior year comparable period, and increased by $0.2 million for the nine months ended September 30, 2025 as compared to the nine months ended September 30, 2024, primarily due to increased sales volume within PCMS and other Data Analytical Solutions offerings within our North America segment.</w:t>
      </w:r>
    </w:p>
    <w:p>
      <w:pPr>
        <w:spacing w:after="0" w:line="222"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Other revenue is comprised of locations that perform both asset inspection services and testing of components and materials at our laboratories. Other revenue increased by $10.7 million for the three months ended September 30, 2025 as compared to the three months ended September 30, 2024 and increased by $15.7 million for the nine months ended September 30, 2025 as compared to the nine months ended September 30, 2024, primarily due to increased sales within our mixed service offering facilities.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which reflects the reclassification of certain overhead and personnel costs from selling, general and administrative</w:t>
      </w:r>
    </w:p>
    <w:p>
      <w:pPr>
        <w:spacing w:after="0" w:line="27"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18"/>
          <w:szCs w:val="18"/>
          <w:color w:val="auto"/>
        </w:rPr>
        <w:t xml:space="preserve">expenses to cost of revenue (see Note 1 - Description of Business and Basis of Presentation), increased by $9.3 million, or 19.0%, in the three months ended September 30, 2025 versus the prior year comparable period primarily due to </w:t>
      </w:r>
      <w:r>
        <w:rPr>
          <w:rFonts w:ascii="Times New Roman" w:cs="Times New Roman" w:eastAsia="Times New Roman" w:hAnsi="Times New Roman"/>
          <w:sz w:val="18"/>
          <w:szCs w:val="18"/>
          <w:color w:val="1D2228"/>
        </w:rPr>
        <w:t>an improved business mix and operating efficiencies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and nine months ended September 30, 2025 and 2024 was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4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5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3"/>
                <w:szCs w:val="23"/>
                <w:b w:val="1"/>
                <w:bCs w:val="1"/>
                <w:color w:val="auto"/>
                <w:vertAlign w:val="superscript"/>
              </w:rPr>
              <w:t>(1)</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45,103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112,423</w:t>
            </w:r>
          </w:p>
        </w:tc>
      </w:tr>
      <w:tr>
        <w:trPr>
          <w:trHeight w:val="229"/>
        </w:trPr>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24.6 %</w:t>
            </w:r>
          </w:p>
        </w:tc>
      </w:tr>
      <w:tr>
        <w:trPr>
          <w:trHeight w:val="229"/>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32,548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29,068</w:t>
            </w:r>
          </w:p>
        </w:tc>
      </w:tr>
      <w:tr>
        <w:trPr>
          <w:trHeight w:val="230"/>
        </w:trPr>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28.8 %</w:t>
            </w:r>
          </w:p>
        </w:tc>
      </w:tr>
      <w:tr>
        <w:trPr>
          <w:trHeight w:val="229"/>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4,836</w:t>
            </w:r>
          </w:p>
        </w:tc>
      </w:tr>
      <w:tr>
        <w:trPr>
          <w:trHeight w:val="230"/>
        </w:trPr>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49.0 %</w:t>
            </w:r>
          </w:p>
        </w:tc>
      </w:tr>
      <w:tr>
        <w:trPr>
          <w:trHeight w:val="229"/>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45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58,193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48,905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153,030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146,397</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26.3 %</w:t>
            </w:r>
          </w:p>
        </w:tc>
      </w:tr>
    </w:tbl>
    <w:p>
      <w:pPr>
        <w:spacing w:after="0" w:line="76" w:lineRule="exact"/>
        <w:rPr>
          <w:sz w:val="20"/>
          <w:szCs w:val="20"/>
          <w:color w:val="auto"/>
        </w:rPr>
      </w:pPr>
    </w:p>
    <w:p>
      <w:pPr>
        <w:ind w:right="180" w:firstLine="8"/>
        <w:spacing w:after="0" w:line="254" w:lineRule="auto"/>
        <w:tabs>
          <w:tab w:leader="none" w:pos="181"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noted in Note 1, the Company changed the presentation of certain costs incurred at its operational labs as well as the costs for certain personnel that indirectly support the Company’s delivery of services on its Unaudited Condensed Consolidated Statements of Income. This voluntary change in classification of certain overhead and employee costs, which, were determined to be directly related to the Company’s delivery of services, resulted in a decrease in Selling, general and administrative expenses and an offsetting increase in Cost of revenue. The impact on gross profit of this change in classification for the year ended December 31, 2024 was approximately $20.9 million.</w:t>
      </w:r>
    </w:p>
    <w:p>
      <w:pPr>
        <w:spacing w:after="0" w:line="3" w:lineRule="exact"/>
        <w:rPr>
          <w:rFonts w:ascii="Times New Roman" w:cs="Times New Roman" w:eastAsia="Times New Roman" w:hAnsi="Times New Roman"/>
          <w:sz w:val="22"/>
          <w:szCs w:val="22"/>
          <w:color w:val="auto"/>
          <w:vertAlign w:val="superscript"/>
        </w:rPr>
      </w:pP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Three Months</w:t>
      </w:r>
    </w:p>
    <w:p>
      <w:pPr>
        <w:spacing w:after="0" w:line="23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Gross profit margin was 29.8% and 26.8% for the three-month periods ended September 30, 2025 and 2024, respectively. Gross profit margin for the North America segment increased by 3.3% for the three months ended September 30, 2025 as compared to the prior year comparable period primarily due to an improved business mix and operating efficiencies. International segment realized a 2.1% increase in gross profit margin to 31.5% for the three months ended September 30, 2025 as compared to the prior year comparable period primarily due to a favorable sales mix in the current year period. Products and Systems segment gross margin had a decrease of 0.7% to 54.3% for the three months ended September 30, 2025 primarily due to a less favorable sales mix as compared to the prior period.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Gross profit margin was 28.2% and 26.3% for the nine-month periods ended September 30, 2025 and 2024, respectively. Gross profit margin for the North America segment realized a 1.8% increase in gross profit margin to 26.4% for the nine months ended September 30, 2025 as compared to the prior year comparable period primarily due to a favorable sales mix and operating efficiencies. International segment realized a 1.4% increase in gross profit margin to 30.2% for the nine months ended September 30, 2025 as compared to the prior year comparable period primarily due to a favorable sales mix. Products and Systems segment gross margin had an increase of 3.2% to 52.2% for the nine months ended September 30, 2025 primarily due to a favorable sales mix as compared to the prior period.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and nine months ended September 30, 2025 and 2024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49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105,632</w:t>
            </w: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9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w:t>
            </w: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Operating expenses increased $0.8 million, or 2.1%, for the three months ended September 30, 2025 compared to the three months ended September 30, 2024. Selling, general and administrative expenses increased $0.3 million during the three months ended September 30, 2025 compared to the three months ended September 30, 2024, due to strategic investments in our operations, partially offset by ongoing cost management activities. As discussed in Note 1 - Description of Business and Basis of Presentation, Selling, general and administrative expenses reflect the classification change for certain overhead and personnel costs from Selling, general and administrative expenses to Cost of revenue. Environmental expense increased by $0.2 million as compared to the prior year comparable period due to environmental costs incurred during the three months ended September 30, 2025, which were not incurred during the prior year comparable period. Reorganization and other costs decreased by $0.4 million to $1.8 million as compared to the prior year comparable period due to ongoing initiatives to reduce overhead costs. Depreciation and amortization decreased by $0.2 million during the three months ended September 30, 2025 compared to the three months ended September 30,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4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Operating expenses increased $8.2 million, or 7.0%, for the nine months ended September 30, 2025 compared to the nine months ended September 30, 2024. Selling, general and administrative expenses increased $3.3 million during the nine months ended September 30, 2025 compared to the nine months ended September 30, 2024, due to an unfavorable foreign exchange impact as compared to the prior year comparable period, partially offset by continued cost discipline and our focus on the calibration of our overhead costs relative to revenue achieved. As discussed in Note 1 - Description of Business and Basis of Presentation, Selling, general and administrative expenses reflect the classification change for certain overhead and personnel costs from Selling, general and administrative expenses to Cost of revenue. Environmental expense increased by $1.3 million as compared to the prior year comparable period due to environmental costs incurred during the nine months ended September 30, 2025, which were not incurred during the prior year comparable period. Reorganization and other costs increased by $3.6 million to $7.8 million as compared to the prior year comparable period due to ongoing initiatives to reduce overhead costs, and incremental costs of other related actions. Depreciation and amortization decreased by $0.7 million during the nine months ended September 30, 2025 compared to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color w:val="auto"/>
        </w:rPr>
        <w:t>The following table shows a reconciliation of the income from operations to income (loss) from operations before special items for each of our three segments, Corporate and Elimination and for the Company in total:</w:t>
      </w: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49,742</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3"/>
        </w:trPr>
        <w:tc>
          <w:tcPr>
            <w:tcW w:w="54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49,861</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29"/>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54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(26,401)</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2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before special items (non-GAAP)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(23,703)</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29,368</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32,779</w:t>
            </w: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Quarterly Report for an explanation of the use of non-GAAP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income from operations (GAAP) increased $8.5 million or 71.9%, compared with the three months ended September 30, 2024, while income from operations before special items (non-GAAP) increased by $9.2 million, or 70.1%. As a percentage of revenue, income from operations before special items increased by 420 basis points to 11.4% in the three months ended September 30, 2025 compared to 7.2% in the three months ended September 30, 2024.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income from operations (GAAP) decreased $1.6 million or 5.3%, compared with the nine months ended September 30, 2024, while income from operations before special items (non-GAAP) increased by $4.1 million, or 12.4%. As a percentage of revenue, income from operations before special items increased by 90 basis points to 6.8% in the nine months ended September 30, 2025 compared to 5.9% in the nine months ended September 30, 2024.</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Interest expense was approximately $3.4 million and $4.3 million for the three months ended September 30, 2025 and 2024, respectively. This decrease of $0.9 million in interest expense was a result of lower interest rates during the three months ended September 30, 2025 in comparison to the prior year comparable period. Interest expense was approximately $10.9 million and $13.1 million for the nine months ended September 30, 2025 and 2024, respectively. This decrease of $2.2 million in interest expense was a result of lower interest rates during the nine months ended September 30, 2025 in comparison to the prior year comparable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approximately 22.3% and 29.0% for the three months ended September 30, 2025 and 2024, respectively. Our effective income tax rate was approximately 21.9% and 22.1% for the nine months ended September 30, 2025 and 2024, respectively.</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2025, was higher than the statutory rate primarily due to the impact of foreign currency losses. The effective income tax rate for the three months ended June 30, 2024 was higher than the statutory rate primarily due to the impact of an unfavorable discrete item related to stock compensation.</w:t>
      </w:r>
    </w:p>
    <w:p>
      <w:pPr>
        <w:spacing w:after="0" w:line="1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2025, was higher than the statutory rate primarily due to the impact of foreign currency losses. The effective income tax rate for the nine months ended September 30, 2024, was lower than the statutory rate primarily due to the reversal of valuation allowances.</w:t>
      </w:r>
    </w:p>
    <w:p>
      <w:pPr>
        <w:spacing w:after="0" w:line="1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On July 4, 2025, H.R.1, commonly referred to as the One Big Beautiful Bill Act ("OBBBA"), was enacted, which includes a broad range of tax reform provisions. These tax reform provisions include the extension and modification of certain provisions of the Tax Cuts and Jobs Act. Effective for calendar year 2025. The changes include, but are not limited to, immediate expensing of domestic research and development expenditure, the restoration of 100% bonus depreciation, and an EBITDA-based interest expense limitation. These provisions did not have a material impact on the Company’s financial statements for the nine months ended September 30, 2025.</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24,471</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(17,152)</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48"/>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cash provided by operating activities was $0.8 million, representing a year-over-year decrease of $23.6 million, or 97%. This decrease was primarily attributable to an increase in days sales outstanding and movements in working capital, as compared to the prior year comparable period.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investing activities was $19.0 million, representing a $1.8 million increase compared to the prior year comparable period, primarily attributable to increased expenditures for property, plant,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$26.2 million for the nine months ended September 30, 2025, compared to net cash used in financing activities of $6.2 million for the nine months ended September 30, 2024. During the nine months ended September 30, 2025, net borrowings of debt were approximately $32.7 million higher than the prior year comparable period resulting in net debt borrowings during the period. The increase in net cash provided by financing activities is partially offset by $0.2 million more in taxes paid related to net share settlement of share-based awards during the nine months ended September 30,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an increase of $1.4 million in the nine months ended September 30, 2025, compared to an increase of $1.6 million for the nine months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2025, we had cash and cash equivalents totaling $27.8 million and $86.4 million of unused commitments under our Credit Agreement with borrowings of $200.1 million and $3.4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jc w:val="both"/>
        <w:ind w:right="620"/>
        <w:spacing w:after="0" w:line="261" w:lineRule="auto"/>
        <w:rPr>
          <w:sz w:val="20"/>
          <w:szCs w:val="20"/>
          <w:color w:val="auto"/>
        </w:rPr>
      </w:pPr>
      <w:r>
        <w:rPr>
          <w:rFonts w:ascii="Times New Roman" w:cs="Times New Roman" w:eastAsia="Times New Roman" w:hAnsi="Times New Roman"/>
          <w:sz w:val="18"/>
          <w:szCs w:val="18"/>
          <w:color w:val="auto"/>
        </w:rPr>
        <w:t>As of September 30, 2025, we were in compliance with the terms of the Credit Agreement and will continuously monitor our compliance with the covenants contained in the Credit Agreement. The Company believes that it is probable that the Company will be able to comply with the financial covenants in the Credit Agreement and that sufficient credit remains available under the Credit Agreement to meet the Company's liquidity needs. However, such matters cannot be predicted with certainty.</w:t>
      </w:r>
    </w:p>
    <w:p>
      <w:pPr>
        <w:spacing w:after="0" w:line="20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color w:val="auto"/>
        </w:rPr>
        <w:t xml:space="preserve">The terms of our Credit Agreement are described in Note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of the Notes to the Unaudited Condensed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contractual obligations and outstanding indebtedness as disclosed in the 2024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2024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2024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Senior Executive Vice President, Chief Financial Officer, of the effectiveness of the design and operation of our disclosure controls (as defined in Rule 13a-15(e) of the Exchange Act) and procedures. Based upon that evaluation, our President and Chief Executive Officer and our Senior Executive Vice President, Chief Financial Officer concluded that, as of September 30, 2025,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2025 that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See Note 13 - </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legal proceedings and no material developments with regard to any matters disclosed under Part I, Item 3 "Legal Proceedings" in our 2024 Annual Report, except as disclosed herein under Note 13 - </w:t>
      </w:r>
      <w:r>
        <w:rPr>
          <w:rFonts w:ascii="Times New Roman" w:cs="Times New Roman" w:eastAsia="Times New Roman" w:hAnsi="Times New Roman"/>
          <w:sz w:val="18"/>
          <w:szCs w:val="18"/>
          <w:b w:val="1"/>
          <w:bCs w:val="1"/>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to the Notes to the Unaudited Condensed Consolidated Financial Statements.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2024 Annual Report. There have been no material changes to the risk factors previously disclosed in the 2024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620" w:hanging="652"/>
        <w:spacing w:after="0" w:line="500" w:lineRule="auto"/>
        <w:tabs>
          <w:tab w:leader="none" w:pos="267"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800" w:hanging="652"/>
        <w:spacing w:after="0" w:line="500" w:lineRule="auto"/>
        <w:tabs>
          <w:tab w:leader="none" w:pos="267"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or settlement of restricted stock units.</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70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jc w:val="right"/>
              <w:ind w:right="837"/>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340" w:type="dxa"/>
            <w:vAlign w:val="bottom"/>
            <w:gridSpan w:val="3"/>
            <w:vMerge w:val="continue"/>
          </w:tcPr>
          <w:p>
            <w:pPr>
              <w:spacing w:after="0"/>
              <w:rPr>
                <w:sz w:val="16"/>
                <w:szCs w:val="16"/>
                <w:color w:val="auto"/>
              </w:rPr>
            </w:pPr>
          </w:p>
        </w:tc>
        <w:tc>
          <w:tcPr>
            <w:tcW w:w="270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60" w:type="dxa"/>
            <w:vAlign w:val="bottom"/>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31, 2025</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August 31, 2025</w:t>
            </w:r>
          </w:p>
        </w:tc>
        <w:tc>
          <w:tcPr>
            <w:tcW w:w="27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2025</w:t>
            </w:r>
          </w:p>
        </w:tc>
        <w:tc>
          <w:tcPr>
            <w:tcW w:w="2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81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3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None.</w:t>
            </w: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15, 2025, the Company appointed Eileen Coggins as the Company’s Executive Vice President and Chief Legal Officer.</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3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2025,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1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60" w:type="dxa"/>
            <w:vAlign w:val="bottom"/>
            <w:gridSpan w:val="11"/>
          </w:tcPr>
          <w:p>
            <w:pPr>
              <w:ind w:left="3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340" w:type="dxa"/>
            <w:vAlign w:val="bottom"/>
            <w:gridSpan w:val="2"/>
          </w:tcPr>
          <w:p>
            <w:pPr>
              <w:ind w:left="20"/>
              <w:spacing w:after="0" w:line="182" w:lineRule="exact"/>
              <w:rPr>
                <w:rFonts w:ascii="Times New Roman" w:cs="Times New Roman" w:eastAsia="Times New Roman" w:hAnsi="Times New Roman"/>
                <w:sz w:val="18"/>
                <w:szCs w:val="18"/>
                <w:color w:val="0000FF"/>
                <w:w w:val="95"/>
              </w:rPr>
            </w:pPr>
            <w:hyperlink r:id="rId5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3"/>
          </w:tcPr>
          <w:p>
            <w:pPr>
              <w:spacing w:after="0" w:line="18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Option Award Agreement, dated September 8, 2025, between the Company and Natalia Shuman (filed as exhibit 10.1 to Current Report</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on Form 8-K filed on September 10, 2025 and incorporated herein by reference)</w:t>
              </w:r>
            </w:hyperlink>
          </w:p>
        </w:tc>
        <w:tc>
          <w:tcPr>
            <w:tcW w:w="220" w:type="dxa"/>
            <w:vAlign w:val="bottom"/>
          </w:tcPr>
          <w:p>
            <w:pPr>
              <w:spacing w:after="0"/>
              <w:rPr>
                <w:sz w:val="13"/>
                <w:szCs w:val="13"/>
                <w:color w:val="auto"/>
              </w:rPr>
            </w:pPr>
          </w:p>
        </w:tc>
      </w:tr>
      <w:tr>
        <w:trPr>
          <w:trHeight w:val="20"/>
        </w:trPr>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93"/>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5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Restricted Stock Unit Certificate, dated September 8, 2025, between the Company and Natalia Shuman (filed as exhibit 10.1 to Current</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Report on Form 8-K filed on September 10, 2025 and incorporated herein by reference)</w:t>
              </w:r>
            </w:hyperlink>
          </w:p>
        </w:tc>
        <w:tc>
          <w:tcPr>
            <w:tcW w:w="260" w:type="dxa"/>
            <w:vAlign w:val="bottom"/>
            <w:gridSpan w:val="2"/>
          </w:tcPr>
          <w:p>
            <w:pPr>
              <w:spacing w:after="0"/>
              <w:rPr>
                <w:sz w:val="13"/>
                <w:szCs w:val="13"/>
                <w:color w:val="auto"/>
              </w:rPr>
            </w:pPr>
          </w:p>
        </w:tc>
      </w:tr>
      <w:tr>
        <w:trPr>
          <w:trHeight w:val="20"/>
        </w:trPr>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49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Option Award Agreement, dated September 15, 2025, between the Company and Eileen Coggins, Executive Vice President and Chief</w:t>
            </w: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Legal Officer.</w:t>
            </w:r>
          </w:p>
        </w:tc>
        <w:tc>
          <w:tcPr>
            <w:tcW w:w="862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r>
      <w:tr>
        <w:trPr>
          <w:trHeight w:val="49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Restricted Stock Unit Certificate, dated September 15, 2025, between the Company and Eileen Coggins, Executive Vice President and</w:t>
            </w: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Chief Legal Officer.</w:t>
            </w:r>
          </w:p>
        </w:tc>
        <w:tc>
          <w:tcPr>
            <w:tcW w:w="8220" w:type="dxa"/>
            <w:vAlign w:val="bottom"/>
            <w:tcBorders>
              <w:top w:val="single" w:sz="8" w:color="0000FF"/>
            </w:tcBorders>
            <w:gridSpan w:val="8"/>
          </w:tcPr>
          <w:p>
            <w:pPr>
              <w:spacing w:after="0"/>
              <w:rPr>
                <w:sz w:val="13"/>
                <w:szCs w:val="13"/>
                <w:color w:val="auto"/>
              </w:rPr>
            </w:pPr>
          </w:p>
        </w:tc>
        <w:tc>
          <w:tcPr>
            <w:tcW w:w="340" w:type="dxa"/>
            <w:vAlign w:val="bottom"/>
            <w:gridSpan w:val="3"/>
          </w:tcPr>
          <w:p>
            <w:pPr>
              <w:spacing w:after="0"/>
              <w:rPr>
                <w:sz w:val="13"/>
                <w:szCs w:val="13"/>
                <w:color w:val="auto"/>
              </w:rPr>
            </w:pPr>
          </w:p>
        </w:tc>
      </w:tr>
      <w:tr>
        <w:trPr>
          <w:trHeight w:val="49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Employment Agreement, dated September 15, 2025, between the Company and Eileen Coggins, Executive Vice President and Chief</w:t>
            </w: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Legal Officer.</w:t>
            </w:r>
          </w:p>
        </w:tc>
        <w:tc>
          <w:tcPr>
            <w:tcW w:w="8520" w:type="dxa"/>
            <w:vAlign w:val="bottom"/>
            <w:tcBorders>
              <w:top w:val="single" w:sz="8" w:color="0000FF"/>
            </w:tcBorders>
            <w:gridSpan w:val="7"/>
          </w:tcPr>
          <w:p>
            <w:pPr>
              <w:spacing w:after="0"/>
              <w:rPr>
                <w:sz w:val="13"/>
                <w:szCs w:val="13"/>
                <w:color w:val="auto"/>
              </w:rPr>
            </w:pPr>
          </w:p>
        </w:tc>
        <w:tc>
          <w:tcPr>
            <w:tcW w:w="480" w:type="dxa"/>
            <w:vAlign w:val="bottom"/>
            <w:gridSpan w:val="5"/>
          </w:tcPr>
          <w:p>
            <w:pPr>
              <w:spacing w:after="0"/>
              <w:rPr>
                <w:sz w:val="13"/>
                <w:szCs w:val="13"/>
                <w:color w:val="auto"/>
              </w:rPr>
            </w:pPr>
          </w:p>
        </w:tc>
      </w:tr>
      <w:tr>
        <w:trPr>
          <w:trHeight w:val="49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c>
          <w:tcPr>
            <w:tcW w:w="1980" w:type="dxa"/>
            <w:vAlign w:val="bottom"/>
            <w:gridSpan w:val="6"/>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479"/>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2040" w:type="dxa"/>
            <w:vAlign w:val="bottom"/>
            <w:gridSpan w:val="7"/>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3"/>
            <w:shd w:val="clear" w:color="auto" w:fill="0000FF"/>
          </w:tcPr>
          <w:p>
            <w:pPr>
              <w:spacing w:after="0" w:line="20" w:lineRule="exact"/>
              <w:rPr>
                <w:sz w:val="1"/>
                <w:szCs w:val="1"/>
                <w:color w:val="auto"/>
              </w:rPr>
            </w:pPr>
          </w:p>
        </w:tc>
        <w:tc>
          <w:tcPr>
            <w:tcW w:w="4760" w:type="dxa"/>
            <w:vAlign w:val="bottom"/>
            <w:gridSpan w:val="10"/>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630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20"/>
          </w:cols>
          <w:pgMar w:left="320" w:top="118" w:right="6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242A28"/>
        </w:rPr>
        <w:t>MISTRAS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42A28"/>
        </w:rPr>
        <w:t>OPTION AWARD AGREEMENT</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This Option Award Agreement (this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effective as of the Date of Grant set forth below, represents the grant of an option (the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to purchase shares of common stock, par value $0.01 per share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of Mistras Group,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to Eileen Coggins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subject to the terms and conditions set forth below. The grant of the Option has been made by the Compensation Committee of the Company’s Board of Directors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The number of shares of Common Stock that may be purchased pursuant to the Option, and the per share exercise price (the "</w:t>
      </w: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Price</w:t>
      </w:r>
      <w:r>
        <w:rPr>
          <w:rFonts w:ascii="Times New Roman" w:cs="Times New Roman" w:eastAsia="Times New Roman" w:hAnsi="Times New Roman"/>
          <w:sz w:val="21"/>
          <w:szCs w:val="21"/>
          <w:color w:val="auto"/>
        </w:rPr>
        <w:t>") payable for shares of Common Stock upon exercise of the Option, are set forth in Article I of this Award Agreement.</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242A28"/>
        </w:rPr>
        <w:t xml:space="preserve">The grant of the Option pursuant to this Award Agreement is being made pursuant to the terms and provisions of the </w:t>
      </w:r>
      <w:r>
        <w:rPr>
          <w:rFonts w:ascii="Times New Roman" w:cs="Times New Roman" w:eastAsia="Times New Roman" w:hAnsi="Times New Roman"/>
          <w:sz w:val="22"/>
          <w:szCs w:val="22"/>
          <w:color w:val="000000"/>
        </w:rPr>
        <w:t xml:space="preserve">Mistras </w:t>
      </w:r>
      <w:r>
        <w:rPr>
          <w:rFonts w:ascii="Times New Roman" w:cs="Times New Roman" w:eastAsia="Times New Roman" w:hAnsi="Times New Roman"/>
          <w:sz w:val="22"/>
          <w:szCs w:val="22"/>
          <w:color w:val="242A28"/>
        </w:rPr>
        <w:t>Group, Inc. 2016 Long-Term Incentive Plan Amended and Restated as of March 27, 2024 (the "</w:t>
      </w:r>
      <w:r>
        <w:rPr>
          <w:rFonts w:ascii="Times New Roman" w:cs="Times New Roman" w:eastAsia="Times New Roman" w:hAnsi="Times New Roman"/>
          <w:sz w:val="22"/>
          <w:szCs w:val="22"/>
          <w:u w:val="single" w:color="auto"/>
          <w:color w:val="242A28"/>
        </w:rPr>
        <w:t>Plan</w:t>
      </w:r>
      <w:r>
        <w:rPr>
          <w:rFonts w:ascii="Times New Roman" w:cs="Times New Roman" w:eastAsia="Times New Roman" w:hAnsi="Times New Roman"/>
          <w:sz w:val="22"/>
          <w:szCs w:val="22"/>
          <w:color w:val="242A28"/>
        </w:rPr>
        <w:t>") relating to Options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242A28"/>
        </w:rPr>
        <w:t>(as the term "</w:t>
      </w:r>
      <w:r>
        <w:rPr>
          <w:rFonts w:ascii="Times New Roman" w:cs="Times New Roman" w:eastAsia="Times New Roman" w:hAnsi="Times New Roman"/>
          <w:sz w:val="22"/>
          <w:szCs w:val="22"/>
          <w:u w:val="single" w:color="auto"/>
          <w:color w:val="242A28"/>
        </w:rPr>
        <w:t>Options</w:t>
      </w:r>
      <w:r>
        <w:rPr>
          <w:rFonts w:ascii="Times New Roman" w:cs="Times New Roman" w:eastAsia="Times New Roman" w:hAnsi="Times New Roman"/>
          <w:sz w:val="22"/>
          <w:szCs w:val="22"/>
          <w:color w:val="242A28"/>
        </w:rPr>
        <w:t>" is defined in the Plan), which terms and provisions are hereby incorporated into this Award Agreement by this reference, as though fully set forth herein, except as and to the extent expressly provided to the contrary in this Award Agreement. Unless the context herein otherwise requires, the terms defined in the Plan shall have the same meanings herein. A copy of the Plan has been provided to the Participant along with this Award Agreement.</w:t>
      </w:r>
    </w:p>
    <w:p>
      <w:pPr>
        <w:spacing w:after="0" w:line="196"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STOCK OPTION GRANT AWARD TERMS</w:t>
      </w:r>
    </w:p>
    <w:p>
      <w:pPr>
        <w:spacing w:after="0" w:line="200" w:lineRule="exact"/>
        <w:rPr>
          <w:sz w:val="20"/>
          <w:szCs w:val="20"/>
          <w:color w:val="auto"/>
        </w:rPr>
      </w:pPr>
    </w:p>
    <w:p>
      <w:pPr>
        <w:spacing w:after="0" w:line="294" w:lineRule="exact"/>
        <w:rPr>
          <w:sz w:val="20"/>
          <w:szCs w:val="20"/>
          <w:color w:val="auto"/>
        </w:rPr>
      </w:pPr>
    </w:p>
    <w:p>
      <w:pPr>
        <w:ind w:left="20" w:right="20" w:firstLine="648"/>
        <w:spacing w:after="0" w:line="236" w:lineRule="auto"/>
        <w:rPr>
          <w:sz w:val="20"/>
          <w:szCs w:val="20"/>
          <w:color w:val="auto"/>
        </w:rPr>
      </w:pPr>
      <w:r>
        <w:rPr>
          <w:rFonts w:ascii="Times New Roman" w:cs="Times New Roman" w:eastAsia="Times New Roman" w:hAnsi="Times New Roman"/>
          <w:sz w:val="22"/>
          <w:szCs w:val="22"/>
          <w:color w:val="auto"/>
        </w:rPr>
        <w:t>The Participant has been granted the Option to purchase shares of Common Stock, subject to the terms and conditions of this Award Agreement, as set forth above and as follows:</w:t>
      </w:r>
    </w:p>
    <w:p>
      <w:pPr>
        <w:spacing w:after="0" w:line="69" w:lineRule="exact"/>
        <w:rPr>
          <w:sz w:val="20"/>
          <w:szCs w:val="20"/>
          <w:color w:val="auto"/>
        </w:rPr>
      </w:pPr>
    </w:p>
    <w:tbl>
      <w:tblPr>
        <w:tblLayout w:type="fixed"/>
        <w:tblInd w:w="720" w:type="dxa"/>
        <w:tblCellMar>
          <w:top w:w="0" w:type="dxa"/>
          <w:left w:w="0" w:type="dxa"/>
          <w:bottom w:w="0" w:type="dxa"/>
          <w:right w:w="0" w:type="dxa"/>
        </w:tblCellMar>
      </w:tblPr>
      <w:tr>
        <w:trPr>
          <w:trHeight w:val="282"/>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Date of Grant:</w:t>
            </w:r>
          </w:p>
        </w:tc>
        <w:tc>
          <w:tcPr>
            <w:tcW w:w="5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September 15, 2025</w:t>
            </w:r>
          </w:p>
        </w:tc>
      </w:tr>
      <w:tr>
        <w:trPr>
          <w:trHeight w:val="56"/>
        </w:trPr>
        <w:tc>
          <w:tcPr>
            <w:tcW w:w="460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89"/>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Vesting Date:</w:t>
            </w:r>
          </w:p>
        </w:tc>
        <w:tc>
          <w:tcPr>
            <w:tcW w:w="5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September 15, 2026</w:t>
            </w:r>
          </w:p>
        </w:tc>
      </w:tr>
      <w:tr>
        <w:trPr>
          <w:trHeight w:val="56"/>
        </w:trPr>
        <w:tc>
          <w:tcPr>
            <w:tcW w:w="460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85"/>
        </w:trPr>
        <w:tc>
          <w:tcPr>
            <w:tcW w:w="4600" w:type="dxa"/>
            <w:vAlign w:val="bottom"/>
          </w:tcPr>
          <w:p>
            <w:pPr>
              <w:spacing w:after="0"/>
              <w:rPr>
                <w:sz w:val="20"/>
                <w:szCs w:val="20"/>
                <w:color w:val="auto"/>
              </w:rPr>
            </w:pPr>
            <w:r>
              <w:rPr>
                <w:rFonts w:ascii="Times New Roman" w:cs="Times New Roman" w:eastAsia="Times New Roman" w:hAnsi="Times New Roman"/>
                <w:sz w:val="21"/>
                <w:szCs w:val="21"/>
                <w:color w:val="auto"/>
              </w:rPr>
              <w:t>Exercise Price per Share:</w:t>
            </w:r>
          </w:p>
        </w:tc>
        <w:tc>
          <w:tcPr>
            <w:tcW w:w="33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6"/>
        </w:trPr>
        <w:tc>
          <w:tcPr>
            <w:tcW w:w="460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36"/>
        </w:trPr>
        <w:tc>
          <w:tcPr>
            <w:tcW w:w="46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Total Number of Shares Granted:</w:t>
            </w:r>
          </w:p>
        </w:tc>
        <w:tc>
          <w:tcPr>
            <w:tcW w:w="59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25,000 shares of Common Stock (the “Shares”)</w:t>
            </w:r>
          </w:p>
        </w:tc>
      </w:tr>
      <w:tr>
        <w:trPr>
          <w:trHeight w:val="75"/>
        </w:trPr>
        <w:tc>
          <w:tcPr>
            <w:tcW w:w="4600" w:type="dxa"/>
            <w:vAlign w:val="bottom"/>
          </w:tcPr>
          <w:p>
            <w:pPr>
              <w:spacing w:after="0"/>
              <w:rPr>
                <w:sz w:val="6"/>
                <w:szCs w:val="6"/>
                <w:color w:val="auto"/>
              </w:rPr>
            </w:pPr>
          </w:p>
        </w:tc>
        <w:tc>
          <w:tcPr>
            <w:tcW w:w="3360" w:type="dxa"/>
            <w:vAlign w:val="bottom"/>
            <w:tcBorders>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r>
      <w:tr>
        <w:trPr>
          <w:trHeight w:val="287"/>
        </w:trPr>
        <w:tc>
          <w:tcPr>
            <w:tcW w:w="4600" w:type="dxa"/>
            <w:vAlign w:val="bottom"/>
          </w:tcPr>
          <w:p>
            <w:pPr>
              <w:spacing w:after="0"/>
              <w:rPr>
                <w:sz w:val="20"/>
                <w:szCs w:val="20"/>
                <w:color w:val="auto"/>
              </w:rPr>
            </w:pPr>
            <w:r>
              <w:rPr>
                <w:rFonts w:ascii="Times New Roman" w:cs="Times New Roman" w:eastAsia="Times New Roman" w:hAnsi="Times New Roman"/>
                <w:sz w:val="21"/>
                <w:szCs w:val="21"/>
                <w:color w:val="auto"/>
              </w:rPr>
              <w:t>Total Exercise Price:</w:t>
            </w:r>
          </w:p>
        </w:tc>
        <w:tc>
          <w:tcPr>
            <w:tcW w:w="33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4"/>
        </w:trPr>
        <w:tc>
          <w:tcPr>
            <w:tcW w:w="460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87"/>
        </w:trPr>
        <w:tc>
          <w:tcPr>
            <w:tcW w:w="4600" w:type="dxa"/>
            <w:vAlign w:val="bottom"/>
          </w:tcPr>
          <w:p>
            <w:pPr>
              <w:spacing w:after="0"/>
              <w:rPr>
                <w:sz w:val="20"/>
                <w:szCs w:val="20"/>
                <w:color w:val="auto"/>
              </w:rPr>
            </w:pPr>
            <w:r>
              <w:rPr>
                <w:rFonts w:ascii="Times New Roman" w:cs="Times New Roman" w:eastAsia="Times New Roman" w:hAnsi="Times New Roman"/>
                <w:sz w:val="21"/>
                <w:szCs w:val="21"/>
                <w:color w:val="auto"/>
              </w:rPr>
              <w:t>Type of Option:</w:t>
            </w:r>
          </w:p>
        </w:tc>
        <w:tc>
          <w:tcPr>
            <w:tcW w:w="592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Non-Qualified Stock Option</w:t>
            </w:r>
          </w:p>
        </w:tc>
      </w:tr>
      <w:tr>
        <w:trPr>
          <w:trHeight w:val="44"/>
        </w:trPr>
        <w:tc>
          <w:tcPr>
            <w:tcW w:w="460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89"/>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Expiration Date:</w:t>
            </w:r>
          </w:p>
        </w:tc>
        <w:tc>
          <w:tcPr>
            <w:tcW w:w="5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Ten (10) years from Date of Grant</w:t>
            </w:r>
          </w:p>
        </w:tc>
      </w:tr>
      <w:tr>
        <w:trPr>
          <w:trHeight w:val="56"/>
        </w:trPr>
        <w:tc>
          <w:tcPr>
            <w:tcW w:w="460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418" w:right="339" w:bottom="1440" w:gutter="0" w:footer="0" w:header="0"/>
        </w:sectPr>
      </w:pPr>
    </w:p>
    <w:bookmarkStart w:id="42" w:name="page43"/>
    <w:bookmarkEnd w:id="42"/>
    <w:p>
      <w:pPr>
        <w:jc w:val="both"/>
        <w:ind w:firstLine="648"/>
        <w:spacing w:after="0" w:line="251" w:lineRule="auto"/>
        <w:rPr>
          <w:sz w:val="20"/>
          <w:szCs w:val="20"/>
          <w:color w:val="auto"/>
        </w:rPr>
      </w:pPr>
      <w:r>
        <w:rPr>
          <w:rFonts w:ascii="Times New Roman" w:cs="Times New Roman" w:eastAsia="Times New Roman" w:hAnsi="Times New Roman"/>
          <w:sz w:val="22"/>
          <w:szCs w:val="22"/>
          <w:color w:val="242A28"/>
        </w:rPr>
        <w:t xml:space="preserve">The Option shall become fully vested and exercisable on the Vesting Date set forth above, provided the Participant remains in continuous employment or service with the Company from the Date of Grant </w:t>
      </w:r>
      <w:r>
        <w:rPr>
          <w:rFonts w:ascii="Times New Roman" w:cs="Times New Roman" w:eastAsia="Times New Roman" w:hAnsi="Times New Roman"/>
          <w:sz w:val="22"/>
          <w:szCs w:val="22"/>
          <w:color w:val="000000"/>
        </w:rPr>
        <w:t>through</w:t>
      </w:r>
      <w:r>
        <w:rPr>
          <w:rFonts w:ascii="Times New Roman" w:cs="Times New Roman" w:eastAsia="Times New Roman" w:hAnsi="Times New Roman"/>
          <w:sz w:val="22"/>
          <w:szCs w:val="22"/>
          <w:color w:val="242A28"/>
        </w:rPr>
        <w:t xml:space="preserve"> the Vesting Date. The vesting and exercisability of the Option shall fully accelerate so that the Option is fully vested and exercisable in connection with termination of Participant’s employment to the extent, and subject to the conditions, described in Section 11(a) of that certain employment agreement between the Company and the Participant dated September 15, 2025, (the “</w:t>
      </w:r>
      <w:r>
        <w:rPr>
          <w:rFonts w:ascii="Times New Roman" w:cs="Times New Roman" w:eastAsia="Times New Roman" w:hAnsi="Times New Roman"/>
          <w:sz w:val="22"/>
          <w:szCs w:val="22"/>
          <w:u w:val="single" w:color="auto"/>
          <w:color w:val="242A28"/>
        </w:rPr>
        <w:t>Employment Agreement</w:t>
      </w:r>
      <w:r>
        <w:rPr>
          <w:rFonts w:ascii="Times New Roman" w:cs="Times New Roman" w:eastAsia="Times New Roman" w:hAnsi="Times New Roman"/>
          <w:sz w:val="22"/>
          <w:szCs w:val="22"/>
          <w:color w:val="242A28"/>
        </w:rPr>
        <w:t>”) and such termination occurs prior to the Vesting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Exercise Period:</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171B13"/>
        </w:rPr>
        <w:t xml:space="preserve">The Option shall be exercisable by the Participant (or the Participant's estate or legal representative upon the Participant's death) at any time from and after the Vesting Date (or earlier, if pursuant to the terms of this Award Agreement or the Plan, the Option is exercisable earlier) and up to and including </w:t>
      </w:r>
      <w:r>
        <w:rPr>
          <w:rFonts w:ascii="Times New Roman" w:cs="Times New Roman" w:eastAsia="Times New Roman" w:hAnsi="Times New Roman"/>
          <w:sz w:val="22"/>
          <w:szCs w:val="22"/>
          <w:color w:val="000000"/>
        </w:rPr>
        <w:t>the</w:t>
      </w:r>
      <w:r>
        <w:rPr>
          <w:rFonts w:ascii="Times New Roman" w:cs="Times New Roman" w:eastAsia="Times New Roman" w:hAnsi="Times New Roman"/>
          <w:sz w:val="22"/>
          <w:szCs w:val="22"/>
          <w:color w:val="171B13"/>
        </w:rPr>
        <w:t xml:space="preserve"> earliest of (i) the Expiration Date set forth above, (ii) 90 days following termination of the Participant’s employment or service with the Company for any reason other than death, “Disability” (as defined in the Employment Agreement) or “Cause”, (iii) one year following termination of the Participant’s employment or service with the Company by reason the Participant’s death or by the Company on account of the Participant’s “Disability” or (iv) immediately upon termination of the Participant’s employment if the Participant’s employment is terminated by the Company for Cause (or the date the Participant's employment ceases, if at such time there exist grounds for a termination for Cause); provided that, notwithstanding the foregoing, all of the provisions of Article 9 of the Plan (Change in Control) shall be applicable to the Option. Any portion of the Option that is not vested and exercisable on the date of the Participant’s termination of employment or service will immediately terminate. Notwithstanding the provisions herein, in no event may the Option be exercised after the expiration of its stated term or before it becomes vested and exercisable.</w:t>
      </w:r>
    </w:p>
    <w:p>
      <w:pPr>
        <w:spacing w:after="0" w:line="194"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242A28"/>
        </w:rPr>
        <w:t xml:space="preserve">ADDITIONAL </w:t>
      </w:r>
      <w:r>
        <w:rPr>
          <w:rFonts w:ascii="Times New Roman" w:cs="Times New Roman" w:eastAsia="Times New Roman" w:hAnsi="Times New Roman"/>
          <w:sz w:val="22"/>
          <w:szCs w:val="22"/>
          <w:b w:val="1"/>
          <w:bCs w:val="1"/>
          <w:u w:val="single" w:color="auto"/>
          <w:color w:val="000000"/>
        </w:rPr>
        <w:t>TERMS</w:t>
      </w:r>
    </w:p>
    <w:p>
      <w:pPr>
        <w:spacing w:after="0" w:line="223" w:lineRule="exact"/>
        <w:rPr>
          <w:rFonts w:ascii="Times New Roman" w:cs="Times New Roman" w:eastAsia="Times New Roman" w:hAnsi="Times New Roman"/>
          <w:sz w:val="22"/>
          <w:szCs w:val="22"/>
          <w:b w:val="1"/>
          <w:bCs w:val="1"/>
          <w:color w:val="auto"/>
        </w:rPr>
      </w:pPr>
    </w:p>
    <w:p>
      <w:pPr>
        <w:ind w:left="1120" w:hanging="383"/>
        <w:spacing w:after="0"/>
        <w:tabs>
          <w:tab w:leader="none" w:pos="112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xml:space="preserve"> The Option shall be exercisable by delivery of an exercise notice or in a manner and pursuant to such procedures as the Committee may determine (the "</w:t>
      </w:r>
      <w:r>
        <w:rPr>
          <w:rFonts w:ascii="Times New Roman" w:cs="Times New Roman" w:eastAsia="Times New Roman" w:hAnsi="Times New Roman"/>
          <w:sz w:val="22"/>
          <w:szCs w:val="22"/>
          <w:u w:val="single" w:color="auto"/>
          <w:color w:val="auto"/>
        </w:rPr>
        <w:t>Exercise Notice</w:t>
      </w:r>
      <w:r>
        <w:rPr>
          <w:rFonts w:ascii="Times New Roman" w:cs="Times New Roman" w:eastAsia="Times New Roman" w:hAnsi="Times New Roman"/>
          <w:sz w:val="22"/>
          <w:szCs w:val="22"/>
          <w:color w:val="auto"/>
        </w:rPr>
        <w:t>"), which shall state the election to exercise the Option, the number of Shares with respect to which the Option is being exercised (the "</w:t>
      </w:r>
      <w:r>
        <w:rPr>
          <w:rFonts w:ascii="Times New Roman" w:cs="Times New Roman" w:eastAsia="Times New Roman" w:hAnsi="Times New Roman"/>
          <w:sz w:val="22"/>
          <w:szCs w:val="22"/>
          <w:u w:val="single" w:color="auto"/>
          <w:color w:val="auto"/>
        </w:rPr>
        <w:t>Exercised Shares</w:t>
      </w:r>
      <w:r>
        <w:rPr>
          <w:rFonts w:ascii="Times New Roman" w:cs="Times New Roman" w:eastAsia="Times New Roman" w:hAnsi="Times New Roman"/>
          <w:sz w:val="22"/>
          <w:szCs w:val="22"/>
          <w:color w:val="auto"/>
        </w:rPr>
        <w:t>"), and such other representations as may be required by the Company. The Exercise Notice shall be accompanied by payment of the aggregate Exercise Price as to all Exercised Shares, together with any applicable tax withholding. The Option shall be deemed to be exercised upon receipt by the Company of the Exercise Notice accompanied by the aggregate Exercise Price, together with any applicable tax withholding.</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xml:space="preserve"> No Shares shall be issued pursuant to the exercise of the Option unless such issuance and such exercise comply with applicable laws.</w:t>
      </w:r>
    </w:p>
    <w:p>
      <w:pPr>
        <w:spacing w:after="0" w:line="177" w:lineRule="exact"/>
        <w:rPr>
          <w:rFonts w:ascii="Times New Roman" w:cs="Times New Roman" w:eastAsia="Times New Roman" w:hAnsi="Times New Roman"/>
          <w:sz w:val="22"/>
          <w:szCs w:val="22"/>
          <w:color w:val="auto"/>
        </w:rPr>
      </w:pPr>
    </w:p>
    <w:p>
      <w:pPr>
        <w:ind w:right="20" w:firstLine="737"/>
        <w:spacing w:after="0" w:line="271" w:lineRule="auto"/>
        <w:tabs>
          <w:tab w:leader="none" w:pos="117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xml:space="preserve"> Payment of the aggregate Exercise Price shall be by any of the following, or a combination thereof, at the election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43" w:name="page44"/>
    <w:bookmarkEnd w:id="43"/>
    <w:p>
      <w:pPr>
        <w:ind w:left="1940" w:hanging="636"/>
        <w:spacing w:after="0"/>
        <w:tabs>
          <w:tab w:leader="none" w:pos="19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cash, check, bank draft, electronic funds transfer or money order payable to the Company;</w:t>
      </w:r>
    </w:p>
    <w:p>
      <w:pPr>
        <w:spacing w:after="0" w:line="219" w:lineRule="exact"/>
        <w:rPr>
          <w:rFonts w:ascii="Times New Roman" w:cs="Times New Roman" w:eastAsia="Times New Roman" w:hAnsi="Times New Roman"/>
          <w:sz w:val="22"/>
          <w:szCs w:val="22"/>
          <w:color w:val="auto"/>
        </w:rPr>
      </w:pPr>
    </w:p>
    <w:p>
      <w:pPr>
        <w:jc w:val="both"/>
        <w:ind w:left="1300" w:firstLine="4"/>
        <w:spacing w:after="0" w:line="263" w:lineRule="auto"/>
        <w:tabs>
          <w:tab w:leader="none" w:pos="194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by delivery to the Company (either by actual delivery or attestation) of already-owned shares of Common Stock provided that such shares (x) shall be valued at Fair Market Value on the date of exercise, and (y) must be owned free and clear of any liens, claims, encumbrances or security interests;</w:t>
      </w:r>
    </w:p>
    <w:p>
      <w:pPr>
        <w:spacing w:after="0" w:line="167" w:lineRule="exact"/>
        <w:rPr>
          <w:rFonts w:ascii="Times New Roman" w:cs="Times New Roman" w:eastAsia="Times New Roman" w:hAnsi="Times New Roman"/>
          <w:sz w:val="22"/>
          <w:szCs w:val="22"/>
          <w:color w:val="auto"/>
        </w:rPr>
      </w:pPr>
    </w:p>
    <w:p>
      <w:pPr>
        <w:ind w:left="1300" w:firstLine="4"/>
        <w:spacing w:after="0" w:line="271" w:lineRule="auto"/>
        <w:tabs>
          <w:tab w:leader="none" w:pos="1945"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by payment to the Company pursuant to a broker-assisted cashless exercise program established and maintained by the Company in connection with the Plan; or</w:t>
      </w:r>
    </w:p>
    <w:p>
      <w:pPr>
        <w:spacing w:after="0" w:line="157" w:lineRule="exact"/>
        <w:rPr>
          <w:rFonts w:ascii="Times New Roman" w:cs="Times New Roman" w:eastAsia="Times New Roman" w:hAnsi="Times New Roman"/>
          <w:sz w:val="22"/>
          <w:szCs w:val="22"/>
          <w:color w:val="auto"/>
        </w:rPr>
      </w:pPr>
    </w:p>
    <w:p>
      <w:pPr>
        <w:jc w:val="both"/>
        <w:ind w:left="1300" w:firstLine="4"/>
        <w:spacing w:after="0" w:line="253" w:lineRule="auto"/>
        <w:tabs>
          <w:tab w:leader="none" w:pos="194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by a "net exercise" pursuant to which the Company will reduce the number of shares of Common Stock issued upon exercise of the Option by the largest whole number of shares necessary to satisfy the Exercise Price, with such shares of Common Stock being valued at Fair Market Value as of the date of exercise, provided, that the Participant must pay any remaining balance of the aggregate Exercise Price not satisfied by the "net exercise" in another form of payment set forth herein.</w:t>
      </w:r>
    </w:p>
    <w:p>
      <w:pPr>
        <w:spacing w:after="0" w:line="178" w:lineRule="exact"/>
        <w:rPr>
          <w:rFonts w:ascii="Times New Roman" w:cs="Times New Roman" w:eastAsia="Times New Roman" w:hAnsi="Times New Roman"/>
          <w:sz w:val="22"/>
          <w:szCs w:val="22"/>
          <w:color w:val="auto"/>
        </w:rPr>
      </w:pPr>
    </w:p>
    <w:p>
      <w:pPr>
        <w:jc w:val="both"/>
        <w:ind w:firstLine="656"/>
        <w:spacing w:after="0" w:line="250" w:lineRule="auto"/>
        <w:tabs>
          <w:tab w:leader="none" w:pos="10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xml:space="preserve"> Except as otherwise permitted by the Committee in accordance with the Plan, the Option is not assignable or transferable other than to a beneficiary designated to receive the Option upon the Participant’s death or by will or the laws of descent and distribution, and the Option shall be exercisable during the lifetime of the Participant only by the Participant (or, in the event of the Participant’s incapacity, the Participant’s legal representative or guardian). Any attempt by the Participant or any other person claiming against, through or under the Participant to cause the Option or any part of it to be transferred or assigned in any manner and for any purpose not permitted hereunder or under the Plan shall be null and void and without effect upon the Company, the Participant or any other person.</w:t>
      </w:r>
    </w:p>
    <w:p>
      <w:pPr>
        <w:spacing w:after="0" w:line="180" w:lineRule="exact"/>
        <w:rPr>
          <w:rFonts w:ascii="Times New Roman" w:cs="Times New Roman" w:eastAsia="Times New Roman" w:hAnsi="Times New Roman"/>
          <w:sz w:val="22"/>
          <w:szCs w:val="22"/>
          <w:color w:val="auto"/>
        </w:rPr>
      </w:pPr>
    </w:p>
    <w:p>
      <w:pPr>
        <w:jc w:val="both"/>
        <w:ind w:firstLine="656"/>
        <w:spacing w:after="0" w:line="253" w:lineRule="auto"/>
        <w:tabs>
          <w:tab w:leader="none" w:pos="102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No Shares shall be sold, issued or delivered hereunder until full payment for such Shares has been made (including, for this purpose, satisfaction of the applicable withholding tax). The Participant shall have no rights as a stockholder with respect to any Shares covered by the Option unless and until the Option is exercised and the Shares covered by the exercise of the Optinon are issued in the name of the Participant. Except as otherwise specified, no adjustment shall be made for dividends or distributions of other rights for which the record date is prior to the date such Shares are issued.</w:t>
      </w:r>
    </w:p>
    <w:p>
      <w:pPr>
        <w:spacing w:after="0" w:line="178" w:lineRule="exact"/>
        <w:rPr>
          <w:rFonts w:ascii="Times New Roman" w:cs="Times New Roman" w:eastAsia="Times New Roman" w:hAnsi="Times New Roman"/>
          <w:sz w:val="22"/>
          <w:szCs w:val="22"/>
          <w:color w:val="auto"/>
        </w:rPr>
      </w:pPr>
    </w:p>
    <w:p>
      <w:pPr>
        <w:jc w:val="both"/>
        <w:ind w:firstLine="656"/>
        <w:spacing w:after="0" w:line="265" w:lineRule="auto"/>
        <w:tabs>
          <w:tab w:leader="none" w:pos="1188" w:val="left"/>
        </w:tabs>
        <w:numPr>
          <w:ilvl w:val="0"/>
          <w:numId w:val="17"/>
        </w:numPr>
        <w:rPr>
          <w:rFonts w:ascii="Times New Roman" w:cs="Times New Roman" w:eastAsia="Times New Roman" w:hAnsi="Times New Roman"/>
          <w:sz w:val="21"/>
          <w:szCs w:val="21"/>
          <w:color w:val="232925"/>
        </w:rPr>
      </w:pPr>
      <w:r>
        <w:rPr>
          <w:rFonts w:ascii="Times New Roman" w:cs="Times New Roman" w:eastAsia="Times New Roman" w:hAnsi="Times New Roman"/>
          <w:sz w:val="21"/>
          <w:szCs w:val="21"/>
          <w:u w:val="single" w:color="auto"/>
          <w:color w:val="232925"/>
        </w:rPr>
        <w:t>Tax Withholding.</w:t>
      </w:r>
      <w:r>
        <w:rPr>
          <w:rFonts w:ascii="Times New Roman" w:cs="Times New Roman" w:eastAsia="Times New Roman" w:hAnsi="Times New Roman"/>
          <w:sz w:val="21"/>
          <w:szCs w:val="21"/>
          <w:color w:val="232925"/>
        </w:rPr>
        <w:t xml:space="preserve"> The Company reserves the right to withhold, in accordance with applicable laws, from any consideration payable or property transferable to the Participant (including any Shares issuable to the Participant upon the exercise of the Option), any taxes required to be withheld by </w:t>
      </w:r>
      <w:r>
        <w:rPr>
          <w:rFonts w:ascii="Times New Roman" w:cs="Times New Roman" w:eastAsia="Times New Roman" w:hAnsi="Times New Roman"/>
          <w:sz w:val="21"/>
          <w:szCs w:val="21"/>
          <w:color w:val="000000"/>
        </w:rPr>
        <w:t>federal</w:t>
      </w:r>
      <w:r>
        <w:rPr>
          <w:rFonts w:ascii="Times New Roman" w:cs="Times New Roman" w:eastAsia="Times New Roman" w:hAnsi="Times New Roman"/>
          <w:sz w:val="21"/>
          <w:szCs w:val="21"/>
          <w:color w:val="232925"/>
        </w:rPr>
        <w:t>, state or local law as a result of the grant or exercise of the Option or the sale or other disposition of the Shares. If the amount of any consideration payable to the Participant is insufficient to pay such taxes or if no consideration is payable to the Participant, upon the request of the Company, the Participant will pay to the Company an amount sufficient for the Company to satisfy any federal, state or local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44" w:name="page45"/>
    <w:bookmarkEnd w:id="44"/>
    <w:p>
      <w:pPr>
        <w:ind w:right="20"/>
        <w:spacing w:after="0" w:line="271" w:lineRule="auto"/>
        <w:rPr>
          <w:sz w:val="20"/>
          <w:szCs w:val="20"/>
          <w:color w:val="auto"/>
        </w:rPr>
      </w:pPr>
      <w:r>
        <w:rPr>
          <w:rFonts w:ascii="Times New Roman" w:cs="Times New Roman" w:eastAsia="Times New Roman" w:hAnsi="Times New Roman"/>
          <w:sz w:val="22"/>
          <w:szCs w:val="22"/>
          <w:color w:val="232925"/>
        </w:rPr>
        <w:t>applicable to and as a condition to the exercise of the Option or the sale or other disposition of the Shares issued upon the exercise of the Option. The minimum required withholding obligations may be settled with the Shares.</w:t>
      </w:r>
    </w:p>
    <w:p>
      <w:pPr>
        <w:spacing w:after="0" w:line="158" w:lineRule="exact"/>
        <w:rPr>
          <w:sz w:val="20"/>
          <w:szCs w:val="20"/>
          <w:color w:val="auto"/>
        </w:rPr>
      </w:pPr>
    </w:p>
    <w:p>
      <w:pPr>
        <w:jc w:val="both"/>
        <w:ind w:firstLine="656"/>
        <w:spacing w:after="0" w:line="250" w:lineRule="auto"/>
        <w:tabs>
          <w:tab w:leader="none" w:pos="1161" w:val="left"/>
        </w:tabs>
        <w:numPr>
          <w:ilvl w:val="0"/>
          <w:numId w:val="18"/>
        </w:numPr>
        <w:rPr>
          <w:rFonts w:ascii="Times New Roman" w:cs="Times New Roman" w:eastAsia="Times New Roman" w:hAnsi="Times New Roman"/>
          <w:sz w:val="22"/>
          <w:szCs w:val="22"/>
          <w:color w:val="232925"/>
        </w:rPr>
      </w:pPr>
      <w:r>
        <w:rPr>
          <w:rFonts w:ascii="Times New Roman" w:cs="Times New Roman" w:eastAsia="Times New Roman" w:hAnsi="Times New Roman"/>
          <w:sz w:val="22"/>
          <w:szCs w:val="22"/>
          <w:u w:val="single" w:color="auto"/>
          <w:color w:val="232925"/>
        </w:rPr>
        <w:t>Entire Agreement; Governing Law.</w:t>
      </w:r>
      <w:r>
        <w:rPr>
          <w:rFonts w:ascii="Times New Roman" w:cs="Times New Roman" w:eastAsia="Times New Roman" w:hAnsi="Times New Roman"/>
          <w:sz w:val="22"/>
          <w:szCs w:val="22"/>
          <w:color w:val="232925"/>
        </w:rPr>
        <w:t xml:space="preserve"> This Award Agreement constitutes the entire agreement of the parties with respect to the subject matter hereof and supersedes any and all prior undertakings and agreements of the Company and the Participant with respect to the subject matter hereof. This Award </w:t>
      </w:r>
      <w:r>
        <w:rPr>
          <w:rFonts w:ascii="Times New Roman" w:cs="Times New Roman" w:eastAsia="Times New Roman" w:hAnsi="Times New Roman"/>
          <w:sz w:val="22"/>
          <w:szCs w:val="22"/>
          <w:color w:val="000000"/>
        </w:rPr>
        <w:t>Agreement</w:t>
      </w:r>
      <w:r>
        <w:rPr>
          <w:rFonts w:ascii="Times New Roman" w:cs="Times New Roman" w:eastAsia="Times New Roman" w:hAnsi="Times New Roman"/>
          <w:sz w:val="22"/>
          <w:szCs w:val="22"/>
          <w:color w:val="232925"/>
        </w:rPr>
        <w:t xml:space="preserve"> may not be amended except by means of a writing signed by the Company and the Participant, and, for the avoidance of doubt, if any provision of the Plan that is incorporated by reference herein and applicable to the Option is amended, and such amendment would adversely affect the Participant's interest, then such amended provision shall not be given effect hereunder unless reflected in a writing signed by the Company and the Participant. This Award Agreement is governed by the internal substantive laws but not the choice of law rules of the State of Delaware.</w:t>
      </w:r>
    </w:p>
    <w:p>
      <w:pPr>
        <w:spacing w:after="0" w:line="186" w:lineRule="exact"/>
        <w:rPr>
          <w:rFonts w:ascii="Times New Roman" w:cs="Times New Roman" w:eastAsia="Times New Roman" w:hAnsi="Times New Roman"/>
          <w:sz w:val="22"/>
          <w:szCs w:val="22"/>
          <w:color w:val="232925"/>
        </w:rPr>
      </w:pPr>
    </w:p>
    <w:p>
      <w:pPr>
        <w:jc w:val="both"/>
        <w:ind w:firstLine="656"/>
        <w:spacing w:after="0" w:line="251" w:lineRule="auto"/>
        <w:tabs>
          <w:tab w:leader="none" w:pos="1228" w:val="left"/>
        </w:tabs>
        <w:numPr>
          <w:ilvl w:val="0"/>
          <w:numId w:val="18"/>
        </w:numPr>
        <w:rPr>
          <w:rFonts w:ascii="Times New Roman" w:cs="Times New Roman" w:eastAsia="Times New Roman" w:hAnsi="Times New Roman"/>
          <w:sz w:val="22"/>
          <w:szCs w:val="22"/>
          <w:color w:val="232925"/>
        </w:rPr>
      </w:pPr>
      <w:r>
        <w:rPr>
          <w:rFonts w:ascii="Times New Roman" w:cs="Times New Roman" w:eastAsia="Times New Roman" w:hAnsi="Times New Roman"/>
          <w:sz w:val="22"/>
          <w:szCs w:val="22"/>
          <w:u w:val="single" w:color="auto"/>
          <w:color w:val="232925"/>
        </w:rPr>
        <w:t>No Guarantee of Continued Service.</w:t>
      </w:r>
      <w:r>
        <w:rPr>
          <w:rFonts w:ascii="Times New Roman" w:cs="Times New Roman" w:eastAsia="Times New Roman" w:hAnsi="Times New Roman"/>
          <w:sz w:val="22"/>
          <w:szCs w:val="22"/>
          <w:color w:val="232925"/>
        </w:rPr>
        <w:t xml:space="preserve"> THE PARTICIPANT ACKNOWLEDGES AND AGREES THAT THIS AWARD AGREEMENT AND THE TRANSACTIONS CONTEMPLATED HEREUNDER DO NOT CONSTITUTE AN EXPRESS OR IMPLIED PROMISE OF CONTINUED ENGAGEMENT FOR ANY PERIOD, OR AT ALL, AND SHALL NOT INTERFERE IN ANY WAY WITH THE PARTICIPANT'S RIGHT OR THE RIGHT OF THE COMPANY TO TERMINATE THE PARTICIPANT'S RELATIONSHIP WITH THE COMPANY AT ANY TIME, WITH OR WITHOUT CAUSE.</w:t>
      </w:r>
    </w:p>
    <w:p>
      <w:pPr>
        <w:spacing w:after="0" w:line="181" w:lineRule="exact"/>
        <w:rPr>
          <w:rFonts w:ascii="Times New Roman" w:cs="Times New Roman" w:eastAsia="Times New Roman" w:hAnsi="Times New Roman"/>
          <w:sz w:val="22"/>
          <w:szCs w:val="22"/>
          <w:color w:val="232925"/>
        </w:rPr>
      </w:pPr>
    </w:p>
    <w:p>
      <w:pPr>
        <w:jc w:val="both"/>
        <w:ind w:firstLine="656"/>
        <w:spacing w:after="0" w:line="253" w:lineRule="auto"/>
        <w:tabs>
          <w:tab w:leader="none" w:pos="1093" w:val="left"/>
        </w:tabs>
        <w:numPr>
          <w:ilvl w:val="0"/>
          <w:numId w:val="18"/>
        </w:numPr>
        <w:rPr>
          <w:rFonts w:ascii="Times New Roman" w:cs="Times New Roman" w:eastAsia="Times New Roman" w:hAnsi="Times New Roman"/>
          <w:sz w:val="22"/>
          <w:szCs w:val="22"/>
          <w:color w:val="232925"/>
        </w:rPr>
      </w:pPr>
      <w:r>
        <w:rPr>
          <w:rFonts w:ascii="Times New Roman" w:cs="Times New Roman" w:eastAsia="Times New Roman" w:hAnsi="Times New Roman"/>
          <w:sz w:val="22"/>
          <w:szCs w:val="22"/>
          <w:u w:val="single" w:color="auto"/>
          <w:color w:val="232925"/>
        </w:rPr>
        <w:t>Administration.</w:t>
      </w:r>
      <w:r>
        <w:rPr>
          <w:rFonts w:ascii="Times New Roman" w:cs="Times New Roman" w:eastAsia="Times New Roman" w:hAnsi="Times New Roman"/>
          <w:sz w:val="22"/>
          <w:szCs w:val="22"/>
          <w:color w:val="232925"/>
        </w:rPr>
        <w:t xml:space="preserve"> The Option, this Award Agreement and the rights of the Participant hereunder are subject to such rules and regulations as the Committee may adopt for administration of the Plan. </w:t>
      </w:r>
      <w:r>
        <w:rPr>
          <w:rFonts w:ascii="Times New Roman" w:cs="Times New Roman" w:eastAsia="Times New Roman" w:hAnsi="Times New Roman"/>
          <w:sz w:val="22"/>
          <w:szCs w:val="22"/>
          <w:color w:val="000000"/>
        </w:rPr>
        <w:t>Consistent</w:t>
      </w:r>
      <w:r>
        <w:rPr>
          <w:rFonts w:ascii="Times New Roman" w:cs="Times New Roman" w:eastAsia="Times New Roman" w:hAnsi="Times New Roman"/>
          <w:sz w:val="22"/>
          <w:szCs w:val="22"/>
          <w:color w:val="232925"/>
        </w:rPr>
        <w:t xml:space="preserve"> with Article 3 of the Plan, it is expressly understood that the Committee is authorized to administer, construe, and make all determinations necessary or appropriate to the </w:t>
      </w:r>
      <w:r>
        <w:rPr>
          <w:rFonts w:ascii="Times New Roman" w:cs="Times New Roman" w:eastAsia="Times New Roman" w:hAnsi="Times New Roman"/>
          <w:sz w:val="22"/>
          <w:szCs w:val="22"/>
          <w:color w:val="141A18"/>
        </w:rPr>
        <w:t>administration of the Option and this Award Agreement, all of which shall be binding upon the Participant and</w:t>
      </w:r>
      <w:r>
        <w:rPr>
          <w:rFonts w:ascii="Times New Roman" w:cs="Times New Roman" w:eastAsia="Times New Roman" w:hAnsi="Times New Roman"/>
          <w:sz w:val="22"/>
          <w:szCs w:val="22"/>
          <w:color w:val="232925"/>
        </w:rPr>
        <w:t xml:space="preserve"> </w:t>
      </w:r>
      <w:r>
        <w:rPr>
          <w:rFonts w:ascii="Times New Roman" w:cs="Times New Roman" w:eastAsia="Times New Roman" w:hAnsi="Times New Roman"/>
          <w:sz w:val="22"/>
          <w:szCs w:val="22"/>
          <w:color w:val="141A18"/>
        </w:rPr>
        <w:t>his successors.</w:t>
      </w:r>
    </w:p>
    <w:p>
      <w:pPr>
        <w:spacing w:after="0" w:line="178" w:lineRule="exact"/>
        <w:rPr>
          <w:rFonts w:ascii="Times New Roman" w:cs="Times New Roman" w:eastAsia="Times New Roman" w:hAnsi="Times New Roman"/>
          <w:sz w:val="22"/>
          <w:szCs w:val="22"/>
          <w:color w:val="232925"/>
        </w:rPr>
      </w:pPr>
    </w:p>
    <w:p>
      <w:pPr>
        <w:ind w:firstLine="656"/>
        <w:spacing w:after="0" w:line="271" w:lineRule="auto"/>
        <w:tabs>
          <w:tab w:leader="none" w:pos="1093" w:val="left"/>
        </w:tabs>
        <w:numPr>
          <w:ilvl w:val="0"/>
          <w:numId w:val="18"/>
        </w:numPr>
        <w:rPr>
          <w:rFonts w:ascii="Times New Roman" w:cs="Times New Roman" w:eastAsia="Times New Roman" w:hAnsi="Times New Roman"/>
          <w:sz w:val="22"/>
          <w:szCs w:val="22"/>
          <w:color w:val="141A18"/>
        </w:rPr>
      </w:pPr>
      <w:r>
        <w:rPr>
          <w:rFonts w:ascii="Times New Roman" w:cs="Times New Roman" w:eastAsia="Times New Roman" w:hAnsi="Times New Roman"/>
          <w:sz w:val="22"/>
          <w:szCs w:val="22"/>
          <w:u w:val="single" w:color="auto"/>
          <w:color w:val="141A18"/>
        </w:rPr>
        <w:t>Successors</w:t>
      </w:r>
      <w:r>
        <w:rPr>
          <w:rFonts w:ascii="Times New Roman" w:cs="Times New Roman" w:eastAsia="Times New Roman" w:hAnsi="Times New Roman"/>
          <w:sz w:val="22"/>
          <w:szCs w:val="22"/>
          <w:color w:val="141A18"/>
        </w:rPr>
        <w:t>. This Agreement shall be binding upon, and inure to the benefit of, any successor or successors of the Company, the Participant and any beneficiary of the Participant.</w:t>
      </w:r>
    </w:p>
    <w:p>
      <w:pPr>
        <w:spacing w:after="0" w:line="157" w:lineRule="exact"/>
        <w:rPr>
          <w:rFonts w:ascii="Times New Roman" w:cs="Times New Roman" w:eastAsia="Times New Roman" w:hAnsi="Times New Roman"/>
          <w:sz w:val="22"/>
          <w:szCs w:val="22"/>
          <w:color w:val="141A18"/>
        </w:rPr>
      </w:pPr>
    </w:p>
    <w:p>
      <w:pPr>
        <w:jc w:val="both"/>
        <w:ind w:firstLine="656"/>
        <w:spacing w:after="0" w:line="250" w:lineRule="auto"/>
        <w:tabs>
          <w:tab w:leader="none" w:pos="113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of Documents.</w:t>
      </w:r>
      <w:r>
        <w:rPr>
          <w:rFonts w:ascii="Times New Roman" w:cs="Times New Roman" w:eastAsia="Times New Roman" w:hAnsi="Times New Roman"/>
          <w:sz w:val="22"/>
          <w:szCs w:val="22"/>
          <w:color w:val="auto"/>
        </w:rPr>
        <w:t xml:space="preserve"> The Participant authorizes the Company and its affiliates to deliver electronically any prospectuses or other documentation related to the Option and any other compensation or benefit plan or arrangement in effect from time to time (including, without limitation, periodic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or the website of a third-party administrator designated by the Company.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45" w:name="page46"/>
    <w:bookmarkEnd w:id="45"/>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141A18"/>
        </w:rPr>
        <w:t>[Signature Page Follows]</w:t>
      </w:r>
    </w:p>
    <w:p>
      <w:pPr>
        <w:sectPr>
          <w:pgSz w:w="11900" w:h="16838" w:orient="portrait"/>
          <w:cols w:equalWidth="0" w:num="1">
            <w:col w:w="9019"/>
          </w:cols>
          <w:pgMar w:left="1440" w:top="144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9019"/>
          </w:cols>
          <w:pgMar w:left="1440" w:top="1165"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color w:val="auto"/>
        </w:rPr>
        <w:t>The Participant hereby accepts the Option subject to all of the terms and provisions of this Award Agreement.</w:t>
      </w:r>
    </w:p>
    <w:p>
      <w:pPr>
        <w:sectPr>
          <w:pgSz w:w="11900" w:h="16838" w:orient="portrait"/>
          <w:cols w:equalWidth="0" w:num="1">
            <w:col w:w="9480"/>
          </w:cols>
          <w:pgMar w:left="980" w:top="143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14916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MISTRAS GROUP, INC</w:t>
      </w:r>
    </w:p>
    <w:p>
      <w:pPr>
        <w:spacing w:after="0" w:line="2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-57150</wp:posOffset>
            </wp:positionV>
            <wp:extent cx="14916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720"/>
            <w:col w:w="7060"/>
          </w:cols>
          <w:pgMar w:left="980" w:top="1435"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60"/>
        <w:spacing w:after="0"/>
        <w:rPr>
          <w:sz w:val="20"/>
          <w:szCs w:val="20"/>
          <w:color w:val="auto"/>
        </w:rPr>
      </w:pPr>
      <w:r>
        <w:rPr>
          <w:rFonts w:ascii="Arial" w:cs="Arial" w:eastAsia="Arial" w:hAnsi="Arial"/>
          <w:sz w:val="18"/>
          <w:szCs w:val="18"/>
          <w:b w:val="1"/>
          <w:bCs w:val="1"/>
          <w:i w:val="1"/>
          <w:iCs w:val="1"/>
          <w:color w:val="09080E"/>
        </w:rPr>
        <w:t>Signature Page to Option Award Agreement — Eileen Coggins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480"/>
          </w:cols>
          <w:pgMar w:left="980" w:top="1435" w:right="1439" w:bottom="1440" w:gutter="0" w:footer="0" w:header="0"/>
          <w:type w:val="continuous"/>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MISTRAS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UNIT CERTIFICATE</w:t>
      </w:r>
    </w:p>
    <w:p>
      <w:pPr>
        <w:spacing w:after="0" w:line="19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Granted To:</w:t>
      </w:r>
      <w:r>
        <w:rPr>
          <w:sz w:val="20"/>
          <w:szCs w:val="20"/>
          <w:color w:val="auto"/>
        </w:rPr>
        <w:tab/>
      </w:r>
      <w:r>
        <w:rPr>
          <w:rFonts w:ascii="Times New Roman" w:cs="Times New Roman" w:eastAsia="Times New Roman" w:hAnsi="Times New Roman"/>
          <w:sz w:val="21"/>
          <w:szCs w:val="21"/>
          <w:color w:val="auto"/>
        </w:rPr>
        <w:t>Eileen Coggins</w:t>
      </w:r>
    </w:p>
    <w:p>
      <w:pPr>
        <w:spacing w:after="0" w:line="233" w:lineRule="exact"/>
        <w:rPr>
          <w:sz w:val="20"/>
          <w:szCs w:val="20"/>
          <w:color w:val="auto"/>
        </w:rPr>
      </w:pPr>
    </w:p>
    <w:p>
      <w:pPr>
        <w:spacing w:after="0"/>
        <w:tabs>
          <w:tab w:leader="none" w:pos="1220" w:val="left"/>
          <w:tab w:leader="none" w:pos="2680" w:val="left"/>
        </w:tabs>
        <w:rPr>
          <w:sz w:val="20"/>
          <w:szCs w:val="20"/>
          <w:color w:val="auto"/>
        </w:rPr>
      </w:pPr>
      <w:r>
        <w:rPr>
          <w:rFonts w:ascii="Times New Roman" w:cs="Times New Roman" w:eastAsia="Times New Roman" w:hAnsi="Times New Roman"/>
          <w:sz w:val="22"/>
          <w:szCs w:val="22"/>
          <w:color w:val="auto"/>
        </w:rPr>
        <w:t>Total Units:</w:t>
        <w:tab/>
        <w:t>15,000</w:t>
      </w:r>
      <w:r>
        <w:rPr>
          <w:sz w:val="20"/>
          <w:szCs w:val="20"/>
          <w:color w:val="auto"/>
        </w:rPr>
        <w:tab/>
      </w:r>
      <w:r>
        <w:rPr>
          <w:rFonts w:ascii="Times New Roman" w:cs="Times New Roman" w:eastAsia="Times New Roman" w:hAnsi="Times New Roman"/>
          <w:sz w:val="21"/>
          <w:szCs w:val="21"/>
          <w:color w:val="auto"/>
        </w:rPr>
        <w:t>Grant Date: September 15, 2025</w:t>
      </w:r>
    </w:p>
    <w:p>
      <w:pPr>
        <w:spacing w:after="0" w:line="220"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2"/>
          <w:szCs w:val="22"/>
          <w:color w:val="auto"/>
        </w:rPr>
        <w:t>Vesting Dates:</w:t>
      </w:r>
      <w:r>
        <w:rPr>
          <w:sz w:val="20"/>
          <w:szCs w:val="20"/>
          <w:color w:val="auto"/>
        </w:rPr>
        <w:tab/>
      </w:r>
      <w:r>
        <w:rPr>
          <w:rFonts w:ascii="Times New Roman" w:cs="Times New Roman" w:eastAsia="Times New Roman" w:hAnsi="Times New Roman"/>
          <w:sz w:val="21"/>
          <w:szCs w:val="21"/>
          <w:color w:val="auto"/>
        </w:rPr>
        <w:t>1/3 on September 15 of 2026, 2027 and 2028</w:t>
      </w:r>
    </w:p>
    <w:p>
      <w:pPr>
        <w:spacing w:after="0" w:line="220" w:lineRule="exact"/>
        <w:rPr>
          <w:sz w:val="20"/>
          <w:szCs w:val="20"/>
          <w:color w:val="auto"/>
        </w:rPr>
      </w:pPr>
    </w:p>
    <w:p>
      <w:pPr>
        <w:ind w:firstLine="656"/>
        <w:spacing w:after="0" w:line="253" w:lineRule="auto"/>
        <w:tabs>
          <w:tab w:leader="none" w:pos="102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In accordance with the Mistras Group, Inc. 2016 Long-Term Incentive Plan Amended and Restated as of March 27, 2024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Mistras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made an award to you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Each RSU, upon vesting, will become one share of the Company’s common stock. The award and the RSUs are subject to the provisions of the Plan and, to the extent not prohibited by the Plan, the terms and conditions of this certificate. Capitalized terms that are used but not defined in this certificate shall have the meanings ascribed to them by the Plan.</w:t>
      </w:r>
    </w:p>
    <w:p>
      <w:pPr>
        <w:spacing w:after="0" w:line="178" w:lineRule="exact"/>
        <w:rPr>
          <w:rFonts w:ascii="Times New Roman" w:cs="Times New Roman" w:eastAsia="Times New Roman" w:hAnsi="Times New Roman"/>
          <w:sz w:val="22"/>
          <w:szCs w:val="22"/>
          <w:color w:val="auto"/>
        </w:rPr>
      </w:pPr>
    </w:p>
    <w:p>
      <w:pPr>
        <w:ind w:right="20" w:firstLine="656"/>
        <w:spacing w:after="0" w:line="250" w:lineRule="auto"/>
        <w:tabs>
          <w:tab w:leader="none" w:pos="102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RSUs</w:t>
      </w:r>
      <w:r>
        <w:rPr>
          <w:rFonts w:ascii="Times New Roman" w:cs="Times New Roman" w:eastAsia="Times New Roman" w:hAnsi="Times New Roman"/>
          <w:sz w:val="22"/>
          <w:szCs w:val="22"/>
          <w:color w:val="auto"/>
        </w:rPr>
        <w:t>. Except as otherwise provided herein or the Plan, the Units will vest in three (3) equal annual installments, with 1/3 of the Units vesting on each of the dates set forth above. The vesting of the RSUs is cumulative, but shall not exceed 100% of the RSUs subject to this certificate. If the foregoing schedule will result in fractional shares, the number of RSUs that vest will be rounded down to the nearest whole RSU. The RSUs will fully vest on the third anniversary of the Grant Date if you are employed by or providing service to the Company on such date, except as otherwise provided in this certificate or the Plan. -All vesting is subject to your continuous employment or other service with the Company from the Grant Date until the applicable Vesting Date, except as otherwise provided in this certificate or in the Plan.</w:t>
      </w:r>
    </w:p>
    <w:p>
      <w:pPr>
        <w:spacing w:after="0" w:line="180" w:lineRule="exact"/>
        <w:rPr>
          <w:rFonts w:ascii="Times New Roman" w:cs="Times New Roman" w:eastAsia="Times New Roman" w:hAnsi="Times New Roman"/>
          <w:sz w:val="22"/>
          <w:szCs w:val="22"/>
          <w:color w:val="auto"/>
        </w:rPr>
      </w:pPr>
    </w:p>
    <w:p>
      <w:pPr>
        <w:ind w:firstLine="656"/>
        <w:spacing w:after="0" w:line="264" w:lineRule="auto"/>
        <w:tabs>
          <w:tab w:leader="none" w:pos="1026"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Forfeiture of Unvested RSUs</w:t>
      </w:r>
      <w:r>
        <w:rPr>
          <w:rFonts w:ascii="Times New Roman" w:cs="Times New Roman" w:eastAsia="Times New Roman" w:hAnsi="Times New Roman"/>
          <w:sz w:val="21"/>
          <w:szCs w:val="21"/>
          <w:color w:val="auto"/>
        </w:rPr>
        <w:t>. Unless the Committee, acting in its sole and absolute discretion, determines otherwise, upon the termination of your employment and other service with the Company (“</w:t>
      </w:r>
      <w:r>
        <w:rPr>
          <w:rFonts w:ascii="Times New Roman" w:cs="Times New Roman" w:eastAsia="Times New Roman" w:hAnsi="Times New Roman"/>
          <w:sz w:val="21"/>
          <w:szCs w:val="21"/>
          <w:u w:val="single" w:color="auto"/>
          <w:color w:val="auto"/>
        </w:rPr>
        <w:t>Termination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Employment</w:t>
      </w:r>
      <w:r>
        <w:rPr>
          <w:rFonts w:ascii="Times New Roman" w:cs="Times New Roman" w:eastAsia="Times New Roman" w:hAnsi="Times New Roman"/>
          <w:sz w:val="21"/>
          <w:szCs w:val="21"/>
          <w:color w:val="auto"/>
        </w:rPr>
        <w:t>”), you will forfeit all right, title and interest in the unvested RSUs, unless your Termination of Employment is as a result of (i) your death or termination by the Company on account of your Disability, in which case Section 4 below shall control,</w:t>
      </w:r>
    </w:p>
    <w:p>
      <w:pPr>
        <w:ind w:right="20" w:firstLine="8"/>
        <w:spacing w:after="0" w:line="248" w:lineRule="auto"/>
        <w:tabs>
          <w:tab w:leader="none" w:pos="3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by the Company other than for Cause, death or Disability or you resign for Good Reason, in which case Section 5 below shall control, or (iii) as expressly set forth in the Plan, such as in connection with a Change in Control.</w:t>
      </w:r>
    </w:p>
    <w:p>
      <w:pPr>
        <w:spacing w:after="0" w:line="182" w:lineRule="exact"/>
        <w:rPr>
          <w:rFonts w:ascii="Times New Roman" w:cs="Times New Roman" w:eastAsia="Times New Roman" w:hAnsi="Times New Roman"/>
          <w:sz w:val="22"/>
          <w:szCs w:val="22"/>
          <w:color w:val="auto"/>
        </w:rPr>
      </w:pPr>
    </w:p>
    <w:p>
      <w:pPr>
        <w:ind w:right="160" w:firstLine="656"/>
        <w:spacing w:after="0" w:line="263" w:lineRule="auto"/>
        <w:tabs>
          <w:tab w:leader="none" w:pos="102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Upon Death or Disability</w:t>
      </w:r>
      <w:r>
        <w:rPr>
          <w:rFonts w:ascii="Times New Roman" w:cs="Times New Roman" w:eastAsia="Times New Roman" w:hAnsi="Times New Roman"/>
          <w:sz w:val="22"/>
          <w:szCs w:val="22"/>
          <w:color w:val="auto"/>
        </w:rPr>
        <w:t>. Upon Termination of Employment by the Company following your Disability (as defined in your Employment Agreement) or death, all unvested RSUs shall vest and, in the case of your death, the shares represented by such RSUs shall be distributed to your heirs.</w:t>
      </w:r>
    </w:p>
    <w:p>
      <w:pPr>
        <w:spacing w:after="0" w:line="167" w:lineRule="exact"/>
        <w:rPr>
          <w:rFonts w:ascii="Times New Roman" w:cs="Times New Roman" w:eastAsia="Times New Roman" w:hAnsi="Times New Roman"/>
          <w:sz w:val="22"/>
          <w:szCs w:val="22"/>
          <w:color w:val="auto"/>
        </w:rPr>
      </w:pPr>
    </w:p>
    <w:p>
      <w:pPr>
        <w:ind w:right="180" w:firstLine="656"/>
        <w:spacing w:after="0" w:line="275" w:lineRule="auto"/>
        <w:tabs>
          <w:tab w:leader="none" w:pos="1026"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Cause/Resignation for Good Reason</w:t>
      </w:r>
      <w:r>
        <w:rPr>
          <w:rFonts w:ascii="Times New Roman" w:cs="Times New Roman" w:eastAsia="Times New Roman" w:hAnsi="Times New Roman"/>
          <w:sz w:val="21"/>
          <w:szCs w:val="21"/>
          <w:color w:val="auto"/>
        </w:rPr>
        <w:t>. Upon Termination of your Employment by the Company on account of any reason other than for Cause, death or your Disability or you resign for Good Reason as described in Section 11(a) of that certain employment agreement between the Company and you. dated September 15, 2025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18" w:right="359" w:bottom="1440" w:gutter="0" w:footer="0" w:header="0"/>
        </w:sectPr>
      </w:pPr>
    </w:p>
    <w:bookmarkStart w:id="49" w:name="page50"/>
    <w:bookmarkEnd w:id="49"/>
    <w:p>
      <w:pPr>
        <w:ind w:right="74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and provided that the conditions of Section 11(a) of the Employment Agreement are met, all unvested RSUs shall vest.</w:t>
      </w:r>
    </w:p>
    <w:p>
      <w:pPr>
        <w:spacing w:after="0" w:line="158" w:lineRule="exact"/>
        <w:rPr>
          <w:sz w:val="20"/>
          <w:szCs w:val="20"/>
          <w:color w:val="auto"/>
        </w:rPr>
      </w:pPr>
    </w:p>
    <w:p>
      <w:pPr>
        <w:ind w:firstLine="656"/>
        <w:spacing w:after="0" w:line="253" w:lineRule="auto"/>
        <w:tabs>
          <w:tab w:leader="none" w:pos="102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You may not sell, assign, transfer, pledge, hedge, hypothecate, encumber or dispose of in any way (whether by operation of law or otherwise) any unvested RSUs, and unvested RSUs shall not be subject to execution, attachment or similar process. Any attempt by you or any other person claiming against, through or under you to cause unvested RSUs to be transferred or assigned in any manner and for any purpose not permitted hereunder or under the Plan shall be null and void and without effect upon the Company, you or any other person.</w:t>
      </w:r>
    </w:p>
    <w:p>
      <w:pPr>
        <w:spacing w:after="0" w:line="178" w:lineRule="exact"/>
        <w:rPr>
          <w:rFonts w:ascii="Times New Roman" w:cs="Times New Roman" w:eastAsia="Times New Roman" w:hAnsi="Times New Roman"/>
          <w:sz w:val="22"/>
          <w:szCs w:val="22"/>
          <w:color w:val="auto"/>
        </w:rPr>
      </w:pPr>
    </w:p>
    <w:p>
      <w:pPr>
        <w:ind w:right="520" w:firstLine="656"/>
        <w:spacing w:after="0" w:line="263" w:lineRule="auto"/>
        <w:tabs>
          <w:tab w:leader="none" w:pos="102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Ownership of Stock; No Dividends or Voting Rights</w:t>
      </w:r>
      <w:r>
        <w:rPr>
          <w:rFonts w:ascii="Times New Roman" w:cs="Times New Roman" w:eastAsia="Times New Roman" w:hAnsi="Times New Roman"/>
          <w:sz w:val="22"/>
          <w:szCs w:val="22"/>
          <w:color w:val="auto"/>
        </w:rPr>
        <w:t>. The RSUs do not represent shares of the Company’s common stock, and no dividends or other distributions will be payable on unvested RSUs, and you will not have any voting rights with respect to the unvested RSUs.</w:t>
      </w:r>
    </w:p>
    <w:p>
      <w:pPr>
        <w:spacing w:after="0" w:line="167" w:lineRule="exact"/>
        <w:rPr>
          <w:rFonts w:ascii="Times New Roman" w:cs="Times New Roman" w:eastAsia="Times New Roman" w:hAnsi="Times New Roman"/>
          <w:sz w:val="22"/>
          <w:szCs w:val="22"/>
          <w:color w:val="auto"/>
        </w:rPr>
      </w:pPr>
    </w:p>
    <w:p>
      <w:pPr>
        <w:ind w:firstLine="656"/>
        <w:spacing w:after="0" w:line="252" w:lineRule="auto"/>
        <w:tabs>
          <w:tab w:leader="none" w:pos="102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Upon Vesting</w:t>
      </w:r>
      <w:r>
        <w:rPr>
          <w:rFonts w:ascii="Times New Roman" w:cs="Times New Roman" w:eastAsia="Times New Roman" w:hAnsi="Times New Roman"/>
          <w:sz w:val="22"/>
          <w:szCs w:val="22"/>
          <w:color w:val="auto"/>
        </w:rPr>
        <w:t>. If, as and when any RSU becomes vested, and subject to the satisfaction of applicable withholding and other legal requirements, the vested RSU becomes void and you shall own one share of common stock of the Company for each vested RSU within sixty (60) days following the date that the RSUs become vested, unless a delay is required pursuant to Section 11.2 of the Plan.</w:t>
      </w:r>
    </w:p>
    <w:p>
      <w:pPr>
        <w:spacing w:after="0" w:line="192" w:lineRule="exact"/>
        <w:rPr>
          <w:rFonts w:ascii="Times New Roman" w:cs="Times New Roman" w:eastAsia="Times New Roman" w:hAnsi="Times New Roman"/>
          <w:sz w:val="22"/>
          <w:szCs w:val="22"/>
          <w:color w:val="auto"/>
        </w:rPr>
      </w:pPr>
    </w:p>
    <w:p>
      <w:pPr>
        <w:ind w:firstLine="656"/>
        <w:spacing w:after="0" w:line="249" w:lineRule="auto"/>
        <w:tabs>
          <w:tab w:leader="none" w:pos="102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vesting of RSUs covered by this certificate shall be subject to and conditioned upon the satisfaction by you of applicable tax withholding obligations. The Company may require you or you may elect, in accordance with procedures set up by the Committee, to remit an amount sufficient to satisfy applicable withholding taxes or deduct or withhold such amount from any payments otherwise owed to you. By accepting this award, you expressly authorizes the Company to deduct from any compensation or any other payment of any kind due to you, including withholding shares issued in exchange for vested RSUs, for the amount of any federal, state, local or foreign taxes required by law to be withheld in connection with the vesting of RSUs; provided, however, that the value of the RSUs withheld shall be at the minimum withholding amount required by law.</w:t>
      </w:r>
    </w:p>
    <w:p>
      <w:pPr>
        <w:spacing w:after="0" w:line="181" w:lineRule="exact"/>
        <w:rPr>
          <w:rFonts w:ascii="Times New Roman" w:cs="Times New Roman" w:eastAsia="Times New Roman" w:hAnsi="Times New Roman"/>
          <w:sz w:val="22"/>
          <w:szCs w:val="22"/>
          <w:color w:val="auto"/>
        </w:rPr>
      </w:pPr>
    </w:p>
    <w:p>
      <w:pPr>
        <w:ind w:right="100" w:firstLine="656"/>
        <w:spacing w:after="0" w:line="250" w:lineRule="auto"/>
        <w:tabs>
          <w:tab w:leader="none" w:pos="113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 and the Committee’s Authority Control</w:t>
      </w:r>
      <w:r>
        <w:rPr>
          <w:rFonts w:ascii="Times New Roman" w:cs="Times New Roman" w:eastAsia="Times New Roman" w:hAnsi="Times New Roman"/>
          <w:sz w:val="22"/>
          <w:szCs w:val="22"/>
          <w:color w:val="auto"/>
        </w:rPr>
        <w:t>. This certificate is subject to all the terms, conditions and provisions of the Plan, and to the rules, regulations and interpretations as may be established or made by the Committee acting within the scope of its authority and responsibility under the Plan. A copy of the Plan is available to you and may be obtained from the Company’s Corporate Secretary at the Company’s corporate headquarters. The applicable provisions of the Plan shall govern in any situation where this certificate is silent or where the applicable provisions of this certificate are contrary to or not reconcilable with such Plan provisions. The Committee shall have complete discretion in the exercise of its rights, powers, and duties with respect to the award represented by this certificate. Any interpretation or construction of any provision of, and the determination of any question arising under, this certificate shall be made by the Committee in its discretion and such exercise shall be final, conclusive,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22" w:right="359" w:bottom="1440" w:gutter="0" w:footer="0" w:header="0"/>
        </w:sectPr>
      </w:pPr>
    </w:p>
    <w:bookmarkStart w:id="50" w:name="page51"/>
    <w:bookmarkEnd w:id="50"/>
    <w:p>
      <w:pPr>
        <w:ind w:left="-160" w:right="160" w:firstLine="656"/>
        <w:spacing w:after="0" w:line="256" w:lineRule="auto"/>
        <w:tabs>
          <w:tab w:leader="none" w:pos="96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Rights</w:t>
      </w:r>
      <w:r>
        <w:rPr>
          <w:rFonts w:ascii="Times New Roman" w:cs="Times New Roman" w:eastAsia="Times New Roman" w:hAnsi="Times New Roman"/>
          <w:sz w:val="22"/>
          <w:szCs w:val="22"/>
          <w:color w:val="auto"/>
        </w:rPr>
        <w:t>. Nothing contained herein or in the Plan shall confer upon you any right of continued employment or other service with the Company or interfere in any way with the right of the Company at any time to terminate your employment or other service with the Company or to increase, decrease or otherwise adjust your compensation and any other terms and conditions of your employment or other service.</w:t>
      </w:r>
    </w:p>
    <w:p>
      <w:pPr>
        <w:spacing w:after="0" w:line="176" w:lineRule="exact"/>
        <w:rPr>
          <w:rFonts w:ascii="Times New Roman" w:cs="Times New Roman" w:eastAsia="Times New Roman" w:hAnsi="Times New Roman"/>
          <w:sz w:val="22"/>
          <w:szCs w:val="22"/>
          <w:color w:val="auto"/>
        </w:rPr>
      </w:pPr>
    </w:p>
    <w:p>
      <w:pPr>
        <w:ind w:left="980" w:hanging="484"/>
        <w:spacing w:after="0"/>
        <w:tabs>
          <w:tab w:leader="none" w:pos="9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Sections 9.4 and 11.2 of the Plan are hereby incorporated herein.</w:t>
      </w:r>
    </w:p>
    <w:p>
      <w:pPr>
        <w:spacing w:after="0" w:line="219" w:lineRule="exact"/>
        <w:rPr>
          <w:rFonts w:ascii="Times New Roman" w:cs="Times New Roman" w:eastAsia="Times New Roman" w:hAnsi="Times New Roman"/>
          <w:sz w:val="22"/>
          <w:szCs w:val="22"/>
          <w:color w:val="auto"/>
        </w:rPr>
      </w:pPr>
    </w:p>
    <w:p>
      <w:pPr>
        <w:ind w:left="-160" w:right="260" w:firstLine="656"/>
        <w:spacing w:after="0" w:line="271" w:lineRule="auto"/>
        <w:tabs>
          <w:tab w:leader="none" w:pos="97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certificate shall be binding upon, and inure to the benefit of, any successor or successors of the Company, you and any of your beneficiaries</w:t>
      </w:r>
      <w:r>
        <w:rPr>
          <w:rFonts w:ascii="Times New Roman" w:cs="Times New Roman" w:eastAsia="Times New Roman" w:hAnsi="Times New Roman"/>
          <w:sz w:val="22"/>
          <w:szCs w:val="22"/>
          <w:u w:val="single" w:color="auto"/>
          <w:color w:val="auto"/>
        </w:rPr>
        <w:t>.</w:t>
      </w:r>
    </w:p>
    <w:p>
      <w:pPr>
        <w:spacing w:after="0" w:line="157" w:lineRule="exact"/>
        <w:rPr>
          <w:rFonts w:ascii="Times New Roman" w:cs="Times New Roman" w:eastAsia="Times New Roman" w:hAnsi="Times New Roman"/>
          <w:sz w:val="22"/>
          <w:szCs w:val="22"/>
          <w:color w:val="auto"/>
        </w:rPr>
      </w:pPr>
    </w:p>
    <w:p>
      <w:pPr>
        <w:ind w:left="-160" w:firstLine="656"/>
        <w:spacing w:after="0" w:line="263" w:lineRule="auto"/>
        <w:tabs>
          <w:tab w:leader="none" w:pos="97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Understanding</w:t>
      </w:r>
      <w:r>
        <w:rPr>
          <w:rFonts w:ascii="Times New Roman" w:cs="Times New Roman" w:eastAsia="Times New Roman" w:hAnsi="Times New Roman"/>
          <w:sz w:val="22"/>
          <w:szCs w:val="22"/>
          <w:color w:val="auto"/>
        </w:rPr>
        <w:t>. This certificate and the terms of the Plan constitute the entire terms of the award represented by this certificate and may not be amended, except as provided in the Plan, other than by a written instrument executed by the Company and you.</w:t>
      </w:r>
    </w:p>
    <w:p>
      <w:pPr>
        <w:spacing w:after="0" w:line="167" w:lineRule="exact"/>
        <w:rPr>
          <w:rFonts w:ascii="Times New Roman" w:cs="Times New Roman" w:eastAsia="Times New Roman" w:hAnsi="Times New Roman"/>
          <w:sz w:val="22"/>
          <w:szCs w:val="22"/>
          <w:color w:val="auto"/>
        </w:rPr>
      </w:pPr>
    </w:p>
    <w:p>
      <w:pPr>
        <w:ind w:left="-160" w:right="80" w:firstLine="656"/>
        <w:spacing w:after="0" w:line="271" w:lineRule="auto"/>
        <w:tabs>
          <w:tab w:leader="none" w:pos="97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rights and obligations under this certificate shall be governed by and construed in accordance with the laws of the State of Delaware, without regard to its principles of conflict of laws.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20"/>
          </w:cols>
          <w:pgMar w:left="480" w:top="1422" w:right="499" w:bottom="1440" w:gutter="0" w:footer="0" w:header="0"/>
        </w:sectPr>
      </w:pPr>
    </w:p>
    <w:bookmarkStart w:id="51" w:name="page52"/>
    <w:bookmarkEnd w:id="51"/>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8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Mistras Group, Inc.</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Eileen Coggins</w:t>
            </w:r>
          </w:p>
        </w:tc>
      </w:tr>
      <w:tr>
        <w:trPr>
          <w:trHeight w:val="420"/>
        </w:trPr>
        <w:tc>
          <w:tcPr>
            <w:tcW w:w="18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____________________</w:t>
            </w:r>
          </w:p>
        </w:tc>
      </w:tr>
      <w:tr>
        <w:trPr>
          <w:trHeight w:val="20"/>
        </w:trPr>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9479"/>
          </w:cols>
          <w:pgMar w:left="980" w:top="1440" w:right="1440" w:bottom="144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Signature Page to Restricted Stock Unit Certificate – Eileen Coggins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9019"/>
          </w:cols>
          <w:pgMar w:left="1440" w:top="1440" w:right="1440" w:bottom="1440" w:gutter="0" w:footer="0" w:header="0"/>
          <w:type w:val="continuous"/>
        </w:sectPr>
      </w:pPr>
    </w:p>
    <w:bookmarkStart w:id="53" w:name="page54"/>
    <w:bookmarkEnd w:id="53"/>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EMPLOYMENT AGREEMENT</w:t>
      </w:r>
    </w:p>
    <w:p>
      <w:pPr>
        <w:spacing w:after="0" w:line="214" w:lineRule="exact"/>
        <w:rPr>
          <w:sz w:val="20"/>
          <w:szCs w:val="20"/>
          <w:color w:val="auto"/>
        </w:rPr>
      </w:pPr>
    </w:p>
    <w:p>
      <w:pPr>
        <w:ind w:left="300" w:right="60" w:firstLine="647"/>
        <w:spacing w:after="0" w:line="284" w:lineRule="auto"/>
        <w:rPr>
          <w:sz w:val="20"/>
          <w:szCs w:val="20"/>
          <w:color w:val="auto"/>
        </w:rPr>
      </w:pPr>
      <w:r>
        <w:rPr>
          <w:rFonts w:ascii="Times New Roman" w:cs="Times New Roman" w:eastAsia="Times New Roman" w:hAnsi="Times New Roman"/>
          <w:sz w:val="19"/>
          <w:szCs w:val="19"/>
          <w:color w:val="auto"/>
        </w:rPr>
        <w:t xml:space="preserve">This Employment Agreement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xml:space="preserve"> is entered into on [DATE] between Mistras Group, Inc., a Delaware corporation (such entity or its successor,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Eileen Coggins (</w:t>
      </w:r>
      <w:r>
        <w:rPr>
          <w:rFonts w:ascii="Times New Roman" w:cs="Times New Roman" w:eastAsia="Times New Roman" w:hAnsi="Times New Roman"/>
          <w:sz w:val="19"/>
          <w:szCs w:val="19"/>
          <w:b w:val="1"/>
          <w:bCs w:val="1"/>
          <w:color w:val="auto"/>
        </w:rPr>
        <w:t>"Executive"</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b w:val="1"/>
          <w:bCs w:val="1"/>
          <w:u w:val="single" w:color="auto"/>
          <w:color w:val="auto"/>
        </w:rPr>
        <w:t>Recital</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this Agreement sets forth the terms and conditions of the Company's employment of Executive.</w:t>
      </w:r>
    </w:p>
    <w:p>
      <w:pPr>
        <w:spacing w:after="0" w:line="214" w:lineRule="exact"/>
        <w:rPr>
          <w:sz w:val="20"/>
          <w:szCs w:val="20"/>
          <w:color w:val="auto"/>
        </w:rPr>
      </w:pPr>
    </w:p>
    <w:p>
      <w:pPr>
        <w:ind w:left="300" w:right="240" w:firstLine="647"/>
        <w:spacing w:after="0" w:line="284"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for good and valuable consideration, the receipt and sufficiency of which are hereby acknowledged,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intending to be legally bound hereby, the parties agree as follows:</w:t>
      </w:r>
    </w:p>
    <w:p>
      <w:pPr>
        <w:spacing w:after="0" w:line="158" w:lineRule="exact"/>
        <w:rPr>
          <w:sz w:val="20"/>
          <w:szCs w:val="20"/>
          <w:color w:val="auto"/>
        </w:rPr>
      </w:pPr>
    </w:p>
    <w:p>
      <w:pPr>
        <w:ind w:left="300" w:hanging="8"/>
        <w:spacing w:after="0" w:line="284" w:lineRule="auto"/>
        <w:tabs>
          <w:tab w:leader="none" w:pos="61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Employment</w:t>
      </w:r>
      <w:r>
        <w:rPr>
          <w:rFonts w:ascii="Times New Roman" w:cs="Times New Roman" w:eastAsia="Times New Roman" w:hAnsi="Times New Roman"/>
          <w:sz w:val="19"/>
          <w:szCs w:val="19"/>
          <w:color w:val="auto"/>
        </w:rPr>
        <w:t>. The Company shall employ Executive and Executive shall be employed by the Company upon the terms and conditions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set forth in this Agreement.</w:t>
      </w:r>
    </w:p>
    <w:p>
      <w:pPr>
        <w:spacing w:after="0" w:line="157" w:lineRule="exact"/>
        <w:rPr>
          <w:rFonts w:ascii="Times New Roman" w:cs="Times New Roman" w:eastAsia="Times New Roman" w:hAnsi="Times New Roman"/>
          <w:sz w:val="19"/>
          <w:szCs w:val="19"/>
          <w:color w:val="auto"/>
        </w:rPr>
      </w:pPr>
    </w:p>
    <w:p>
      <w:pPr>
        <w:ind w:left="300" w:hanging="8"/>
        <w:spacing w:after="0" w:line="270" w:lineRule="auto"/>
        <w:tabs>
          <w:tab w:leader="none" w:pos="61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w:t>
      </w:r>
      <w:r>
        <w:rPr>
          <w:rFonts w:ascii="Times New Roman" w:cs="Times New Roman" w:eastAsia="Times New Roman" w:hAnsi="Times New Roman"/>
          <w:sz w:val="19"/>
          <w:szCs w:val="19"/>
          <w:color w:val="auto"/>
        </w:rPr>
        <w:t>. Executive's employment pursuant to this Agreement will commence on September 15, 2025 or such other date agreed between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parties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xml:space="preserve">) and will continue until terminated in accordance with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hereof.</w:t>
      </w:r>
    </w:p>
    <w:p>
      <w:pPr>
        <w:spacing w:after="0" w:line="169" w:lineRule="exact"/>
        <w:rPr>
          <w:rFonts w:ascii="Times New Roman" w:cs="Times New Roman" w:eastAsia="Times New Roman" w:hAnsi="Times New Roman"/>
          <w:sz w:val="19"/>
          <w:szCs w:val="19"/>
          <w:color w:val="auto"/>
        </w:rPr>
      </w:pPr>
    </w:p>
    <w:p>
      <w:pPr>
        <w:ind w:left="940" w:hanging="648"/>
        <w:spacing w:after="0"/>
        <w:tabs>
          <w:tab w:leader="none" w:pos="9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Position and Duties; Full Time Commitment.</w:t>
      </w:r>
    </w:p>
    <w:p>
      <w:pPr>
        <w:spacing w:after="0" w:line="231" w:lineRule="exact"/>
        <w:rPr>
          <w:rFonts w:ascii="Times New Roman" w:cs="Times New Roman" w:eastAsia="Times New Roman" w:hAnsi="Times New Roman"/>
          <w:sz w:val="19"/>
          <w:szCs w:val="19"/>
          <w:color w:val="auto"/>
        </w:rPr>
      </w:pPr>
    </w:p>
    <w:p>
      <w:pPr>
        <w:jc w:val="both"/>
        <w:ind w:left="300" w:firstLine="639"/>
        <w:spacing w:after="0" w:line="254" w:lineRule="auto"/>
        <w:tabs>
          <w:tab w:leader="none" w:pos="1265"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shall initially serve as the Executive Vice President and Chief Legal Officer of the Company, and then at such time as determined by the Company, but not later than by January 1, 2026, shall instead serve as the Executive Vice President, General Counsel and Secretary of the Company, and, in such positions, Executive will report to the President and Chief Executive Officer of the Company and carry out such duties and responsibilities as are customarily performed by persons in Executive's positions generally for public companies within the industry, and such other duties and responsibilities as the President and Chief Executive Officer or the Executive Chairman of the Company’s Board of Directors may reasonably assign to Executive from time to time.</w:t>
      </w:r>
    </w:p>
    <w:p>
      <w:pPr>
        <w:spacing w:after="0" w:line="192" w:lineRule="exact"/>
        <w:rPr>
          <w:rFonts w:ascii="Times New Roman" w:cs="Times New Roman" w:eastAsia="Times New Roman" w:hAnsi="Times New Roman"/>
          <w:sz w:val="19"/>
          <w:szCs w:val="19"/>
          <w:color w:val="auto"/>
        </w:rPr>
      </w:pPr>
    </w:p>
    <w:p>
      <w:pPr>
        <w:jc w:val="both"/>
        <w:ind w:left="300" w:firstLine="639"/>
        <w:spacing w:after="0" w:line="256" w:lineRule="auto"/>
        <w:tabs>
          <w:tab w:leader="none" w:pos="1262"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agrees to devote Executive’s full business time and best efforts to the performance of Executive's duties and responsibilities hereunder and in furtherance of the Company's interests and will not engage in any other employment, consulting or business services; provided that Executive may engage in charitable activities so long as such activities do not interfere with the performance of Executive's duties and responsibilities hereunder.</w:t>
      </w:r>
    </w:p>
    <w:p>
      <w:pPr>
        <w:spacing w:after="0" w:line="184" w:lineRule="exact"/>
        <w:rPr>
          <w:rFonts w:ascii="Times New Roman" w:cs="Times New Roman" w:eastAsia="Times New Roman" w:hAnsi="Times New Roman"/>
          <w:sz w:val="19"/>
          <w:szCs w:val="19"/>
          <w:color w:val="auto"/>
        </w:rPr>
      </w:pPr>
    </w:p>
    <w:p>
      <w:pPr>
        <w:jc w:val="both"/>
        <w:ind w:left="300" w:hanging="8"/>
        <w:spacing w:after="0" w:line="268" w:lineRule="auto"/>
        <w:tabs>
          <w:tab w:leader="none" w:pos="61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Company Policies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will comply with all policies of the Company in effect from time to time, including (without limitation)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policies regarding ethics, personal conduct, stock ownership, securities trading, compensation clawbacks and hedging and pledging of securities.</w:t>
      </w:r>
    </w:p>
    <w:p>
      <w:pPr>
        <w:spacing w:after="0" w:line="159" w:lineRule="exact"/>
        <w:rPr>
          <w:rFonts w:ascii="Times New Roman" w:cs="Times New Roman" w:eastAsia="Times New Roman" w:hAnsi="Times New Roman"/>
          <w:sz w:val="19"/>
          <w:szCs w:val="19"/>
          <w:color w:val="auto"/>
        </w:rPr>
      </w:pPr>
    </w:p>
    <w:p>
      <w:pPr>
        <w:ind w:left="300" w:hanging="8"/>
        <w:spacing w:after="0" w:line="284" w:lineRule="auto"/>
        <w:tabs>
          <w:tab w:leader="none" w:pos="61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Place of Performance</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will work at the Company's Princeton Junction, New Jersey headquarters; provided however,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will be required to travel from time to time for business purposes.</w:t>
      </w:r>
    </w:p>
    <w:p>
      <w:pPr>
        <w:spacing w:after="0" w:line="157" w:lineRule="exact"/>
        <w:rPr>
          <w:rFonts w:ascii="Times New Roman" w:cs="Times New Roman" w:eastAsia="Times New Roman" w:hAnsi="Times New Roman"/>
          <w:sz w:val="19"/>
          <w:szCs w:val="19"/>
          <w:color w:val="auto"/>
        </w:rPr>
      </w:pPr>
    </w:p>
    <w:p>
      <w:pPr>
        <w:jc w:val="both"/>
        <w:ind w:left="300" w:hanging="8"/>
        <w:spacing w:after="0" w:line="256" w:lineRule="auto"/>
        <w:tabs>
          <w:tab w:leader="none" w:pos="61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Salary</w:t>
      </w:r>
      <w:r>
        <w:rPr>
          <w:rFonts w:ascii="Times New Roman" w:cs="Times New Roman" w:eastAsia="Times New Roman" w:hAnsi="Times New Roman"/>
          <w:sz w:val="19"/>
          <w:szCs w:val="19"/>
          <w:color w:val="auto"/>
        </w:rPr>
        <w:t>. Executive's position with the Company is a full-time exempt position. The Company will pay Executive a salary (the</w:t>
      </w:r>
      <w:r>
        <w:rPr>
          <w:rFonts w:ascii="Times New Roman" w:cs="Times New Roman" w:eastAsia="Times New Roman" w:hAnsi="Times New Roman"/>
          <w:sz w:val="19"/>
          <w:szCs w:val="19"/>
          <w:b w:val="1"/>
          <w:bCs w:val="1"/>
          <w:color w:val="auto"/>
        </w:rPr>
        <w:t xml:space="preserve"> "Base Salary"</w:t>
      </w:r>
      <w:r>
        <w:rPr>
          <w:rFonts w:ascii="Times New Roman" w:cs="Times New Roman" w:eastAsia="Times New Roman" w:hAnsi="Times New Roman"/>
          <w:sz w:val="19"/>
          <w:szCs w:val="19"/>
          <w:color w:val="auto"/>
        </w:rPr>
        <w:t>) at an initial annual rate of $415,000, payable in accordance with the Company's standard payroll schedule and subject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applicable deductions and withholdings. The amount of the Base Salary shall be reviewed on an annual basis in conjunction with an annual performance assessment of Executive and may be increased or decreased from time to time by the Compensation Committee of the Company’s Board of Directors (the </w:t>
      </w:r>
      <w:r>
        <w:rPr>
          <w:rFonts w:ascii="Times New Roman" w:cs="Times New Roman" w:eastAsia="Times New Roman" w:hAnsi="Times New Roman"/>
          <w:sz w:val="19"/>
          <w:szCs w:val="19"/>
          <w:b w:val="1"/>
          <w:bCs w:val="1"/>
          <w:color w:val="auto"/>
        </w:rPr>
        <w:t>“Compensation Committee”</w:t>
      </w:r>
      <w:r>
        <w:rPr>
          <w:rFonts w:ascii="Times New Roman" w:cs="Times New Roman" w:eastAsia="Times New Roman" w:hAnsi="Times New Roman"/>
          <w:sz w:val="19"/>
          <w:szCs w:val="19"/>
          <w:color w:val="auto"/>
        </w:rPr>
        <w:t>).</w:t>
      </w:r>
    </w:p>
    <w:p>
      <w:pPr>
        <w:spacing w:after="0" w:line="184" w:lineRule="exact"/>
        <w:rPr>
          <w:rFonts w:ascii="Times New Roman" w:cs="Times New Roman" w:eastAsia="Times New Roman" w:hAnsi="Times New Roman"/>
          <w:sz w:val="19"/>
          <w:szCs w:val="19"/>
          <w:color w:val="auto"/>
        </w:rPr>
      </w:pPr>
    </w:p>
    <w:p>
      <w:pPr>
        <w:ind w:left="940" w:hanging="648"/>
        <w:spacing w:after="0"/>
        <w:tabs>
          <w:tab w:leader="none" w:pos="9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Annual Incentive Awards.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880"/>
          </w:cols>
          <w:pgMar w:left="360" w:top="1405" w:right="659" w:bottom="1440" w:gutter="0" w:footer="0" w:header="0"/>
        </w:sectPr>
      </w:pPr>
    </w:p>
    <w:bookmarkStart w:id="54" w:name="page55"/>
    <w:bookmarkEnd w:id="54"/>
    <w:p>
      <w:pPr>
        <w:spacing w:after="0" w:line="105" w:lineRule="exact"/>
        <w:rPr>
          <w:sz w:val="20"/>
          <w:szCs w:val="20"/>
          <w:color w:val="auto"/>
        </w:rPr>
      </w:pPr>
    </w:p>
    <w:p>
      <w:pPr>
        <w:ind w:left="300" w:right="40" w:firstLine="639"/>
        <w:spacing w:after="0" w:line="251" w:lineRule="auto"/>
        <w:tabs>
          <w:tab w:leader="none" w:pos="1265"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each calendar year (other than calendar year 2025) during Executive's employment, Executive will have the opportunity to earn an annual incentive award under the Company's "executive annual incentive plan" (sometimes referred to as the "bonus plan") applicable to senior executives generally, with Executive's annual incentive target opportunity amount (and range of potential payouts, if any) for each calendar year (other than calendar year 2025) to be set by the Compensation Committee. Any annual incentive award that is earned by Executive will be payable consistent with the Company's regular payroll practices applicable to annual incentive awards for senior executives generally. The actual amount that will be earned will depend upon the extent to which performance targets established by the Compensation Committee under the bonus plan are or are not achieved. Except as otherwise expressly provided in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payment of any otherwise earned annual incentive award will be conditioned on Executive's continued employment with the Company through the date that annual incentive awards are paid to senior executives generally with respect to the applicable year.</w:t>
      </w:r>
    </w:p>
    <w:p>
      <w:pPr>
        <w:spacing w:after="0" w:line="198" w:lineRule="exact"/>
        <w:rPr>
          <w:rFonts w:ascii="Times New Roman" w:cs="Times New Roman" w:eastAsia="Times New Roman" w:hAnsi="Times New Roman"/>
          <w:sz w:val="19"/>
          <w:szCs w:val="19"/>
          <w:color w:val="auto"/>
        </w:rPr>
      </w:pPr>
    </w:p>
    <w:p>
      <w:pPr>
        <w:jc w:val="both"/>
        <w:ind w:left="300" w:firstLine="640"/>
        <w:spacing w:after="0" w:line="252" w:lineRule="auto"/>
        <w:tabs>
          <w:tab w:leader="none" w:pos="1264"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calendar year 2025, Executive will have the opportunity to earn an annual incentive award under the Company’s previously established “executive annual incentive plan” (sometimes, as noted above, referred to as the “bonus plan”) applicable to senior executives generally for calendar year 2025, but with the amount of any payment on account thereof to be pro-rated and computed as follows: first, the target amount (prior to the following proration) shall be equal to 100% of the Base Salary (and with the actual award amount (the “nominal amount”), if any and prior to the following proration, ranging from 0 to 200% of the target amount, depending upon the extent to which performance targets previously established by the Compensation Committee under the annual incentive plan for calendar year 2025 are or are not achieved, and with the weightings among such performance targets applied in the same manner for Executive); and second, the actual payment amount, if any, shall be pro-rated to equal the product of the nominal amount multiplied by a fraction the numerator of which is the number of days from and including the Effective Date to and including December 31, 2025 and the denominator of which is three hundred sixty-five (365). Except as otherwise expressly provided in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payment of any otherwise earned annual incentive award for the 2025 calendar year will be conditioned on Executive's continued employment with the Company through the date that annual incentive awards are paid to senior executives generally with respect to the 2025 calendar year.</w:t>
      </w:r>
    </w:p>
    <w:p>
      <w:pPr>
        <w:spacing w:after="0" w:line="213" w:lineRule="exact"/>
        <w:rPr>
          <w:rFonts w:ascii="Times New Roman" w:cs="Times New Roman" w:eastAsia="Times New Roman" w:hAnsi="Times New Roman"/>
          <w:sz w:val="19"/>
          <w:szCs w:val="19"/>
          <w:color w:val="auto"/>
        </w:rPr>
      </w:pPr>
    </w:p>
    <w:p>
      <w:pPr>
        <w:ind w:left="940" w:hanging="648"/>
        <w:spacing w:after="0"/>
        <w:tabs>
          <w:tab w:leader="none" w:pos="9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Long-Term Equity Incentive Grants.</w:t>
      </w:r>
    </w:p>
    <w:p>
      <w:pPr>
        <w:spacing w:after="0" w:line="217" w:lineRule="exact"/>
        <w:rPr>
          <w:rFonts w:ascii="Times New Roman" w:cs="Times New Roman" w:eastAsia="Times New Roman" w:hAnsi="Times New Roman"/>
          <w:sz w:val="19"/>
          <w:szCs w:val="19"/>
          <w:color w:val="auto"/>
        </w:rPr>
      </w:pPr>
    </w:p>
    <w:p>
      <w:pPr>
        <w:jc w:val="both"/>
        <w:ind w:left="300" w:firstLine="639"/>
        <w:spacing w:after="0" w:line="270" w:lineRule="auto"/>
        <w:tabs>
          <w:tab w:leader="none" w:pos="12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as a material inducement for Executive to accept employment with the Company, Executive shall be granted, on a one-time basis, a nonqualified stock option to purchase up to 25,000 shares of the Company’s common stock, with an exercise price per share of the Company’s common stock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equal to the closing price of the Shares on the New York Stock Executive on the grant date, which will be Executive’s first day as an employee of the Company (collectively, the </w:t>
      </w:r>
      <w:r>
        <w:rPr>
          <w:rFonts w:ascii="Times New Roman" w:cs="Times New Roman" w:eastAsia="Times New Roman" w:hAnsi="Times New Roman"/>
          <w:sz w:val="18"/>
          <w:szCs w:val="18"/>
          <w:b w:val="1"/>
          <w:bCs w:val="1"/>
          <w:color w:val="auto"/>
        </w:rPr>
        <w:t>“2025 Option”</w:t>
      </w:r>
      <w:r>
        <w:rPr>
          <w:rFonts w:ascii="Times New Roman" w:cs="Times New Roman" w:eastAsia="Times New Roman" w:hAnsi="Times New Roman"/>
          <w:sz w:val="18"/>
          <w:szCs w:val="18"/>
          <w:color w:val="auto"/>
        </w:rPr>
        <w:t xml:space="preserve">), provided that the 2025 Option shall vest on the first anniversary of the Effective Date, conditioned upon the continued employment of Executive on such vesting date, except as otherwise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Except as provided for in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the 2025 Option will be subject to the terms of a customary option agreement and approval by the Compensation Committee..</w:t>
      </w:r>
    </w:p>
    <w:p>
      <w:pPr>
        <w:spacing w:after="0" w:line="205" w:lineRule="exact"/>
        <w:rPr>
          <w:rFonts w:ascii="Times New Roman" w:cs="Times New Roman" w:eastAsia="Times New Roman" w:hAnsi="Times New Roman"/>
          <w:sz w:val="18"/>
          <w:szCs w:val="18"/>
          <w:color w:val="auto"/>
        </w:rPr>
      </w:pPr>
    </w:p>
    <w:p>
      <w:pPr>
        <w:jc w:val="both"/>
        <w:ind w:left="300" w:firstLine="639"/>
        <w:spacing w:after="0" w:line="254" w:lineRule="auto"/>
        <w:tabs>
          <w:tab w:leader="none" w:pos="1262"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the Effective Date, as a material inducement for Executive to accept employment with the Company, Executive shall be granted, on a one-time basis, a contingent right that represents the right to receive up to fifteen thousand (15,000) Shares in the future (collectively, the </w:t>
      </w:r>
      <w:r>
        <w:rPr>
          <w:rFonts w:ascii="Times New Roman" w:cs="Times New Roman" w:eastAsia="Times New Roman" w:hAnsi="Times New Roman"/>
          <w:sz w:val="19"/>
          <w:szCs w:val="19"/>
          <w:b w:val="1"/>
          <w:bCs w:val="1"/>
          <w:color w:val="auto"/>
        </w:rPr>
        <w:t>“Initial RSUs”</w:t>
      </w:r>
      <w:r>
        <w:rPr>
          <w:rFonts w:ascii="Times New Roman" w:cs="Times New Roman" w:eastAsia="Times New Roman" w:hAnsi="Times New Roman"/>
          <w:sz w:val="19"/>
          <w:szCs w:val="19"/>
          <w:color w:val="auto"/>
        </w:rPr>
        <w:t xml:space="preserve">), provided that the Initial RSUs shall vest in three (3) equal installments on each of the first three (3) anniversary dates of the Effective Date, conditioned upon the continued employment of Executive on each such vesting dates, except as otherwise provided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below. Except as provided for in this </w:t>
      </w:r>
      <w:r>
        <w:rPr>
          <w:rFonts w:ascii="Times New Roman" w:cs="Times New Roman" w:eastAsia="Times New Roman" w:hAnsi="Times New Roman"/>
          <w:sz w:val="19"/>
          <w:szCs w:val="19"/>
          <w:u w:val="single" w:color="auto"/>
          <w:color w:val="auto"/>
        </w:rPr>
        <w:t>Section 8(b)</w:t>
      </w:r>
      <w:r>
        <w:rPr>
          <w:rFonts w:ascii="Times New Roman" w:cs="Times New Roman" w:eastAsia="Times New Roman" w:hAnsi="Times New Roman"/>
          <w:sz w:val="19"/>
          <w:szCs w:val="19"/>
          <w:color w:val="auto"/>
        </w:rPr>
        <w:t xml:space="preserve"> and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below, the Initial RSUs shall be subject to the terms of a customary restricted stock unit agreement and approval by the Compensation Committee.</w:t>
      </w:r>
    </w:p>
    <w:p>
      <w:pPr>
        <w:spacing w:after="0" w:line="192" w:lineRule="exact"/>
        <w:rPr>
          <w:rFonts w:ascii="Times New Roman" w:cs="Times New Roman" w:eastAsia="Times New Roman" w:hAnsi="Times New Roman"/>
          <w:sz w:val="19"/>
          <w:szCs w:val="19"/>
          <w:color w:val="auto"/>
        </w:rPr>
      </w:pPr>
    </w:p>
    <w:p>
      <w:pPr>
        <w:jc w:val="both"/>
        <w:ind w:left="300" w:firstLine="639"/>
        <w:spacing w:after="0" w:line="258" w:lineRule="auto"/>
        <w:tabs>
          <w:tab w:leader="none" w:pos="1265"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Executive is eligible to participate in the Company’s Long-Term Incentive Plan (as amended or replaced from time to time, the </w:t>
      </w:r>
      <w:r>
        <w:rPr>
          <w:rFonts w:ascii="Times New Roman" w:cs="Times New Roman" w:eastAsia="Times New Roman" w:hAnsi="Times New Roman"/>
          <w:sz w:val="19"/>
          <w:szCs w:val="19"/>
          <w:b w:val="1"/>
          <w:bCs w:val="1"/>
          <w:color w:val="auto"/>
        </w:rPr>
        <w:t>“LTIP”</w:t>
      </w:r>
      <w:r>
        <w:rPr>
          <w:rFonts w:ascii="Times New Roman" w:cs="Times New Roman" w:eastAsia="Times New Roman" w:hAnsi="Times New Roman"/>
          <w:sz w:val="19"/>
          <w:szCs w:val="19"/>
          <w:color w:val="auto"/>
        </w:rPr>
        <w:t>). For each calendar year (other than calendar year 2025) during Executive's employment, Executive will be eligible to receive a grant of performance-based equity, which, as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80"/>
          </w:cols>
          <w:pgMar w:left="360" w:top="1440" w:right="659" w:bottom="1440" w:gutter="0" w:footer="0" w:header="0"/>
        </w:sectPr>
      </w:pPr>
    </w:p>
    <w:bookmarkStart w:id="55" w:name="page56"/>
    <w:bookmarkEnd w:id="55"/>
    <w:p>
      <w:pPr>
        <w:spacing w:after="0" w:line="101"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9"/>
          <w:szCs w:val="19"/>
          <w:color w:val="auto"/>
        </w:rPr>
        <w:t>of the Effective Date, is contemplated to be in the form of performance-based Restricted Stock Unit Awards (</w:t>
      </w:r>
      <w:r>
        <w:rPr>
          <w:rFonts w:ascii="Times New Roman" w:cs="Times New Roman" w:eastAsia="Times New Roman" w:hAnsi="Times New Roman"/>
          <w:sz w:val="19"/>
          <w:szCs w:val="19"/>
          <w:b w:val="1"/>
          <w:bCs w:val="1"/>
          <w:color w:val="auto"/>
        </w:rPr>
        <w:t>"Performance-Based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RSUs"</w:t>
      </w:r>
      <w:r>
        <w:rPr>
          <w:rFonts w:ascii="Times New Roman" w:cs="Times New Roman" w:eastAsia="Times New Roman" w:hAnsi="Times New Roman"/>
          <w:sz w:val="19"/>
          <w:szCs w:val="19"/>
          <w:color w:val="auto"/>
        </w:rPr>
        <w:t>) under the LTIP as in effect from time to time. Executive’s performance-based target equity opportunity amount (and range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potential payouts, if any) for each calendar year (other than calendar year 2025) will be set by the Compensation Committee and will be dependent upon the extent to which performance targets established by the Compensation Committee are or are not achieved for such year. The Compensation Committee shall establish all terms and conditions and make all determinations regarding such equity incentive award opportunity, consistent with the terms of the LTIP, which in all events shall control.</w:t>
      </w:r>
    </w:p>
    <w:p>
      <w:pPr>
        <w:spacing w:after="0" w:line="191" w:lineRule="exact"/>
        <w:rPr>
          <w:sz w:val="20"/>
          <w:szCs w:val="20"/>
          <w:color w:val="auto"/>
        </w:rPr>
      </w:pPr>
    </w:p>
    <w:p>
      <w:pPr>
        <w:jc w:val="both"/>
        <w:ind w:left="300" w:firstLine="639"/>
        <w:spacing w:after="0" w:line="251" w:lineRule="auto"/>
        <w:tabs>
          <w:tab w:leader="none" w:pos="1262"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calendar year 2025, Executive will be eligible to receive a number of performance-based Restricted Stock Units under the LTIP as follows: first, any issuance of Restricted Stock Units to Executive for calendar year 2025 (</w:t>
      </w:r>
      <w:r>
        <w:rPr>
          <w:rFonts w:ascii="Times New Roman" w:cs="Times New Roman" w:eastAsia="Times New Roman" w:hAnsi="Times New Roman"/>
          <w:sz w:val="19"/>
          <w:szCs w:val="19"/>
          <w:b w:val="1"/>
          <w:bCs w:val="1"/>
          <w:color w:val="auto"/>
        </w:rPr>
        <w:t>“2025 RSUs”</w:t>
      </w:r>
      <w:r>
        <w:rPr>
          <w:rFonts w:ascii="Times New Roman" w:cs="Times New Roman" w:eastAsia="Times New Roman" w:hAnsi="Times New Roman"/>
          <w:sz w:val="19"/>
          <w:szCs w:val="19"/>
          <w:color w:val="auto"/>
        </w:rPr>
        <w:t>) will be contingent upon, and a direct function of, the extent to which the previously established performance targets applicable to performance-based equity for senior executives generally for calendar year 2025 are or are not achieved (and with the weightings among such performance targets applied in the same manner for Executive); second, the target dollar amount of the 2025 RSUs (prior to the following proration) shall be equal to 100% of the Base Salary (and with the actual award amount, if any and prior to proration, ranging from 0 to 200% of the target dollar amount, depending upon the extent to which such previously established performance targets for calendar year 2025 are or are not achieved); third, the actual award amount (the “nominal amount”), if any, shall be pro-rated to equal the product of the nominal amount multiplied by a fraction the numerator of which is the number of days from and including the Effective Date to and including December 31, 2025 and the denominator of which is three hundred sixty-five (365); and fourth, the resulting dollar amount shall be converted into a number of earned 2025 RSUs using the Company’s valuation methodology for conversions generally applicable to other senior executives.</w:t>
      </w:r>
    </w:p>
    <w:p>
      <w:pPr>
        <w:spacing w:after="0" w:line="200" w:lineRule="exact"/>
        <w:rPr>
          <w:rFonts w:ascii="Times New Roman" w:cs="Times New Roman" w:eastAsia="Times New Roman" w:hAnsi="Times New Roman"/>
          <w:sz w:val="19"/>
          <w:szCs w:val="19"/>
          <w:color w:val="auto"/>
        </w:rPr>
      </w:pPr>
    </w:p>
    <w:p>
      <w:pPr>
        <w:jc w:val="both"/>
        <w:ind w:left="300" w:firstLine="639"/>
        <w:spacing w:after="0" w:line="254" w:lineRule="auto"/>
        <w:tabs>
          <w:tab w:leader="none" w:pos="1265"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earned 2025 RSUs shall vest in four equal installments on each of the first four anniversary dates of the Earned Date (as defined below), subject to the continued employment of Executive on such vesting dates and except as otherwise provided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and the LTIP. Except as provided for in this </w:t>
      </w:r>
      <w:r>
        <w:rPr>
          <w:rFonts w:ascii="Times New Roman" w:cs="Times New Roman" w:eastAsia="Times New Roman" w:hAnsi="Times New Roman"/>
          <w:sz w:val="19"/>
          <w:szCs w:val="19"/>
          <w:u w:val="single" w:color="auto"/>
          <w:color w:val="auto"/>
        </w:rPr>
        <w:t>Section 8(e)</w:t>
      </w:r>
      <w:r>
        <w:rPr>
          <w:rFonts w:ascii="Times New Roman" w:cs="Times New Roman" w:eastAsia="Times New Roman" w:hAnsi="Times New Roman"/>
          <w:sz w:val="19"/>
          <w:szCs w:val="19"/>
          <w:color w:val="auto"/>
        </w:rPr>
        <w:t xml:space="preserve"> and in </w:t>
      </w:r>
      <w:r>
        <w:rPr>
          <w:rFonts w:ascii="Times New Roman" w:cs="Times New Roman" w:eastAsia="Times New Roman" w:hAnsi="Times New Roman"/>
          <w:sz w:val="19"/>
          <w:szCs w:val="19"/>
          <w:u w:val="single" w:color="auto"/>
          <w:color w:val="auto"/>
        </w:rPr>
        <w:t>Section 11 below</w:t>
      </w:r>
      <w:r>
        <w:rPr>
          <w:rFonts w:ascii="Times New Roman" w:cs="Times New Roman" w:eastAsia="Times New Roman" w:hAnsi="Times New Roman"/>
          <w:sz w:val="19"/>
          <w:szCs w:val="19"/>
          <w:color w:val="auto"/>
        </w:rPr>
        <w:t xml:space="preserve">, the Performance-Based RSUs and 2025 RSUs shall be subject to the terms of the LTIP, including Article 6 and Article 9 thereof. The </w:t>
      </w:r>
      <w:r>
        <w:rPr>
          <w:rFonts w:ascii="Times New Roman" w:cs="Times New Roman" w:eastAsia="Times New Roman" w:hAnsi="Times New Roman"/>
          <w:sz w:val="19"/>
          <w:szCs w:val="19"/>
          <w:b w:val="1"/>
          <w:bCs w:val="1"/>
          <w:color w:val="auto"/>
        </w:rPr>
        <w:t>“Earned Date”</w:t>
      </w:r>
      <w:r>
        <w:rPr>
          <w:rFonts w:ascii="Times New Roman" w:cs="Times New Roman" w:eastAsia="Times New Roman" w:hAnsi="Times New Roman"/>
          <w:sz w:val="19"/>
          <w:szCs w:val="19"/>
          <w:color w:val="auto"/>
        </w:rPr>
        <w:t xml:space="preserve"> in respect of Performance-Based RSUs and 2025 RSUs, as applicable, shall be the date on which the Committee (as defined in the LTIP) or its designee has determined the achievement levels in respect thereof.</w:t>
      </w:r>
    </w:p>
    <w:p>
      <w:pPr>
        <w:spacing w:after="0" w:line="205" w:lineRule="exact"/>
        <w:rPr>
          <w:rFonts w:ascii="Times New Roman" w:cs="Times New Roman" w:eastAsia="Times New Roman" w:hAnsi="Times New Roman"/>
          <w:sz w:val="19"/>
          <w:szCs w:val="19"/>
          <w:color w:val="auto"/>
        </w:rPr>
      </w:pPr>
    </w:p>
    <w:p>
      <w:pPr>
        <w:ind w:left="300" w:firstLine="639"/>
        <w:spacing w:after="0" w:line="280" w:lineRule="auto"/>
        <w:tabs>
          <w:tab w:leader="none" w:pos="1271"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equity award described herein will be subject to additional terms and conditions, not inconsistent with this Agreement, as specified by the administrator of the applicable equity plan and memorialized in a separate award agreement.</w:t>
      </w:r>
    </w:p>
    <w:p>
      <w:pPr>
        <w:spacing w:after="0" w:line="161" w:lineRule="exact"/>
        <w:rPr>
          <w:rFonts w:ascii="Times New Roman" w:cs="Times New Roman" w:eastAsia="Times New Roman" w:hAnsi="Times New Roman"/>
          <w:sz w:val="19"/>
          <w:szCs w:val="19"/>
          <w:color w:val="auto"/>
        </w:rPr>
      </w:pPr>
    </w:p>
    <w:p>
      <w:pPr>
        <w:ind w:left="940" w:hanging="648"/>
        <w:spacing w:after="0"/>
        <w:tabs>
          <w:tab w:leader="none" w:pos="9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Benefits; Business Expenses.</w:t>
      </w:r>
    </w:p>
    <w:p>
      <w:pPr>
        <w:spacing w:after="0" w:line="231" w:lineRule="exact"/>
        <w:rPr>
          <w:rFonts w:ascii="Times New Roman" w:cs="Times New Roman" w:eastAsia="Times New Roman" w:hAnsi="Times New Roman"/>
          <w:sz w:val="19"/>
          <w:szCs w:val="19"/>
          <w:color w:val="auto"/>
        </w:rPr>
      </w:pPr>
    </w:p>
    <w:p>
      <w:pPr>
        <w:jc w:val="both"/>
        <w:ind w:left="300" w:firstLine="639"/>
        <w:spacing w:after="0" w:line="251" w:lineRule="auto"/>
        <w:tabs>
          <w:tab w:leader="none" w:pos="1265"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 Executive shall be eligible to enroll in the Company's medical, dental, prescription drug and vision plan effective as of Executive’s first day of employment with the Company, in accordance with the terms of such plans, and also to enroll in the Company’s supplemental life insurance and dependent life insurance plans, in each case, in accordance with the terms of the applicable plans. Moreover, on the first day of the month following three (3) months of continuous employment, Executive may elect to participate in the Company's 401(k) Salary Savings plan. Executive will be eligible for vacation under the Paid Time Off Policy for other Company executives. In addition, as of the date of this Agreement, the Company offers eligible employees basic life insurance, accidental death and dismemberment (AD&amp;D) insurance, short-term and long-term disability insurance and identity theft protection at no additional cost. Notwithstanding the foregoing, Executive will not participate in the Company's Executive Severance Plan nor any other severance plan, policy or arrangement maintained by the Company or its affiliates.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80"/>
          </w:cols>
          <w:pgMar w:left="360" w:top="1440" w:right="659" w:bottom="1440" w:gutter="0" w:footer="0" w:header="0"/>
        </w:sectPr>
      </w:pPr>
    </w:p>
    <w:bookmarkStart w:id="56" w:name="page57"/>
    <w:bookmarkEnd w:id="56"/>
    <w:p>
      <w:pPr>
        <w:spacing w:after="0" w:line="105" w:lineRule="exact"/>
        <w:rPr>
          <w:sz w:val="20"/>
          <w:szCs w:val="20"/>
          <w:color w:val="auto"/>
        </w:rPr>
      </w:pPr>
    </w:p>
    <w:p>
      <w:pPr>
        <w:jc w:val="both"/>
        <w:ind w:left="300" w:firstLine="639"/>
        <w:spacing w:after="0" w:line="266" w:lineRule="auto"/>
        <w:tabs>
          <w:tab w:leader="none" w:pos="1262"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pay or reimburse Executive for all reasonable business expenses incurred or paid by Executive in the performance of Executive’s duties and responsibilities for the Company in accordance with the expense reimbursement policies of the Company, as may be amended from time to time.</w:t>
      </w:r>
    </w:p>
    <w:p>
      <w:pPr>
        <w:spacing w:after="0" w:line="178" w:lineRule="exact"/>
        <w:rPr>
          <w:rFonts w:ascii="Times New Roman" w:cs="Times New Roman" w:eastAsia="Times New Roman" w:hAnsi="Times New Roman"/>
          <w:sz w:val="19"/>
          <w:szCs w:val="19"/>
          <w:color w:val="auto"/>
        </w:rPr>
      </w:pPr>
    </w:p>
    <w:p>
      <w:pPr>
        <w:jc w:val="both"/>
        <w:ind w:left="300" w:firstLine="639"/>
        <w:spacing w:after="0" w:line="251" w:lineRule="auto"/>
        <w:tabs>
          <w:tab w:leader="none" w:pos="1265"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each calendar year during Executive’s employment, Executive shall receive an annual vehicle allowance of $10,100, which shall be paid ratably in accordance with the Company’s standard payroll schedule and subject to applicable deductions and withholdings; provided that the annual vehicle allowance will be pro-rated for calendar year 2025. Executive acknowledges that (except for “excess business mileage” and parking and toll expenses incurred in business travel-related outside of normal commuting, which shall be reimbursable in accordance with </w:t>
      </w:r>
      <w:r>
        <w:rPr>
          <w:rFonts w:ascii="Times New Roman" w:cs="Times New Roman" w:eastAsia="Times New Roman" w:hAnsi="Times New Roman"/>
          <w:sz w:val="19"/>
          <w:szCs w:val="19"/>
          <w:u w:val="single" w:color="auto"/>
          <w:color w:val="auto"/>
        </w:rPr>
        <w:t>Section 9(b)</w:t>
      </w:r>
      <w:r>
        <w:rPr>
          <w:rFonts w:ascii="Times New Roman" w:cs="Times New Roman" w:eastAsia="Times New Roman" w:hAnsi="Times New Roman"/>
          <w:sz w:val="19"/>
          <w:szCs w:val="19"/>
          <w:color w:val="auto"/>
        </w:rPr>
        <w:t>) the annual vehicle allowance is inclusive of all fuel, insurance, maintenance and other costs and expenses associated with Executive’s acquisition (whether by lease or otherwise) and maintenance of Executive’s selected vehicle and that payments on account of the annual vehicle allowance may result in Executive’s receipt of additional taxable income.</w:t>
      </w:r>
    </w:p>
    <w:p>
      <w:pPr>
        <w:spacing w:after="0" w:line="192" w:lineRule="exact"/>
        <w:rPr>
          <w:rFonts w:ascii="Times New Roman" w:cs="Times New Roman" w:eastAsia="Times New Roman" w:hAnsi="Times New Roman"/>
          <w:sz w:val="19"/>
          <w:szCs w:val="19"/>
          <w:color w:val="auto"/>
        </w:rPr>
      </w:pPr>
    </w:p>
    <w:p>
      <w:pPr>
        <w:ind w:left="940" w:hanging="648"/>
        <w:spacing w:after="0"/>
        <w:tabs>
          <w:tab w:leader="none" w:pos="94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Termination</w:t>
      </w:r>
      <w:r>
        <w:rPr>
          <w:rFonts w:ascii="Times New Roman" w:cs="Times New Roman" w:eastAsia="Times New Roman" w:hAnsi="Times New Roman"/>
          <w:sz w:val="19"/>
          <w:szCs w:val="19"/>
          <w:u w:val="single" w:color="auto"/>
          <w:color w:val="auto"/>
        </w:rPr>
        <w:t>.</w:t>
      </w:r>
    </w:p>
    <w:p>
      <w:pPr>
        <w:spacing w:after="0" w:line="231" w:lineRule="exact"/>
        <w:rPr>
          <w:rFonts w:ascii="Times New Roman" w:cs="Times New Roman" w:eastAsia="Times New Roman" w:hAnsi="Times New Roman"/>
          <w:sz w:val="19"/>
          <w:szCs w:val="19"/>
          <w:color w:val="auto"/>
        </w:rPr>
      </w:pPr>
    </w:p>
    <w:p>
      <w:pPr>
        <w:jc w:val="both"/>
        <w:ind w:left="300" w:firstLine="639"/>
        <w:spacing w:after="0" w:line="254" w:lineRule="auto"/>
        <w:tabs>
          <w:tab w:leader="none" w:pos="1265"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employment hereunder shall terminate on the earliest of: (i) on the date set forth in a written notice to Executive from the Company that Executive's employment with the Company has been or will be terminated, (ii) on the date not less than thirty (30) days following written notice from Executive to the Company that Executive is resigning from the Company, (iii) on the date of Executive's death, or (iv) on the date set forth in a written notice to Executive from the Company that Executive's employment is terminated on account of Executive's Disability, as determined by the Company. Notwithstanding the foregoing, in the event that- Executive gives notice of termination to the Company, the Company may unilaterally accelerate the date of termination and such acceleration shall not constitute a termination by the Company for purposes of this Agreement.</w:t>
      </w:r>
    </w:p>
    <w:p>
      <w:pPr>
        <w:spacing w:after="0" w:line="190" w:lineRule="exact"/>
        <w:rPr>
          <w:rFonts w:ascii="Times New Roman" w:cs="Times New Roman" w:eastAsia="Times New Roman" w:hAnsi="Times New Roman"/>
          <w:sz w:val="19"/>
          <w:szCs w:val="19"/>
          <w:color w:val="auto"/>
        </w:rPr>
      </w:pPr>
    </w:p>
    <w:p>
      <w:pPr>
        <w:jc w:val="both"/>
        <w:ind w:left="300" w:firstLine="639"/>
        <w:spacing w:after="0" w:line="258" w:lineRule="auto"/>
        <w:tabs>
          <w:tab w:leader="none" w:pos="1262"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cessation of Executive's employment for any reason, unless otherwise consented to in writing by the Company,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86" w:lineRule="exact"/>
        <w:rPr>
          <w:rFonts w:ascii="Times New Roman" w:cs="Times New Roman" w:eastAsia="Times New Roman" w:hAnsi="Times New Roman"/>
          <w:sz w:val="19"/>
          <w:szCs w:val="19"/>
          <w:color w:val="auto"/>
        </w:rPr>
      </w:pPr>
    </w:p>
    <w:p>
      <w:pPr>
        <w:ind w:left="300" w:firstLine="639"/>
        <w:spacing w:after="0" w:line="280" w:lineRule="auto"/>
        <w:tabs>
          <w:tab w:leader="none" w:pos="1265"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any cessation of Executive's employment with the Company, Executive will be entitled only to such compensation and benefits as described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below.</w:t>
      </w:r>
    </w:p>
    <w:p>
      <w:pPr>
        <w:spacing w:after="0" w:line="192" w:lineRule="exact"/>
        <w:rPr>
          <w:rFonts w:ascii="Times New Roman" w:cs="Times New Roman" w:eastAsia="Times New Roman" w:hAnsi="Times New Roman"/>
          <w:sz w:val="19"/>
          <w:szCs w:val="19"/>
          <w:color w:val="auto"/>
        </w:rPr>
      </w:pPr>
    </w:p>
    <w:p>
      <w:pPr>
        <w:jc w:val="both"/>
        <w:ind w:left="300" w:firstLine="639"/>
        <w:spacing w:after="0" w:line="254" w:lineRule="auto"/>
        <w:tabs>
          <w:tab w:leader="none" w:pos="1262"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agrees that, following any cessation of Executive’s employment and subject to reimbursement of Executive’s reasonable expenses, Executive will cooperate with the Company and its counsel with respect to any matter (including litigation, investigations, or governmental proceedings) in which Executive was in any way involved during Executive’s employment with the Company. Executive agrees to render such cooperation in a timely manner on reasonable notice from the Company, provided the Company exercises reasonable efforts to limit and schedule the need for Executive's cooperation so as not to materially interfere with Executive’s other professional obligations.</w:t>
      </w:r>
    </w:p>
    <w:p>
      <w:pPr>
        <w:spacing w:after="0" w:line="178" w:lineRule="exact"/>
        <w:rPr>
          <w:rFonts w:ascii="Times New Roman" w:cs="Times New Roman" w:eastAsia="Times New Roman" w:hAnsi="Times New Roman"/>
          <w:sz w:val="19"/>
          <w:szCs w:val="19"/>
          <w:color w:val="auto"/>
        </w:rPr>
      </w:pPr>
    </w:p>
    <w:p>
      <w:pPr>
        <w:jc w:val="both"/>
        <w:ind w:left="300" w:firstLine="639"/>
        <w:spacing w:after="0" w:line="259" w:lineRule="auto"/>
        <w:tabs>
          <w:tab w:leader="none" w:pos="1265"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agrees that, upon any cessation of Executive’s employment, Executive will deliver to the Company (and will not retain in Executive’s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67" w:lineRule="exact"/>
        <w:rPr>
          <w:rFonts w:ascii="Times New Roman" w:cs="Times New Roman" w:eastAsia="Times New Roman" w:hAnsi="Times New Roman"/>
          <w:sz w:val="19"/>
          <w:szCs w:val="19"/>
          <w:color w:val="auto"/>
        </w:rPr>
      </w:pPr>
    </w:p>
    <w:p>
      <w:pPr>
        <w:ind w:left="920" w:hanging="628"/>
        <w:spacing w:after="0"/>
        <w:tabs>
          <w:tab w:leader="none" w:pos="9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Rights Upon Termination.</w:t>
      </w:r>
    </w:p>
    <w:p>
      <w:pPr>
        <w:spacing w:after="0" w:line="227" w:lineRule="exact"/>
        <w:rPr>
          <w:rFonts w:ascii="Times New Roman" w:cs="Times New Roman" w:eastAsia="Times New Roman" w:hAnsi="Times New Roman"/>
          <w:sz w:val="19"/>
          <w:szCs w:val="19"/>
          <w:color w:val="auto"/>
        </w:rPr>
      </w:pPr>
    </w:p>
    <w:p>
      <w:pPr>
        <w:jc w:val="both"/>
        <w:ind w:left="300" w:firstLine="639"/>
        <w:spacing w:after="0" w:line="277" w:lineRule="auto"/>
        <w:tabs>
          <w:tab w:leader="none" w:pos="12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without Cause or Resignation for Good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Executive's employment by the Company ceases due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termination by the Company without Cause (as defined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or a resignation by Executive for Good Reason (as defined in </w:t>
      </w:r>
      <w:r>
        <w:rPr>
          <w:rFonts w:ascii="Times New Roman" w:cs="Times New Roman" w:eastAsia="Times New Roman" w:hAnsi="Times New Roman"/>
          <w:sz w:val="18"/>
          <w:szCs w:val="18"/>
          <w:u w:val="single" w:color="auto"/>
          <w:color w:val="auto"/>
        </w:rPr>
        <w:t>Section</w:t>
      </w: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u w:val="single" w:color="auto"/>
          <w:color w:val="auto"/>
        </w:rPr>
        <w:t>14</w:t>
      </w:r>
      <w:r>
        <w:rPr>
          <w:rFonts w:ascii="Times New Roman" w:cs="Times New Roman" w:eastAsia="Times New Roman" w:hAnsi="Times New Roman"/>
          <w:sz w:val="19"/>
          <w:szCs w:val="19"/>
          <w:i w:val="1"/>
          <w:iCs w:val="1"/>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880"/>
          </w:cols>
          <w:pgMar w:left="360" w:top="1440" w:right="659" w:bottom="1440" w:gutter="0" w:footer="0" w:header="0"/>
        </w:sectPr>
      </w:pPr>
    </w:p>
    <w:bookmarkStart w:id="57" w:name="page58"/>
    <w:bookmarkEnd w:id="57"/>
    <w:p>
      <w:pPr>
        <w:spacing w:after="0" w:line="105" w:lineRule="exact"/>
        <w:rPr>
          <w:sz w:val="20"/>
          <w:szCs w:val="20"/>
          <w:color w:val="auto"/>
        </w:rPr>
      </w:pPr>
    </w:p>
    <w:p>
      <w:pPr>
        <w:ind w:left="300" w:firstLine="1287"/>
        <w:spacing w:after="0" w:line="280" w:lineRule="auto"/>
        <w:tabs>
          <w:tab w:leader="none" w:pos="1908"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65" w:lineRule="exact"/>
        <w:rPr>
          <w:rFonts w:ascii="Times New Roman" w:cs="Times New Roman" w:eastAsia="Times New Roman" w:hAnsi="Times New Roman"/>
          <w:sz w:val="19"/>
          <w:szCs w:val="19"/>
          <w:color w:val="auto"/>
        </w:rPr>
      </w:pPr>
    </w:p>
    <w:p>
      <w:pPr>
        <w:ind w:left="300" w:right="20" w:firstLine="1287"/>
        <w:spacing w:after="0" w:line="265" w:lineRule="auto"/>
        <w:tabs>
          <w:tab w:leader="none" w:pos="19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to Executive any business expenses that were incurred prior to the date of such cessation of employment but not reimbursed and that are otherwise eligible for reimbursement;</w:t>
      </w:r>
    </w:p>
    <w:p>
      <w:pPr>
        <w:spacing w:after="0" w:line="200" w:lineRule="exact"/>
        <w:rPr>
          <w:rFonts w:ascii="Times New Roman" w:cs="Times New Roman" w:eastAsia="Times New Roman" w:hAnsi="Times New Roman"/>
          <w:sz w:val="19"/>
          <w:szCs w:val="19"/>
          <w:color w:val="auto"/>
        </w:rPr>
      </w:pPr>
    </w:p>
    <w:p>
      <w:pPr>
        <w:spacing w:after="0" w:line="303" w:lineRule="exact"/>
        <w:rPr>
          <w:rFonts w:ascii="Times New Roman" w:cs="Times New Roman" w:eastAsia="Times New Roman" w:hAnsi="Times New Roman"/>
          <w:sz w:val="19"/>
          <w:szCs w:val="19"/>
          <w:color w:val="auto"/>
        </w:rPr>
      </w:pPr>
    </w:p>
    <w:p>
      <w:pPr>
        <w:ind w:left="300" w:firstLine="1287"/>
        <w:spacing w:after="0" w:line="265" w:lineRule="auto"/>
        <w:tabs>
          <w:tab w:leader="none" w:pos="191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then unpaid, the Company shall pay to Executive the annual incentive award (if any) earned with respect to the calendar year ended immediately prior to the date of such cessation of employment;</w:t>
      </w:r>
    </w:p>
    <w:p>
      <w:pPr>
        <w:spacing w:after="0" w:line="179" w:lineRule="exact"/>
        <w:rPr>
          <w:rFonts w:ascii="Times New Roman" w:cs="Times New Roman" w:eastAsia="Times New Roman" w:hAnsi="Times New Roman"/>
          <w:sz w:val="19"/>
          <w:szCs w:val="19"/>
          <w:color w:val="auto"/>
        </w:rPr>
      </w:pPr>
    </w:p>
    <w:p>
      <w:pPr>
        <w:jc w:val="both"/>
        <w:ind w:left="300" w:firstLine="1287"/>
        <w:spacing w:after="0" w:line="253" w:lineRule="auto"/>
        <w:tabs>
          <w:tab w:leader="none" w:pos="1908"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make twelve (12) monthly severance payments to Executive, with each payment equal to one-twelfth (1/12) of the Base Salary as in effect immediately prior to such cessation of employment (or, if such cessation is due to the Good Reason described in clause (ii) of that definition, the Base Salary in effect immediately prior to such material diminution); provided, however, if the cessation of Executive's employment with the Company is due to a termination by the Company without Cause or a resignation by Executive for Good Reason occurs within ninety (90) days preceding or twelve (12) months after the date of a Change in Control, then in lieu of the foregoing, the number of monthly severance payments shall be changed to eighteen (18), with each payment equal to one-eighteenth (1/18) of 150% of the Base Salary as in effect immediately prior to such cessation of employment (or, if such cessation is due to the Good Reason described in clause (ii) of that definition, the Base Salary in effect immediately prior to such material diminution).</w:t>
      </w:r>
    </w:p>
    <w:p>
      <w:pPr>
        <w:spacing w:after="0" w:line="208" w:lineRule="exact"/>
        <w:rPr>
          <w:rFonts w:ascii="Times New Roman" w:cs="Times New Roman" w:eastAsia="Times New Roman" w:hAnsi="Times New Roman"/>
          <w:sz w:val="19"/>
          <w:szCs w:val="19"/>
          <w:color w:val="auto"/>
        </w:rPr>
      </w:pPr>
    </w:p>
    <w:p>
      <w:pPr>
        <w:jc w:val="both"/>
        <w:ind w:left="300" w:firstLine="1287"/>
        <w:spacing w:after="0" w:line="251" w:lineRule="auto"/>
        <w:tabs>
          <w:tab w:leader="none" w:pos="191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shall pay to Executive a lump sum cash payment equal to a pro rata portion of the annual incentive award, if any, that Executive would have earned for the calendar year of Executive’s termination based on achievement of the applicable performance targets for such year (the </w:t>
      </w:r>
      <w:r>
        <w:rPr>
          <w:rFonts w:ascii="Times New Roman" w:cs="Times New Roman" w:eastAsia="Times New Roman" w:hAnsi="Times New Roman"/>
          <w:sz w:val="19"/>
          <w:szCs w:val="19"/>
          <w:b w:val="1"/>
          <w:bCs w:val="1"/>
          <w:color w:val="auto"/>
        </w:rPr>
        <w:t>“Terminal Award”</w:t>
      </w:r>
      <w:r>
        <w:rPr>
          <w:rFonts w:ascii="Times New Roman" w:cs="Times New Roman" w:eastAsia="Times New Roman" w:hAnsi="Times New Roman"/>
          <w:sz w:val="19"/>
          <w:szCs w:val="19"/>
          <w:color w:val="auto"/>
        </w:rPr>
        <w:t xml:space="preserve">) and, for the avoidance of doubt, if and to the extent that any portion of such achievement is based on subjective or judgmental factors, the Compensation Committee’s determination of the extent of such achievement (if any) shall be final and binding. The pro-rated portion of the Terminal Award shall be determined by multiplying the Terminal Award by a fraction, the numerator of which is the number of days during which Executive was employed by the Company in the calendar year of Executive’s termination of employment and the denominator of which is three hundred sixty-five (365). Notwithstanding the foregoing, if the cessation of Executive’s employment with the Company is due to a termination by the Company without Cause or a resignation by Executive for Good Reason occurs within ninety (90) days preceding or twelve (12) months after the date of a Change in Control, then in lieu of the foregoing, Executive shall receive 1.50 times Executive’s “base amount,” which “base amount” for Executive as of the Effective Date shall mean Executive’s annual incentive award target amount for the calendar year of Executive’s termination of employment; provided, however, that the formulation of the “base amount” is subject to change if the formulation for the base amount for similarly situated executives who experience a qualifying termination within a specified time window of a Change in Control is hereafter changed to something other than “annual incentive award target amount” for the calendar year of employment termination. Unless the payment is required to be delayed pursuant to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below, the payment shall be made on the date that annual incentive awards are paid to similarly situated executives (or if later, the Settlement Date (as defined below)), but in no event later than two-and-a-half months following the end of the calendar year in which Executive’s termination date occurs.</w:t>
      </w:r>
    </w:p>
    <w:p>
      <w:pPr>
        <w:spacing w:after="0" w:line="192" w:lineRule="exact"/>
        <w:rPr>
          <w:rFonts w:ascii="Times New Roman" w:cs="Times New Roman" w:eastAsia="Times New Roman" w:hAnsi="Times New Roman"/>
          <w:sz w:val="19"/>
          <w:szCs w:val="19"/>
          <w:color w:val="auto"/>
        </w:rPr>
      </w:pPr>
    </w:p>
    <w:p>
      <w:pPr>
        <w:jc w:val="both"/>
        <w:ind w:left="300" w:firstLine="1287"/>
        <w:spacing w:after="0" w:line="255" w:lineRule="auto"/>
        <w:tabs>
          <w:tab w:leader="none" w:pos="1908"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immediately before the cessation of Executive's employment, Executive participates (other than pursuant to COBRA) in a Company group health plan, then, for the twelve (12) months following the date of such cessation (or, if sooner, if Executive becomes eligible to obtain coverage under another employer plan), the Company will provide COBRA continuation coverage under such plan to Executive and Executive’s spouse at the Company's expense, if and to the extent they or either of them shall have elected and shall be entitled to receive COBRA continuation coverage, and Executive shall provide immediate notice to the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880"/>
          </w:cols>
          <w:pgMar w:left="360" w:top="1440" w:right="659" w:bottom="1440" w:gutter="0" w:footer="0" w:header="0"/>
        </w:sectPr>
      </w:pPr>
    </w:p>
    <w:bookmarkStart w:id="58" w:name="page59"/>
    <w:bookmarkEnd w:id="58"/>
    <w:p>
      <w:pPr>
        <w:spacing w:after="0" w:line="105"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19"/>
          <w:szCs w:val="19"/>
          <w:color w:val="auto"/>
        </w:rPr>
        <w:t>Company of such election and the date of such entitlement. If Executive is employed with an employer who provides healthcare benefits to its employees, and Executive is eligible to enroll in such healthcare benefits at any time during the severance twelve (12) month period, the Company shall no longer cover the cost of COBRA under this section when Executive first becomes eligible for such benefits and Executive shall be responsible for the full cost of COBRA benefits if Executive continues on COBRA. Executive shall notify the Company if Executive becomes employed as provided in the previous sentence within two (2) weeks of such employment. The Company may impute income to Executive in an amount determined by the Company, in its sole discretion, to the extent the Company determines that such imputation of income is necessary to mitigate the risk of penalties and/or taxes to Executive or the Company, or to otherwise comply with applicable law; and</w:t>
      </w:r>
    </w:p>
    <w:p>
      <w:pPr>
        <w:spacing w:after="0" w:line="200" w:lineRule="exact"/>
        <w:rPr>
          <w:sz w:val="20"/>
          <w:szCs w:val="20"/>
          <w:color w:val="auto"/>
        </w:rPr>
      </w:pPr>
    </w:p>
    <w:p>
      <w:pPr>
        <w:spacing w:after="0" w:line="299" w:lineRule="exact"/>
        <w:rPr>
          <w:sz w:val="20"/>
          <w:szCs w:val="20"/>
          <w:color w:val="auto"/>
        </w:rPr>
      </w:pPr>
    </w:p>
    <w:p>
      <w:pPr>
        <w:jc w:val="both"/>
        <w:ind w:left="300" w:firstLine="1295"/>
        <w:spacing w:after="0" w:line="250" w:lineRule="auto"/>
        <w:rPr>
          <w:sz w:val="20"/>
          <w:szCs w:val="20"/>
          <w:color w:val="auto"/>
        </w:rPr>
      </w:pPr>
      <w:r>
        <w:rPr>
          <w:rFonts w:ascii="Times New Roman" w:cs="Times New Roman" w:eastAsia="Times New Roman" w:hAnsi="Times New Roman"/>
          <w:sz w:val="19"/>
          <w:szCs w:val="19"/>
          <w:color w:val="auto"/>
        </w:rPr>
        <w:t>(vii)Executive will immediately vest solely in (1) all of the 2025 Option and the Initial RSUs that have not vested on such cessation date and (2) those Performance-Based RSUs and/or 2025 RSUs earned prior to the date of such cessation of employment and that (but for such cessation of employment) are scheduled to vest during (but not after) the one-year period following such cessation date; and, except as provided in the foregoing clauses (1) and (2), all other unvested and/or unearned Shares and equity-based awards then held by Executive will remain outstanding and held in suspense for ninety (90) days following such termination and (I) if a Change of Control occurs within such ninety (90) day period, then, in such circumstances only, those Shares and equity-based incentive awards shall become fully vested, with any performance-based equity awards then otherwise subject to an open performance period (as of the later of the termination or Change in Control) being deemed earned at the target amount established by the Company in connection with the grant of the applicable performance-based equity awards and (II) if a Change of Control does not occur within such ninety</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(90) day period, those Shares and equity-based awards shall be forfeited on such ninetieth (90th) day.</w:t>
      </w:r>
    </w:p>
    <w:p>
      <w:pPr>
        <w:spacing w:after="0" w:line="212"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9"/>
          <w:szCs w:val="19"/>
          <w:color w:val="auto"/>
        </w:rPr>
        <w:t xml:space="preserve">Except as and solely to the extent otherwise provided in this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xml:space="preserve"> are in lieu of, and are not in addition to, any other severance plans, policies or arrangements maintained by the Company, including but not limited to severance arrangements in Company plans applicable to other executives. Notwithstanding any provision of this Agreement, the payments and benefits described in Section </w:t>
      </w:r>
      <w:r>
        <w:rPr>
          <w:rFonts w:ascii="Times New Roman" w:cs="Times New Roman" w:eastAsia="Times New Roman" w:hAnsi="Times New Roman"/>
          <w:sz w:val="19"/>
          <w:szCs w:val="19"/>
          <w:u w:val="single" w:color="auto"/>
          <w:color w:val="auto"/>
        </w:rPr>
        <w:t>11(a)(iii) - 11(a)(vii)</w:t>
      </w:r>
      <w:r>
        <w:rPr>
          <w:rFonts w:ascii="Times New Roman" w:cs="Times New Roman" w:eastAsia="Times New Roman" w:hAnsi="Times New Roman"/>
          <w:sz w:val="19"/>
          <w:szCs w:val="19"/>
          <w:color w:val="auto"/>
        </w:rPr>
        <w:t xml:space="preserve"> are conditioned on Executive’s execution and delivery to the Company and the expiration of all applicable statutory revocation periods, by the 60th day following the effective date of Executive’s cessation of employment, of a general release of claims against the Company and its affiliates in a form and manner satisfactory to the Company (the </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9"/>
          <w:szCs w:val="19"/>
          <w:color w:val="auto"/>
        </w:rPr>
        <w:t xml:space="preserve">) and on Executive’s continued compliance with the provisions of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below.</w:t>
      </w:r>
    </w:p>
    <w:p>
      <w:pPr>
        <w:spacing w:after="0" w:line="198"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below (to the extent applicable) and provided the Release requirement described above has been timely satisfied: (x) the payment described in </w:t>
      </w:r>
      <w:r>
        <w:rPr>
          <w:rFonts w:ascii="Times New Roman" w:cs="Times New Roman" w:eastAsia="Times New Roman" w:hAnsi="Times New Roman"/>
          <w:sz w:val="19"/>
          <w:szCs w:val="19"/>
          <w:u w:val="single" w:color="auto"/>
          <w:color w:val="auto"/>
        </w:rPr>
        <w:t>Section 11(a)(iii)</w:t>
      </w:r>
      <w:r>
        <w:rPr>
          <w:rFonts w:ascii="Times New Roman" w:cs="Times New Roman" w:eastAsia="Times New Roman" w:hAnsi="Times New Roman"/>
          <w:sz w:val="19"/>
          <w:szCs w:val="19"/>
          <w:color w:val="auto"/>
        </w:rPr>
        <w:t xml:space="preserve"> will be paid on the later of the sixty- fifth (65) day following Executive’s cessation of employment (the </w:t>
      </w:r>
      <w:r>
        <w:rPr>
          <w:rFonts w:ascii="Times New Roman" w:cs="Times New Roman" w:eastAsia="Times New Roman" w:hAnsi="Times New Roman"/>
          <w:sz w:val="19"/>
          <w:szCs w:val="19"/>
          <w:b w:val="1"/>
          <w:bCs w:val="1"/>
          <w:color w:val="auto"/>
        </w:rPr>
        <w:t>“Settlement Date”</w:t>
      </w:r>
      <w:r>
        <w:rPr>
          <w:rFonts w:ascii="Times New Roman" w:cs="Times New Roman" w:eastAsia="Times New Roman" w:hAnsi="Times New Roman"/>
          <w:sz w:val="19"/>
          <w:szCs w:val="19"/>
          <w:color w:val="auto"/>
        </w:rPr>
        <w:t xml:space="preserve">) or the date such annual incentive award would have otherwise been paid, absent Executive’s cessation of employment, but in no event later than March 15 of the year following the year to which such annual incentive award relates; and (y) the payments described in </w:t>
      </w:r>
      <w:r>
        <w:rPr>
          <w:rFonts w:ascii="Times New Roman" w:cs="Times New Roman" w:eastAsia="Times New Roman" w:hAnsi="Times New Roman"/>
          <w:sz w:val="19"/>
          <w:szCs w:val="19"/>
          <w:u w:val="single" w:color="auto"/>
          <w:color w:val="auto"/>
        </w:rPr>
        <w:t>Section 11(a)(iv)</w:t>
      </w:r>
      <w:r>
        <w:rPr>
          <w:rFonts w:ascii="Times New Roman" w:cs="Times New Roman" w:eastAsia="Times New Roman" w:hAnsi="Times New Roman"/>
          <w:sz w:val="19"/>
          <w:szCs w:val="19"/>
          <w:color w:val="auto"/>
        </w:rPr>
        <w:t xml:space="preserve"> will commence to be paid on the Settlement Date, provided that the initial payment will include any payments that, but for the above-described timing rule, would have otherwise been paid since the date of Executive’s related cessation of employment.</w:t>
      </w:r>
    </w:p>
    <w:p>
      <w:pPr>
        <w:spacing w:after="0" w:line="186" w:lineRule="exact"/>
        <w:rPr>
          <w:sz w:val="20"/>
          <w:szCs w:val="20"/>
          <w:color w:val="auto"/>
        </w:rPr>
      </w:pPr>
    </w:p>
    <w:p>
      <w:pPr>
        <w:jc w:val="both"/>
        <w:ind w:left="300" w:firstLine="639"/>
        <w:spacing w:after="0" w:line="257" w:lineRule="auto"/>
        <w:tabs>
          <w:tab w:leader="none" w:pos="1262"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Terminations.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Executive's employment with the Company ceases for any reason other than as described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11(a) above (including but not limited to (i) termination by the Company for Cause, (ii) resignation by Executive without Good Reason,</w:t>
      </w:r>
    </w:p>
    <w:p>
      <w:pPr>
        <w:spacing w:after="0" w:line="1" w:lineRule="exact"/>
        <w:rPr>
          <w:rFonts w:ascii="Times New Roman" w:cs="Times New Roman" w:eastAsia="Times New Roman" w:hAnsi="Times New Roman"/>
          <w:sz w:val="19"/>
          <w:szCs w:val="19"/>
          <w:color w:val="auto"/>
        </w:rPr>
      </w:pPr>
    </w:p>
    <w:p>
      <w:pPr>
        <w:ind w:left="620" w:hanging="328"/>
        <w:spacing w:after="0"/>
        <w:tabs>
          <w:tab w:leader="none" w:pos="6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termination as a result of Executive's Disability (as defined in </w:t>
      </w:r>
      <w:r>
        <w:rPr>
          <w:rFonts w:ascii="Times New Roman" w:cs="Times New Roman" w:eastAsia="Times New Roman" w:hAnsi="Times New Roman"/>
          <w:sz w:val="19"/>
          <w:szCs w:val="19"/>
          <w:u w:val="single" w:color="auto"/>
          <w:color w:val="auto"/>
        </w:rPr>
        <w:t>Section 14),</w:t>
      </w:r>
      <w:r>
        <w:rPr>
          <w:rFonts w:ascii="Times New Roman" w:cs="Times New Roman" w:eastAsia="Times New Roman" w:hAnsi="Times New Roman"/>
          <w:sz w:val="19"/>
          <w:szCs w:val="19"/>
          <w:color w:val="auto"/>
        </w:rPr>
        <w:t xml:space="preserve"> or (iv) Executive's death), then the Company's obligation to</w:t>
      </w:r>
    </w:p>
    <w:p>
      <w:pPr>
        <w:spacing w:after="0" w:line="6" w:lineRule="exact"/>
        <w:rPr>
          <w:sz w:val="20"/>
          <w:szCs w:val="20"/>
          <w:color w:val="auto"/>
        </w:rPr>
      </w:pPr>
    </w:p>
    <w:p>
      <w:pPr>
        <w:ind w:left="300"/>
        <w:spacing w:after="0" w:line="264" w:lineRule="auto"/>
        <w:rPr>
          <w:sz w:val="20"/>
          <w:szCs w:val="20"/>
          <w:color w:val="auto"/>
        </w:rPr>
      </w:pPr>
      <w:r>
        <w:rPr>
          <w:rFonts w:ascii="Times New Roman" w:cs="Times New Roman" w:eastAsia="Times New Roman" w:hAnsi="Times New Roman"/>
          <w:sz w:val="19"/>
          <w:szCs w:val="19"/>
          <w:color w:val="auto"/>
        </w:rPr>
        <w:t>Executive will be limited solely to the payment of accrued and unpaid Base Salary through the date of such cessation of employment and payment of any business expenses that were previously incurred but not reimbursed and are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880"/>
          </w:cols>
          <w:pgMar w:left="360" w:top="1440" w:right="659" w:bottom="1440" w:gutter="0" w:footer="0" w:header="0"/>
        </w:sectPr>
      </w:pPr>
    </w:p>
    <w:bookmarkStart w:id="59" w:name="page60"/>
    <w:bookmarkEnd w:id="59"/>
    <w:p>
      <w:pPr>
        <w:spacing w:after="0" w:line="105"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9"/>
          <w:szCs w:val="19"/>
          <w:color w:val="auto"/>
        </w:rPr>
        <w:t>otherwise eligible for reimbursement. Except as otherwise provided by COBRA, all compensation and benefits will cease at the time of such cessation of employment and the Company will have no further liability or obligation by reason of such termination; and, for the avoidance of doubt, all unvested and/or unearned equity and equity-based awards then held by Executive (including, without limitation, the 2025 Option, Initial RSUs, 2025 RSUs and Performance-Based RSUs) will be forfeited; provided, however, that notwithstanding the foregoing, but without limiting Section 11(a), if Executive’s employment with the Company ceases as a result of a termination by the Company as a result of Executive’s Disability or because of Executive’s death then any then unvested Initial RSUs shall thereupon vest. The foregoing will not be construed to limit Executive's right to payment or reimbursement for claims incurred prior to the date of such termination under any insurance contract funding an employee benefit plan or arrangement of the Company in accordance with the terms of such insurance contract.</w:t>
      </w:r>
    </w:p>
    <w:p>
      <w:pPr>
        <w:spacing w:after="0" w:line="178" w:lineRule="exact"/>
        <w:rPr>
          <w:sz w:val="20"/>
          <w:szCs w:val="20"/>
          <w:color w:val="auto"/>
        </w:rPr>
      </w:pPr>
    </w:p>
    <w:p>
      <w:pPr>
        <w:ind w:left="940" w:hanging="648"/>
        <w:spacing w:after="0"/>
        <w:tabs>
          <w:tab w:leader="none" w:pos="94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Section 409A.</w:t>
      </w:r>
    </w:p>
    <w:p>
      <w:pPr>
        <w:spacing w:after="0" w:line="96" w:lineRule="exact"/>
        <w:rPr>
          <w:rFonts w:ascii="Times New Roman" w:cs="Times New Roman" w:eastAsia="Times New Roman" w:hAnsi="Times New Roman"/>
          <w:sz w:val="19"/>
          <w:szCs w:val="19"/>
          <w:color w:val="auto"/>
        </w:rPr>
      </w:pPr>
    </w:p>
    <w:p>
      <w:pPr>
        <w:jc w:val="both"/>
        <w:ind w:left="300" w:firstLine="639"/>
        <w:spacing w:after="0" w:line="258" w:lineRule="auto"/>
        <w:tabs>
          <w:tab w:leader="none" w:pos="1265"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86" w:lineRule="exact"/>
        <w:rPr>
          <w:rFonts w:ascii="Times New Roman" w:cs="Times New Roman" w:eastAsia="Times New Roman" w:hAnsi="Times New Roman"/>
          <w:sz w:val="19"/>
          <w:szCs w:val="19"/>
          <w:color w:val="auto"/>
        </w:rPr>
      </w:pPr>
    </w:p>
    <w:p>
      <w:pPr>
        <w:jc w:val="both"/>
        <w:ind w:left="300" w:firstLine="639"/>
        <w:spacing w:after="0" w:line="251" w:lineRule="auto"/>
        <w:tabs>
          <w:tab w:leader="none" w:pos="1262"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Agreement, to the extent necessary to facilitate compliance with Section 409A of the Code, no portion of the benefits or payments to be made under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(A) above will be payable until Executive has a "separation from service" from the Company within the meaning of Section 409A of the Code. In addition, to the extent compliance with the requirements of Treas. Reg. § 1.409A- 3(i)(2) (or any successor provision) is necessary to avoid the application of an additional tax under Section 409A of the Code to payments due to Executive upon or following Executive’s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under this Agreement is a separate payment and each payment in a series of installments will be deemed a separate payment.</w:t>
      </w:r>
    </w:p>
    <w:p>
      <w:pPr>
        <w:spacing w:after="0" w:line="200" w:lineRule="exact"/>
        <w:rPr>
          <w:rFonts w:ascii="Times New Roman" w:cs="Times New Roman" w:eastAsia="Times New Roman" w:hAnsi="Times New Roman"/>
          <w:sz w:val="19"/>
          <w:szCs w:val="19"/>
          <w:color w:val="auto"/>
        </w:rPr>
      </w:pPr>
    </w:p>
    <w:p>
      <w:pPr>
        <w:jc w:val="both"/>
        <w:ind w:left="300" w:firstLine="639"/>
        <w:spacing w:after="0" w:line="251" w:lineRule="auto"/>
        <w:tabs>
          <w:tab w:leader="none" w:pos="1265"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19" w:lineRule="exact"/>
        <w:rPr>
          <w:rFonts w:ascii="Times New Roman" w:cs="Times New Roman" w:eastAsia="Times New Roman" w:hAnsi="Times New Roman"/>
          <w:sz w:val="19"/>
          <w:szCs w:val="19"/>
          <w:color w:val="auto"/>
        </w:rPr>
      </w:pPr>
    </w:p>
    <w:p>
      <w:pPr>
        <w:jc w:val="both"/>
        <w:ind w:left="300" w:hanging="8"/>
        <w:spacing w:after="0" w:line="254" w:lineRule="auto"/>
        <w:tabs>
          <w:tab w:leader="none" w:pos="617"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Section 280G.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Notwithstanding any contrary provision of this Agreement (or any plan, policy, agreement or other arrangement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covering Executive), if any payment, right or benefit paid, provided or due to Executive, whether pursuant to this Agreement or otherwise (each, a </w:t>
      </w:r>
      <w:r>
        <w:rPr>
          <w:rFonts w:ascii="Times New Roman" w:cs="Times New Roman" w:eastAsia="Times New Roman" w:hAnsi="Times New Roman"/>
          <w:sz w:val="19"/>
          <w:szCs w:val="19"/>
          <w:b w:val="1"/>
          <w:bCs w:val="1"/>
          <w:color w:val="auto"/>
        </w:rPr>
        <w:t>"Payment,"</w:t>
      </w:r>
      <w:r>
        <w:rPr>
          <w:rFonts w:ascii="Times New Roman" w:cs="Times New Roman" w:eastAsia="Times New Roman" w:hAnsi="Times New Roman"/>
          <w:sz w:val="19"/>
          <w:szCs w:val="19"/>
          <w:color w:val="auto"/>
        </w:rPr>
        <w:t xml:space="preserve"> and collectively, the </w:t>
      </w:r>
      <w:r>
        <w:rPr>
          <w:rFonts w:ascii="Times New Roman" w:cs="Times New Roman" w:eastAsia="Times New Roman" w:hAnsi="Times New Roman"/>
          <w:sz w:val="19"/>
          <w:szCs w:val="19"/>
          <w:b w:val="1"/>
          <w:bCs w:val="1"/>
          <w:color w:val="auto"/>
        </w:rPr>
        <w:t>"Total Payments"</w:t>
      </w:r>
      <w:r>
        <w:rPr>
          <w:rFonts w:ascii="Times New Roman" w:cs="Times New Roman" w:eastAsia="Times New Roman" w:hAnsi="Times New Roman"/>
          <w:sz w:val="19"/>
          <w:szCs w:val="19"/>
          <w:color w:val="auto"/>
        </w:rPr>
        <w:t xml:space="preserve">), would subject Executive to the excise tax imposed by Section 4999 of the Code (the </w:t>
      </w:r>
      <w:r>
        <w:rPr>
          <w:rFonts w:ascii="Times New Roman" w:cs="Times New Roman" w:eastAsia="Times New Roman" w:hAnsi="Times New Roman"/>
          <w:sz w:val="19"/>
          <w:szCs w:val="19"/>
          <w:b w:val="1"/>
          <w:bCs w:val="1"/>
          <w:color w:val="auto"/>
        </w:rPr>
        <w:t>"Excise Tax"</w:t>
      </w:r>
      <w:r>
        <w:rPr>
          <w:rFonts w:ascii="Times New Roman" w:cs="Times New Roman" w:eastAsia="Times New Roman" w:hAnsi="Times New Roman"/>
          <w:sz w:val="19"/>
          <w:szCs w:val="19"/>
          <w:color w:val="auto"/>
        </w:rPr>
        <w:t>),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by the Company on an after-tax basis). Any reduction of the Total Payments required by this paragraph will be implemented by determining the Parachute Ratio (as defined below and determined by the Company) for each Payment and then by reducing the Payments in order, beginning with the Payment with the highest Parachute Ratio. For Payments with the same Parachute Ratio, later Payments will be reduced before earlier Payments. For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880"/>
          </w:cols>
          <w:pgMar w:left="360" w:top="1440" w:right="659" w:bottom="1440" w:gutter="0" w:footer="0" w:header="0"/>
        </w:sectPr>
      </w:pPr>
    </w:p>
    <w:bookmarkStart w:id="60" w:name="page61"/>
    <w:bookmarkEnd w:id="60"/>
    <w:p>
      <w:pPr>
        <w:ind w:left="300"/>
        <w:spacing w:after="0" w:line="260" w:lineRule="auto"/>
        <w:rPr>
          <w:sz w:val="20"/>
          <w:szCs w:val="20"/>
          <w:color w:val="auto"/>
        </w:rPr>
      </w:pPr>
      <w:r>
        <w:rPr>
          <w:rFonts w:ascii="Times New Roman" w:cs="Times New Roman" w:eastAsia="Times New Roman" w:hAnsi="Times New Roman"/>
          <w:sz w:val="19"/>
          <w:szCs w:val="19"/>
          <w:color w:val="auto"/>
        </w:rPr>
        <w:t xml:space="preserve">Payments with the same Parachute Ratio and the same time of payment, each Payment will be reduced proportionately. For purposes of this paragraph, </w:t>
      </w:r>
      <w:r>
        <w:rPr>
          <w:rFonts w:ascii="Times New Roman" w:cs="Times New Roman" w:eastAsia="Times New Roman" w:hAnsi="Times New Roman"/>
          <w:sz w:val="19"/>
          <w:szCs w:val="19"/>
          <w:b w:val="1"/>
          <w:bCs w:val="1"/>
          <w:color w:val="auto"/>
        </w:rPr>
        <w:t>"Parachute Ratio"</w:t>
      </w:r>
      <w:r>
        <w:rPr>
          <w:rFonts w:ascii="Times New Roman" w:cs="Times New Roman" w:eastAsia="Times New Roman" w:hAnsi="Times New Roman"/>
          <w:sz w:val="19"/>
          <w:szCs w:val="19"/>
          <w:color w:val="auto"/>
        </w:rPr>
        <w:t xml:space="preserve"> means a fraction,</w:t>
      </w:r>
    </w:p>
    <w:p>
      <w:pPr>
        <w:spacing w:after="0" w:line="1" w:lineRule="exact"/>
        <w:rPr>
          <w:sz w:val="20"/>
          <w:szCs w:val="20"/>
          <w:color w:val="auto"/>
        </w:rPr>
      </w:pPr>
    </w:p>
    <w:p>
      <w:pPr>
        <w:ind w:left="300" w:hanging="8"/>
        <w:spacing w:after="0" w:line="264" w:lineRule="auto"/>
        <w:tabs>
          <w:tab w:leader="none" w:pos="58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numerator of which is the value of the applicable Payment, as calculated for purposes of Section 280G of the Code, and (y) the denominator of which is the economic value of the applicable Payment.</w:t>
      </w:r>
    </w:p>
    <w:p>
      <w:pPr>
        <w:spacing w:after="0" w:line="189" w:lineRule="exact"/>
        <w:rPr>
          <w:sz w:val="20"/>
          <w:szCs w:val="20"/>
          <w:color w:val="auto"/>
        </w:rPr>
      </w:pPr>
    </w:p>
    <w:p>
      <w:pPr>
        <w:ind w:left="940" w:hanging="648"/>
        <w:spacing w:after="0"/>
        <w:tabs>
          <w:tab w:leader="none" w:pos="94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Certain Definitions.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purposes of this Agreement:</w:t>
      </w:r>
    </w:p>
    <w:p>
      <w:pPr>
        <w:spacing w:after="0" w:line="227" w:lineRule="exact"/>
        <w:rPr>
          <w:rFonts w:ascii="Times New Roman" w:cs="Times New Roman" w:eastAsia="Times New Roman" w:hAnsi="Times New Roman"/>
          <w:sz w:val="19"/>
          <w:szCs w:val="19"/>
          <w:color w:val="auto"/>
        </w:rPr>
      </w:pPr>
    </w:p>
    <w:p>
      <w:pPr>
        <w:jc w:val="both"/>
        <w:ind w:left="300" w:firstLine="639"/>
        <w:spacing w:after="0" w:line="255" w:lineRule="auto"/>
        <w:tabs>
          <w:tab w:leader="none" w:pos="1265"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"Cause" </w:t>
      </w:r>
      <w:r>
        <w:rPr>
          <w:rFonts w:ascii="Times New Roman" w:cs="Times New Roman" w:eastAsia="Times New Roman" w:hAnsi="Times New Roman"/>
          <w:sz w:val="19"/>
          <w:szCs w:val="19"/>
          <w:color w:val="auto"/>
        </w:rPr>
        <w:t>means any of the following: (i) failure of Executive to perform Executive’s duties and responsibilities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(other than by reason of Executive's physical or mental illness, incapacity or disability), which has continued for more than thirty (30) days following written notice of such non-performance from the Company; (ii) misconduct by Executive in connection with the performance of Executive’s duties and responsibilities to the Company, including, without limitation, a breach of fiduciary duties or a misappropriation of funds or property; (iii) the commission by Executive of any felony; (iv) the commission by Executive of a misdemeanor involving moral turpitude, deceit, dishonesty or fraud; (v) any conduct by Executive that would reasonably be expected to result in injury or reputational harm to the Company or any of its subsidiaries and affiliates;</w:t>
      </w:r>
    </w:p>
    <w:p>
      <w:pPr>
        <w:spacing w:after="0" w:line="40" w:lineRule="exact"/>
        <w:rPr>
          <w:sz w:val="20"/>
          <w:szCs w:val="20"/>
          <w:color w:val="auto"/>
        </w:rPr>
      </w:pPr>
    </w:p>
    <w:p>
      <w:pPr>
        <w:jc w:val="both"/>
        <w:ind w:left="300" w:hanging="8"/>
        <w:spacing w:after="0" w:line="253" w:lineRule="auto"/>
        <w:tabs>
          <w:tab w:leader="none" w:pos="637"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breach by Executive of any agreement with the Company or its affiliates, which breach is not cured (if curable) within thirty (30) days after the delivery of written notice thereof (provided that if any such agreement includes a cure period and if such cure period is less than thirty (30) days, such shorter cure period shall apply); (vii) a violation by Executive of the Company's written employment policies, which violation is not cured (if curable) within thirty</w:t>
      </w:r>
    </w:p>
    <w:p>
      <w:pPr>
        <w:spacing w:after="0" w:line="3" w:lineRule="exact"/>
        <w:rPr>
          <w:rFonts w:ascii="Times New Roman" w:cs="Times New Roman" w:eastAsia="Times New Roman" w:hAnsi="Times New Roman"/>
          <w:sz w:val="19"/>
          <w:szCs w:val="19"/>
          <w:color w:val="auto"/>
        </w:rPr>
      </w:pPr>
    </w:p>
    <w:p>
      <w:pPr>
        <w:jc w:val="both"/>
        <w:ind w:left="30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(30) days after the delivery of written notice thereof (provided that if any such policies include a cure period and if such cure period is less than thirty (30) days, such shorter cure period shall apply); or (viii) Executive's failure to cooperate with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In regard to each of those clauses in this definition of "Cause" that afford Executive a "cure right," such cure right shall apply solely to the first failure, breach or violation by Executive that gives rise to the cure right and shall not apply to any repeat or subsequent failure, breach or violation involving similar actions or omissions, whether or not related to the first failure, breach or violation. For avoidance of doubt, a termination of Executive's employment due to Executive’s Disability will not constitute a termination without Cause.</w:t>
      </w:r>
    </w:p>
    <w:p>
      <w:pPr>
        <w:spacing w:after="0" w:line="174" w:lineRule="exact"/>
        <w:rPr>
          <w:rFonts w:ascii="Times New Roman" w:cs="Times New Roman" w:eastAsia="Times New Roman" w:hAnsi="Times New Roman"/>
          <w:sz w:val="19"/>
          <w:szCs w:val="19"/>
          <w:color w:val="auto"/>
        </w:rPr>
      </w:pPr>
    </w:p>
    <w:p>
      <w:pPr>
        <w:ind w:left="300" w:firstLine="639"/>
        <w:spacing w:after="0" w:line="284" w:lineRule="auto"/>
        <w:tabs>
          <w:tab w:leader="none" w:pos="1262"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"Change in Control" </w:t>
      </w:r>
      <w:r>
        <w:rPr>
          <w:rFonts w:ascii="Times New Roman" w:cs="Times New Roman" w:eastAsia="Times New Roman" w:hAnsi="Times New Roman"/>
          <w:sz w:val="19"/>
          <w:szCs w:val="19"/>
          <w:color w:val="auto"/>
        </w:rPr>
        <w:t>has the meaning given to this term in the Company's 2016 Long-Term Incentive Plan, as in effect 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Date.</w:t>
      </w:r>
    </w:p>
    <w:p>
      <w:pPr>
        <w:spacing w:after="0" w:line="157" w:lineRule="exact"/>
        <w:rPr>
          <w:rFonts w:ascii="Times New Roman" w:cs="Times New Roman" w:eastAsia="Times New Roman" w:hAnsi="Times New Roman"/>
          <w:sz w:val="19"/>
          <w:szCs w:val="19"/>
          <w:color w:val="auto"/>
        </w:rPr>
      </w:pPr>
    </w:p>
    <w:p>
      <w:pPr>
        <w:ind w:left="1580" w:hanging="640"/>
        <w:spacing w:after="0"/>
        <w:tabs>
          <w:tab w:leader="none" w:pos="158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"Code" </w:t>
      </w:r>
      <w:r>
        <w:rPr>
          <w:rFonts w:ascii="Times New Roman" w:cs="Times New Roman" w:eastAsia="Times New Roman" w:hAnsi="Times New Roman"/>
          <w:sz w:val="19"/>
          <w:szCs w:val="19"/>
          <w:color w:val="auto"/>
        </w:rPr>
        <w:t>means the Internal Revenue Code of 1986, as amended.</w:t>
      </w:r>
    </w:p>
    <w:p>
      <w:pPr>
        <w:spacing w:after="0" w:line="254" w:lineRule="exact"/>
        <w:rPr>
          <w:rFonts w:ascii="Times New Roman" w:cs="Times New Roman" w:eastAsia="Times New Roman" w:hAnsi="Times New Roman"/>
          <w:sz w:val="19"/>
          <w:szCs w:val="19"/>
          <w:color w:val="auto"/>
        </w:rPr>
      </w:pPr>
    </w:p>
    <w:p>
      <w:pPr>
        <w:jc w:val="both"/>
        <w:ind w:left="300" w:firstLine="639"/>
        <w:spacing w:after="0" w:line="255" w:lineRule="auto"/>
        <w:tabs>
          <w:tab w:leader="none" w:pos="1262"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"Disability" </w:t>
      </w:r>
      <w:r>
        <w:rPr>
          <w:rFonts w:ascii="Times New Roman" w:cs="Times New Roman" w:eastAsia="Times New Roman" w:hAnsi="Times New Roman"/>
          <w:sz w:val="19"/>
          <w:szCs w:val="19"/>
          <w:color w:val="auto"/>
        </w:rPr>
        <w:t>means a condition entitling Executive to benefits under the Company's long term disability plan, policy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arrangement; provided, however, that if no such plan, policy or arrangement is then maintained by the Company and applicable to Executive, </w:t>
      </w:r>
      <w:r>
        <w:rPr>
          <w:rFonts w:ascii="Times New Roman" w:cs="Times New Roman" w:eastAsia="Times New Roman" w:hAnsi="Times New Roman"/>
          <w:sz w:val="19"/>
          <w:szCs w:val="19"/>
          <w:b w:val="1"/>
          <w:bCs w:val="1"/>
          <w:color w:val="auto"/>
        </w:rPr>
        <w:t>"Disability"</w:t>
      </w:r>
      <w:r>
        <w:rPr>
          <w:rFonts w:ascii="Times New Roman" w:cs="Times New Roman" w:eastAsia="Times New Roman" w:hAnsi="Times New Roman"/>
          <w:sz w:val="19"/>
          <w:szCs w:val="19"/>
          <w:color w:val="auto"/>
        </w:rPr>
        <w:t xml:space="preserve"> will mean Executive's inability to perform Executive’s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73" w:lineRule="exact"/>
        <w:rPr>
          <w:rFonts w:ascii="Times New Roman" w:cs="Times New Roman" w:eastAsia="Times New Roman" w:hAnsi="Times New Roman"/>
          <w:sz w:val="19"/>
          <w:szCs w:val="19"/>
          <w:color w:val="auto"/>
        </w:rPr>
      </w:pPr>
    </w:p>
    <w:p>
      <w:pPr>
        <w:jc w:val="both"/>
        <w:ind w:left="300" w:firstLine="639"/>
        <w:spacing w:after="0" w:line="255" w:lineRule="auto"/>
        <w:tabs>
          <w:tab w:leader="none" w:pos="1265"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"Good Reason" </w:t>
      </w:r>
      <w:r>
        <w:rPr>
          <w:rFonts w:ascii="Times New Roman" w:cs="Times New Roman" w:eastAsia="Times New Roman" w:hAnsi="Times New Roman"/>
          <w:sz w:val="19"/>
          <w:szCs w:val="19"/>
          <w:color w:val="auto"/>
        </w:rPr>
        <w:t>means: (i) a reduction in the Base Salary that exceeds ten percent (10%) of the Base Salary as in effect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immediately prior to the reduction (excluding, however, the impact of across-the-board salary reductions similarly affecting other senior executives of the Company); (ii) an annual cash incentive target opportunity amount set at less than 40% of the Base Salary (excluding however the impact of across-the-board reductions to annual incentive target opportunity amounts similarly affecting other senior executives of the Company; (iii) an annual equity incentive target opportunity amount (as measured using the same valuation methodology generally applicable to other senior executives) set at less than 70% of Base Salary (excluding,</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880"/>
          </w:cols>
          <w:pgMar w:left="360" w:top="1328" w:right="659" w:bottom="1440" w:gutter="0" w:footer="0" w:header="0"/>
        </w:sectPr>
      </w:pPr>
    </w:p>
    <w:bookmarkStart w:id="61" w:name="page62"/>
    <w:bookmarkEnd w:id="61"/>
    <w:p>
      <w:pPr>
        <w:spacing w:after="0" w:line="105"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9"/>
          <w:szCs w:val="19"/>
          <w:color w:val="auto"/>
        </w:rPr>
        <w:t>however, the impact of across-the-board reductions to equity incentive target opportunity amounts similarly affecting other senior executives of the Company); (iv) a Company mandated relocation of Executive's principal place of employment to a location that is more than 50 miles from Princeton Junction, New Jersey; or (v) the material breach of this Agreement by the Company; provided, however, that no such event will constitute Good Reason unless (x) Executive provides the Company with written objection to such event within thirty</w:t>
      </w:r>
    </w:p>
    <w:p>
      <w:pPr>
        <w:spacing w:after="0" w:line="3" w:lineRule="exact"/>
        <w:rPr>
          <w:sz w:val="20"/>
          <w:szCs w:val="20"/>
          <w:color w:val="auto"/>
        </w:rPr>
      </w:pPr>
    </w:p>
    <w:p>
      <w:pPr>
        <w:jc w:val="both"/>
        <w:ind w:left="300" w:hanging="8"/>
        <w:spacing w:after="0" w:line="255" w:lineRule="auto"/>
        <w:tabs>
          <w:tab w:leader="none" w:pos="685"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initial occurrence thereof, (y) such event is not reversed or corrected by the Company within thirty (30) days of its receipt of such written objection, and (z) Executive separates from service within thirty (30) days following the expiration of that cure period.</w:t>
      </w:r>
    </w:p>
    <w:p>
      <w:pPr>
        <w:spacing w:after="0" w:line="211" w:lineRule="exact"/>
        <w:rPr>
          <w:sz w:val="20"/>
          <w:szCs w:val="20"/>
          <w:color w:val="auto"/>
        </w:rPr>
      </w:pPr>
    </w:p>
    <w:p>
      <w:pPr>
        <w:ind w:left="940" w:hanging="648"/>
        <w:spacing w:after="0"/>
        <w:tabs>
          <w:tab w:leader="none" w:pos="94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Restrictive Covenants.</w:t>
      </w:r>
    </w:p>
    <w:p>
      <w:pPr>
        <w:spacing w:after="0" w:line="227" w:lineRule="exact"/>
        <w:rPr>
          <w:rFonts w:ascii="Times New Roman" w:cs="Times New Roman" w:eastAsia="Times New Roman" w:hAnsi="Times New Roman"/>
          <w:sz w:val="19"/>
          <w:szCs w:val="19"/>
          <w:color w:val="auto"/>
        </w:rPr>
      </w:pPr>
    </w:p>
    <w:p>
      <w:pPr>
        <w:jc w:val="both"/>
        <w:ind w:left="300" w:firstLine="639"/>
        <w:spacing w:after="0" w:line="256" w:lineRule="auto"/>
        <w:tabs>
          <w:tab w:leader="none" w:pos="1265"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Access to Secret and Confidential Information.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has furnished and shall furnish to Executive secret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confidential information with respect to the Company and its affiliates (collectively </w:t>
      </w:r>
      <w:r>
        <w:rPr>
          <w:rFonts w:ascii="Times New Roman" w:cs="Times New Roman" w:eastAsia="Times New Roman" w:hAnsi="Times New Roman"/>
          <w:sz w:val="19"/>
          <w:szCs w:val="19"/>
          <w:b w:val="1"/>
          <w:bCs w:val="1"/>
          <w:color w:val="auto"/>
        </w:rPr>
        <w:t>"Secret and Confidential Information"</w:t>
      </w:r>
      <w:r>
        <w:rPr>
          <w:rFonts w:ascii="Times New Roman" w:cs="Times New Roman" w:eastAsia="Times New Roman" w:hAnsi="Times New Roman"/>
          <w:sz w:val="19"/>
          <w:szCs w:val="19"/>
          <w:color w:val="auto"/>
        </w:rPr>
        <w:t>), to which Executive would not otherwise have access and of which Executive would not otherwise have knowledge. Secret and Confidential Information includes, without limitation, technical and business information, whether patentable or not, which is of a confidential, trade secret or proprietary character, and which is either developed by Executive alone, with other or by others;</w:t>
      </w:r>
    </w:p>
    <w:p>
      <w:pPr>
        <w:spacing w:after="0" w:line="40" w:lineRule="exact"/>
        <w:rPr>
          <w:sz w:val="20"/>
          <w:szCs w:val="20"/>
          <w:color w:val="auto"/>
        </w:rPr>
      </w:pPr>
    </w:p>
    <w:p>
      <w:pPr>
        <w:jc w:val="both"/>
        <w:ind w:left="300"/>
        <w:spacing w:after="0" w:line="256" w:lineRule="auto"/>
        <w:rPr>
          <w:sz w:val="20"/>
          <w:szCs w:val="20"/>
          <w:color w:val="auto"/>
        </w:rPr>
      </w:pPr>
      <w:r>
        <w:rPr>
          <w:rFonts w:ascii="Times New Roman" w:cs="Times New Roman" w:eastAsia="Times New Roman" w:hAnsi="Times New Roman"/>
          <w:sz w:val="19"/>
          <w:szCs w:val="19"/>
          <w:color w:val="auto"/>
        </w:rPr>
        <w:t>lists of customers; identity of customers; identity of prospective customers; contract terms; bidding information and strategies; pricing methods or information; computer software; computer software methods and documentation; hardware; methods of operation; the procedures, forms and techniques used in servicing accounts; and other information or documents that the Company or any of its affiliates requires to be maintained in confidence for its or their continued business success.</w:t>
      </w:r>
    </w:p>
    <w:p>
      <w:pPr>
        <w:spacing w:after="0" w:line="184" w:lineRule="exact"/>
        <w:rPr>
          <w:sz w:val="20"/>
          <w:szCs w:val="20"/>
          <w:color w:val="auto"/>
        </w:rPr>
      </w:pPr>
    </w:p>
    <w:p>
      <w:pPr>
        <w:ind w:left="1580" w:hanging="640"/>
        <w:spacing w:after="0"/>
        <w:tabs>
          <w:tab w:leader="none" w:pos="158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Non-Disclosure of Secret and Confidential Information.</w:t>
      </w:r>
    </w:p>
    <w:p>
      <w:pPr>
        <w:spacing w:after="0" w:line="231" w:lineRule="exact"/>
        <w:rPr>
          <w:rFonts w:ascii="Times New Roman" w:cs="Times New Roman" w:eastAsia="Times New Roman" w:hAnsi="Times New Roman"/>
          <w:sz w:val="19"/>
          <w:szCs w:val="19"/>
          <w:color w:val="auto"/>
        </w:rPr>
      </w:pPr>
    </w:p>
    <w:p>
      <w:pPr>
        <w:jc w:val="both"/>
        <w:ind w:left="300" w:firstLine="1287"/>
        <w:spacing w:after="0" w:line="254" w:lineRule="auto"/>
        <w:tabs>
          <w:tab w:leader="none" w:pos="1908"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Executive shall not, during the period of Executive’s employment with the Company or at any time thereafter, disclose to anyone, including, without limitation, any person, firm, corporation, or other entity, or publish, or use for any purpose, any Secret and Confidential Information, except as properly required in the ordinary course of the Company's business or as directed and authorized by the Company or as required by court order, law or subpoena, or other legal compulsion to disclose, it being understood that information that is known generally in the industry or is otherwise available to the public (other than as a result of a violation of Executive's obligation under this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shall not be considered Secret and Confidential Information.</w:t>
      </w:r>
    </w:p>
    <w:p>
      <w:pPr>
        <w:spacing w:after="0" w:line="219" w:lineRule="exact"/>
        <w:rPr>
          <w:rFonts w:ascii="Times New Roman" w:cs="Times New Roman" w:eastAsia="Times New Roman" w:hAnsi="Times New Roman"/>
          <w:sz w:val="19"/>
          <w:szCs w:val="19"/>
          <w:color w:val="auto"/>
        </w:rPr>
      </w:pPr>
    </w:p>
    <w:p>
      <w:pPr>
        <w:jc w:val="both"/>
        <w:ind w:left="300" w:firstLine="1287"/>
        <w:spacing w:after="0" w:line="255" w:lineRule="auto"/>
        <w:tabs>
          <w:tab w:leader="none" w:pos="1920"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pursuant to 18 U.S.C. Section 1833(b), Executive shall not be held criminally or civilly liable under any Federal or State trade secret law for the disclosure of a trade secret that: </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 xml:space="preserve"> is made in confidence to a Federal, State, or local government official, either directly or indirectly, or to an attorney, and solely for the purpose of reporting or investigating a suspected violation of law; or </w:t>
      </w: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9"/>
          <w:szCs w:val="19"/>
          <w:color w:val="auto"/>
        </w:rPr>
        <w:t xml:space="preserve"> is made in a complaint or other document filed in a lawsuit or other proceeding, if such filing is made under seal.</w:t>
      </w:r>
    </w:p>
    <w:p>
      <w:pPr>
        <w:spacing w:after="0" w:line="189" w:lineRule="exact"/>
        <w:rPr>
          <w:rFonts w:ascii="Times New Roman" w:cs="Times New Roman" w:eastAsia="Times New Roman" w:hAnsi="Times New Roman"/>
          <w:sz w:val="19"/>
          <w:szCs w:val="19"/>
          <w:color w:val="auto"/>
        </w:rPr>
      </w:pPr>
    </w:p>
    <w:p>
      <w:pPr>
        <w:jc w:val="both"/>
        <w:ind w:left="300" w:firstLine="1287"/>
        <w:spacing w:after="0" w:line="251" w:lineRule="auto"/>
        <w:tabs>
          <w:tab w:leader="none" w:pos="1919"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Similarly, notwithstanding anything herein to the contrary, Executive understands that this Agreement will not (1) prohibit Executive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(2) require notification or prior approval by the Company of any such report; provided that, Executive is not authorized to disclose communications with counsel that were made for the purpose of receiving legal advice or that contain legal advice or that are protected by the attorney work product or similar privilege.</w:t>
      </w:r>
    </w:p>
    <w:p>
      <w:pPr>
        <w:spacing w:after="0" w:line="192" w:lineRule="exact"/>
        <w:rPr>
          <w:rFonts w:ascii="Times New Roman" w:cs="Times New Roman" w:eastAsia="Times New Roman" w:hAnsi="Times New Roman"/>
          <w:sz w:val="19"/>
          <w:szCs w:val="19"/>
          <w:color w:val="auto"/>
        </w:rPr>
      </w:pPr>
    </w:p>
    <w:p>
      <w:pPr>
        <w:jc w:val="both"/>
        <w:ind w:left="300" w:firstLine="639"/>
        <w:spacing w:after="0" w:line="268" w:lineRule="auto"/>
        <w:tabs>
          <w:tab w:leader="none" w:pos="126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Duty to Return Company Documents and Property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Upon the termination of Executive's employment with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any reason, Executive shall immediately return and deliver to the Company any and all papers, books, records, documents, memoranda and manuals, e-mail, electronic or magnetic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880"/>
          </w:cols>
          <w:pgMar w:left="360" w:top="1440" w:right="659" w:bottom="1440" w:gutter="0" w:footer="0" w:header="0"/>
        </w:sectPr>
      </w:pPr>
    </w:p>
    <w:bookmarkStart w:id="62" w:name="page63"/>
    <w:bookmarkEnd w:id="62"/>
    <w:p>
      <w:pPr>
        <w:spacing w:after="0" w:line="105"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9"/>
          <w:szCs w:val="19"/>
          <w:color w:val="auto"/>
        </w:rPr>
        <w:t>recordings or data, including all copies thereof, belonging to the Company or relating to its business, in Executive's possession or control, whether prepared by Executive or others. If at any time after the termination of employment, Executive determines that Executive has any Secret and Confidential Information in Executive’s possession or control, Executive shall immediately return to the Company all such Secret and Confidential Information, including all copies and portions thereof.</w:t>
      </w:r>
    </w:p>
    <w:p>
      <w:pPr>
        <w:spacing w:after="0" w:line="166" w:lineRule="exact"/>
        <w:rPr>
          <w:sz w:val="20"/>
          <w:szCs w:val="20"/>
          <w:color w:val="auto"/>
        </w:rPr>
      </w:pPr>
    </w:p>
    <w:p>
      <w:pPr>
        <w:jc w:val="both"/>
        <w:ind w:left="300" w:firstLine="639"/>
        <w:spacing w:after="0" w:line="252" w:lineRule="auto"/>
        <w:tabs>
          <w:tab w:leader="none" w:pos="1262"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Inventions.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and all writings, computer software, inventions, improvements, processes, procedures and/or techniques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Executive may make, conceive, discover, or develop, either solely or jointly with any other person or persons, at any time during the term of Executive’s employment, whether at the request or upon the suggestion of the Company or otherwise, which relate to or are useful in connection with any business now or hereafter carried on or contemplated by the Company, including developments or expansions of its present fields of operations, shall be the sole and exclusive property of the Company. Executive shall take all actions necessary so that the Company can prepare and present applications for copyright or letters patent therefor, and can secure such copyright or letters patent wherever possible, as well as reissue renewals, and extensions thereof, and can obtain the record title to such copyright or patents. Executive shall not be entitled to any additional or special compensation or reimbursement regarding any such writings, computer software, inventions, improvements, processes, procedures and techniques. Executive acknowledges that the Company from time to time may have agreements with other persons or entities which impose obligations or restrictions on the Company regarding inventions made during the course of work thereunder or regarding the confidential nature of such work. Executive shall be bound by all such obligations and restrictions and take all action necessary to discharge the obligations of the Company.</w:t>
      </w:r>
    </w:p>
    <w:p>
      <w:pPr>
        <w:spacing w:after="0" w:line="190" w:lineRule="exact"/>
        <w:rPr>
          <w:rFonts w:ascii="Times New Roman" w:cs="Times New Roman" w:eastAsia="Times New Roman" w:hAnsi="Times New Roman"/>
          <w:sz w:val="19"/>
          <w:szCs w:val="19"/>
          <w:color w:val="auto"/>
        </w:rPr>
      </w:pPr>
    </w:p>
    <w:p>
      <w:pPr>
        <w:jc w:val="both"/>
        <w:ind w:left="300" w:firstLine="639"/>
        <w:spacing w:after="0" w:line="268" w:lineRule="auto"/>
        <w:tabs>
          <w:tab w:leader="none" w:pos="1265"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Non-Solicitation and Non-Competition Restrictions.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protect the Company's Secret and Confidential Information, and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event of Executive's termination of employment for any reason whatsoever, whether by Executive or the Company, Executive will be subject to the following restrictive covenants during and for the stated period following the termination of Executive’s employment.</w:t>
      </w:r>
    </w:p>
    <w:p>
      <w:pPr>
        <w:spacing w:after="0" w:line="159" w:lineRule="exact"/>
        <w:rPr>
          <w:rFonts w:ascii="Times New Roman" w:cs="Times New Roman" w:eastAsia="Times New Roman" w:hAnsi="Times New Roman"/>
          <w:sz w:val="19"/>
          <w:szCs w:val="19"/>
          <w:color w:val="auto"/>
        </w:rPr>
      </w:pPr>
    </w:p>
    <w:p>
      <w:pPr>
        <w:ind w:left="4500" w:hanging="632"/>
        <w:spacing w:after="0"/>
        <w:tabs>
          <w:tab w:leader="none" w:pos="4500"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Executive's employment by the Company and for twelve</w:t>
      </w:r>
    </w:p>
    <w:p>
      <w:pPr>
        <w:spacing w:after="0" w:line="41" w:lineRule="exact"/>
        <w:rPr>
          <w:rFonts w:ascii="Times New Roman" w:cs="Times New Roman" w:eastAsia="Times New Roman" w:hAnsi="Times New Roman"/>
          <w:sz w:val="18"/>
          <w:szCs w:val="18"/>
          <w:color w:val="auto"/>
        </w:rPr>
      </w:pPr>
    </w:p>
    <w:p>
      <w:pPr>
        <w:ind w:left="2900" w:hanging="360"/>
        <w:spacing w:after="0"/>
        <w:tabs>
          <w:tab w:leader="none" w:pos="29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cessation of Executive's employment with the Company for any reason, or eighteen</w:t>
      </w:r>
    </w:p>
    <w:p>
      <w:pPr>
        <w:spacing w:after="0" w:line="22" w:lineRule="exact"/>
        <w:rPr>
          <w:rFonts w:ascii="Times New Roman" w:cs="Times New Roman" w:eastAsia="Times New Roman" w:hAnsi="Times New Roman"/>
          <w:sz w:val="18"/>
          <w:szCs w:val="18"/>
          <w:color w:val="auto"/>
        </w:rPr>
      </w:pPr>
    </w:p>
    <w:p>
      <w:pPr>
        <w:jc w:val="both"/>
        <w:ind w:left="300" w:hanging="8"/>
        <w:spacing w:after="0" w:line="250" w:lineRule="auto"/>
        <w:tabs>
          <w:tab w:leader="none" w:pos="66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months if the cessation of Executive’s employment occurs within ninety (90) days preceding or twelve (12) months after the date of a Change in Control, Executive shall not, without the prior written consent of the Company, knowingly or intentionally (1) personally engage in Competitive Activities (as defined below) or (2) work for, own, manage, operate, control, or participate in the ownership, management, operation, or control of, or provide consulting or advisory services to, any person, partnership, firm, corporation, institution or other entity engaged in Competitive Activities, or any company or person affiliated with such person or entity engaged in Competitive Activities; provided that Executive's purchase or holding, for investment purposes, of securities of a publicly traded company shall not constitute "ownership" or "participation in the ownership" for purposes of this paragraph so long as such equity interest in any such company is not more than 2% of the value of the outstanding stock or 2% of the outstanding voting securities of said publicly traded company. For the avoidance of doubt, this </w:t>
      </w:r>
      <w:r>
        <w:rPr>
          <w:rFonts w:ascii="Times New Roman" w:cs="Times New Roman" w:eastAsia="Times New Roman" w:hAnsi="Times New Roman"/>
          <w:sz w:val="19"/>
          <w:szCs w:val="19"/>
          <w:u w:val="single" w:color="auto"/>
          <w:color w:val="auto"/>
        </w:rPr>
        <w:t>Section 15(e)(i)</w:t>
      </w:r>
      <w:r>
        <w:rPr>
          <w:rFonts w:ascii="Times New Roman" w:cs="Times New Roman" w:eastAsia="Times New Roman" w:hAnsi="Times New Roman"/>
          <w:sz w:val="19"/>
          <w:szCs w:val="19"/>
          <w:color w:val="auto"/>
        </w:rPr>
        <w:t xml:space="preserve"> shall not prohibit Executive from being employed by, or providing services to, a consulting firm, provided that Executive does not personally engage in Competitive Activities or provide consulting or advisory services to any individual, partnership, firm, corporation, institution or other entity engaged in Competitive Activities, or any person entity affiliated with such individual, partnership, firm, corporation, institution or other entity engaged in Competitive Activities</w:t>
      </w:r>
    </w:p>
    <w:p>
      <w:pPr>
        <w:spacing w:after="0" w:line="193" w:lineRule="exact"/>
        <w:rPr>
          <w:sz w:val="20"/>
          <w:szCs w:val="20"/>
          <w:color w:val="auto"/>
        </w:rPr>
      </w:pPr>
    </w:p>
    <w:p>
      <w:pPr>
        <w:jc w:val="both"/>
        <w:ind w:left="300" w:hanging="8"/>
        <w:spacing w:after="0" w:line="256" w:lineRule="auto"/>
        <w:tabs>
          <w:tab w:leader="none" w:pos="666"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(ii) </w:t>
      </w:r>
      <w:r>
        <w:rPr>
          <w:rFonts w:ascii="Times New Roman" w:cs="Times New Roman" w:eastAsia="Times New Roman" w:hAnsi="Times New Roman"/>
          <w:sz w:val="19"/>
          <w:szCs w:val="19"/>
          <w:b w:val="1"/>
          <w:bCs w:val="1"/>
          <w:u w:val="single" w:color="auto"/>
          <w:color w:val="auto"/>
        </w:rPr>
        <w:t>Competitive Activities.</w:t>
      </w:r>
      <w:r>
        <w:rPr>
          <w:rFonts w:ascii="Times New Roman" w:cs="Times New Roman" w:eastAsia="Times New Roman" w:hAnsi="Times New Roman"/>
          <w:sz w:val="19"/>
          <w:szCs w:val="19"/>
          <w:color w:val="auto"/>
        </w:rPr>
        <w:t xml:space="preserve"> For the purposes hereof, the term </w:t>
      </w:r>
      <w:r>
        <w:rPr>
          <w:rFonts w:ascii="Times New Roman" w:cs="Times New Roman" w:eastAsia="Times New Roman" w:hAnsi="Times New Roman"/>
          <w:sz w:val="19"/>
          <w:szCs w:val="19"/>
          <w:b w:val="1"/>
          <w:bCs w:val="1"/>
          <w:color w:val="auto"/>
        </w:rPr>
        <w:t>"Competitive Activities"</w:t>
      </w:r>
      <w:r>
        <w:rPr>
          <w:rFonts w:ascii="Times New Roman" w:cs="Times New Roman" w:eastAsia="Times New Roman" w:hAnsi="Times New Roman"/>
          <w:sz w:val="19"/>
          <w:szCs w:val="19"/>
          <w:color w:val="auto"/>
        </w:rPr>
        <w:t xml:space="preserve"> means activities relating to products or services of the same or similar type as the products or services which are sold (or, pursuant to an existing business plan, will be sold) to paying customers of the Company or any of its subsidiaries. Notwithstanding the previous sentence, an activity shall not be treated as a Competitive Activity if the geographic marketing area of the relevant products or services does not overlap with the geographic marketing area for the applicable products and services of the Company and its subsidiaries</w:t>
      </w:r>
    </w:p>
    <w:p>
      <w:pPr>
        <w:spacing w:after="0" w:line="171" w:lineRule="exact"/>
        <w:rPr>
          <w:rFonts w:ascii="Times New Roman" w:cs="Times New Roman" w:eastAsia="Times New Roman" w:hAnsi="Times New Roman"/>
          <w:sz w:val="19"/>
          <w:szCs w:val="19"/>
          <w:color w:val="auto"/>
        </w:rPr>
      </w:pPr>
    </w:p>
    <w:p>
      <w:pPr>
        <w:ind w:left="300" w:firstLine="1287"/>
        <w:spacing w:after="0" w:line="284" w:lineRule="auto"/>
        <w:tabs>
          <w:tab w:leader="none" w:pos="1939"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Interference With Business Relations.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twelve (12) months following the cessation of Executive's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Company for any reason, or eighteen (18) months if the cessation of</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880"/>
          </w:cols>
          <w:pgMar w:left="360" w:top="1440" w:right="659" w:bottom="1440" w:gutter="0" w:footer="0" w:header="0"/>
        </w:sectPr>
      </w:pPr>
    </w:p>
    <w:bookmarkStart w:id="63" w:name="page64"/>
    <w:bookmarkEnd w:id="63"/>
    <w:p>
      <w:pPr>
        <w:spacing w:after="0" w:line="105"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19"/>
          <w:szCs w:val="19"/>
          <w:color w:val="auto"/>
        </w:rPr>
        <w:t>Executive’s employment occurs within ninety (90) days preceding or twelve (12) months after the date of a Change in Control, Executive shall not, without the prior written consent of the Company, knowingly or intentionally, directly or indirectly: (1) recruit, induce or solicit any individual who is or who, within the preceding six (6) months, was a non-clerical employee of the Company (including any of its subsidiaries) for employment or for retention as a consultant or service provider, or hire any such individual; or (2) solicit or induce any client, customer, or prospect of the Company (including any subsidiary of the Company) (x) to cease being, or not to become, a customer of the Company (or any such subsidiary), or (y) to divert any business of such customer or prospect from the Company (or any such subsidiary).</w:t>
      </w:r>
    </w:p>
    <w:p>
      <w:pPr>
        <w:spacing w:after="0" w:line="213" w:lineRule="exact"/>
        <w:rPr>
          <w:sz w:val="20"/>
          <w:szCs w:val="20"/>
          <w:color w:val="auto"/>
        </w:rPr>
      </w:pPr>
    </w:p>
    <w:p>
      <w:pPr>
        <w:jc w:val="both"/>
        <w:ind w:left="300" w:firstLine="639"/>
        <w:spacing w:after="0" w:line="258" w:lineRule="auto"/>
        <w:tabs>
          <w:tab w:leader="none" w:pos="127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Reformation.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a court concludes that any time period and/or the geographic area specified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15(e) is unenforceable,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then the time period will be reduced by the number of months, or the geographic area will be reduced by the elimination of the overbroad portion, or both, as the case may be, so that the restrictions may be enforced in the geographic area and for the time to the fullest extent permitted by law.</w:t>
      </w:r>
    </w:p>
    <w:p>
      <w:pPr>
        <w:spacing w:after="0" w:line="181" w:lineRule="exact"/>
        <w:rPr>
          <w:rFonts w:ascii="Times New Roman" w:cs="Times New Roman" w:eastAsia="Times New Roman" w:hAnsi="Times New Roman"/>
          <w:sz w:val="19"/>
          <w:szCs w:val="19"/>
          <w:color w:val="auto"/>
        </w:rPr>
      </w:pPr>
    </w:p>
    <w:p>
      <w:pPr>
        <w:jc w:val="both"/>
        <w:ind w:left="300" w:firstLine="639"/>
        <w:spacing w:after="0" w:line="258" w:lineRule="auto"/>
        <w:tabs>
          <w:tab w:leader="none" w:pos="126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Remedies.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acknowledges and agrees that, in view of the nature of the Company's business, the restrictions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contained in this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of the Agreement are reasonable and necessary to protect the Company's legitimate business interests and that any violation of these restrictions would result in irreparable injury to the Company. In the event of a breach or a threatened breach by Executive of any restrictive covenant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880"/>
          </w:cols>
          <w:pgMar w:left="360" w:top="1440" w:right="659" w:bottom="1440" w:gutter="0" w:footer="0" w:header="0"/>
        </w:sectPr>
      </w:pPr>
    </w:p>
    <w:bookmarkStart w:id="64" w:name="page65"/>
    <w:bookmarkEnd w:id="64"/>
    <w:p>
      <w:pPr>
        <w:spacing w:after="0" w:line="213"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9"/>
          <w:szCs w:val="19"/>
          <w:color w:val="auto"/>
        </w:rPr>
        <w:t>herein, the Company shall be entitled to a temporary restraining order and injunctive relief restraining Executive from the commission of any breach, and to recover the Company’s attorneys' fees, costs and expenses related to the breach or threatened breach. Nothing contained herein shall be construed as prohibiting the Company from pursuing any other remedies available to it for any breach or threatened breach, including, without limitation, the other remedies specified in this Agreement and/or the recovery of money damages, attorneys' fees, and costs. These covenants and restrictions shall each be construed as independent of any other provisions in the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92" w:lineRule="exact"/>
        <w:rPr>
          <w:sz w:val="20"/>
          <w:szCs w:val="20"/>
          <w:color w:val="auto"/>
        </w:rPr>
      </w:pPr>
    </w:p>
    <w:p>
      <w:pPr>
        <w:jc w:val="both"/>
        <w:ind w:left="300" w:firstLine="639"/>
        <w:spacing w:after="0" w:line="263" w:lineRule="auto"/>
        <w:tabs>
          <w:tab w:leader="none" w:pos="1262"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Should a court determine that any paragraph or sentence, or any portion of a paragraph or sentence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is invalid, unenforceable or void, this determination shall not have the effect of invalidating the remainder of the paragraph, sentence or any other provision of this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Further, it is intended that the court should construe this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by limiting and reducing it only to the extent necessary to be enforceable under then applicable law, taking into account the intent of the parties.</w:t>
      </w:r>
    </w:p>
    <w:p>
      <w:pPr>
        <w:spacing w:after="0" w:line="162" w:lineRule="exact"/>
        <w:rPr>
          <w:rFonts w:ascii="Times New Roman" w:cs="Times New Roman" w:eastAsia="Times New Roman" w:hAnsi="Times New Roman"/>
          <w:sz w:val="19"/>
          <w:szCs w:val="19"/>
          <w:color w:val="auto"/>
        </w:rPr>
      </w:pPr>
    </w:p>
    <w:p>
      <w:pPr>
        <w:jc w:val="both"/>
        <w:ind w:left="300" w:firstLine="639"/>
        <w:spacing w:after="0" w:line="268" w:lineRule="auto"/>
        <w:tabs>
          <w:tab w:leader="none" w:pos="126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Future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before the expiration of the period covered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15(e)(iii)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hereof, Executive seeks or is offered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employment or engagement by any other company, firm, person or entity, Executive shall provide a copy of this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to the prospective service recipient before accepting employment with that prospective employer.</w:t>
      </w:r>
    </w:p>
    <w:p>
      <w:pPr>
        <w:spacing w:after="0" w:line="199" w:lineRule="exact"/>
        <w:rPr>
          <w:rFonts w:ascii="Times New Roman" w:cs="Times New Roman" w:eastAsia="Times New Roman" w:hAnsi="Times New Roman"/>
          <w:sz w:val="19"/>
          <w:szCs w:val="19"/>
          <w:color w:val="auto"/>
        </w:rPr>
      </w:pPr>
    </w:p>
    <w:p>
      <w:pPr>
        <w:ind w:left="300" w:hanging="8"/>
        <w:spacing w:after="0" w:line="284" w:lineRule="auto"/>
        <w:tabs>
          <w:tab w:leader="none" w:pos="61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Duty to Mitigate.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Except as otherwise specifically provided herein, Executive's entitlement to payments or benefits upon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the termination of Executive’s employment will not be subject to mitigation or a duty to mitigate by Executive.</w:t>
      </w:r>
    </w:p>
    <w:p>
      <w:pPr>
        <w:spacing w:after="0" w:line="144" w:lineRule="exact"/>
        <w:rPr>
          <w:rFonts w:ascii="Times New Roman" w:cs="Times New Roman" w:eastAsia="Times New Roman" w:hAnsi="Times New Roman"/>
          <w:sz w:val="19"/>
          <w:szCs w:val="19"/>
          <w:color w:val="auto"/>
        </w:rPr>
      </w:pPr>
    </w:p>
    <w:p>
      <w:pPr>
        <w:jc w:val="both"/>
        <w:ind w:left="300" w:hanging="8"/>
        <w:spacing w:after="0" w:line="263" w:lineRule="auto"/>
        <w:tabs>
          <w:tab w:leader="none" w:pos="61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Conflicting Agreements.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represents and warrants that Executive is not a party to or otherwise bound by any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restriction that could conflict with, or be violated by, the performance of Executive’s duties to the Company or Executive’s obligations under this Agreement. Executive will not use or misappropriate any intellectual property, trade secrets or confidential information belonging to any third party.</w:t>
      </w:r>
    </w:p>
    <w:p>
      <w:pPr>
        <w:spacing w:after="0" w:line="162" w:lineRule="exact"/>
        <w:rPr>
          <w:rFonts w:ascii="Times New Roman" w:cs="Times New Roman" w:eastAsia="Times New Roman" w:hAnsi="Times New Roman"/>
          <w:sz w:val="19"/>
          <w:szCs w:val="19"/>
          <w:color w:val="auto"/>
        </w:rPr>
      </w:pPr>
    </w:p>
    <w:p>
      <w:pPr>
        <w:jc w:val="both"/>
        <w:ind w:left="300" w:hanging="8"/>
        <w:spacing w:after="0" w:line="263" w:lineRule="auto"/>
        <w:tabs>
          <w:tab w:leader="none" w:pos="61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compensation payable to Executive is subject to reduction to reflect applicable withholding and payroll taxes and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deductions required by law. Executive hereby acknowledges that the Company does not have a duty to design its compensation policies in a manner that minimizes Executive's tax liabilities, and Executive does not make any claim against the Company or its board of directors related to tax liabilities arising from Executive’s compensation.</w:t>
      </w:r>
    </w:p>
    <w:p>
      <w:pPr>
        <w:spacing w:after="0" w:line="176" w:lineRule="exact"/>
        <w:rPr>
          <w:rFonts w:ascii="Times New Roman" w:cs="Times New Roman" w:eastAsia="Times New Roman" w:hAnsi="Times New Roman"/>
          <w:sz w:val="19"/>
          <w:szCs w:val="19"/>
          <w:color w:val="auto"/>
        </w:rPr>
      </w:pPr>
    </w:p>
    <w:p>
      <w:pPr>
        <w:ind w:left="940" w:hanging="648"/>
        <w:spacing w:after="0"/>
        <w:tabs>
          <w:tab w:leader="none" w:pos="94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Entire Agreement; Assignment; Amendment</w:t>
      </w:r>
      <w:r>
        <w:rPr>
          <w:rFonts w:ascii="Times New Roman" w:cs="Times New Roman" w:eastAsia="Times New Roman" w:hAnsi="Times New Roman"/>
          <w:sz w:val="19"/>
          <w:szCs w:val="19"/>
          <w:b w:val="1"/>
          <w:bCs w:val="1"/>
          <w:color w:val="auto"/>
        </w:rPr>
        <w:t>.</w:t>
      </w:r>
    </w:p>
    <w:p>
      <w:pPr>
        <w:spacing w:after="0" w:line="217" w:lineRule="exact"/>
        <w:rPr>
          <w:rFonts w:ascii="Times New Roman" w:cs="Times New Roman" w:eastAsia="Times New Roman" w:hAnsi="Times New Roman"/>
          <w:sz w:val="19"/>
          <w:szCs w:val="19"/>
          <w:color w:val="auto"/>
        </w:rPr>
      </w:pPr>
    </w:p>
    <w:p>
      <w:pPr>
        <w:jc w:val="both"/>
        <w:ind w:left="300" w:firstLine="639"/>
        <w:spacing w:after="0" w:line="259" w:lineRule="auto"/>
        <w:tabs>
          <w:tab w:leader="none" w:pos="1265"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including the exhibits, schedules and other documents referred to herein, constitutes the final and entire agreement of the parties with respect to the matters covered hereby and supersedes any prior and/or contemporaneous agreements, arrangements discussions, negotiations, representations or understandings (whether written, oral or implied) relating to the subject matter hereof; and, for the avoidance of doubt, Executive confirms there are no agreements, arrangements, discussions, negotiations, representations or understandings between Executive and the Company, or any affiliates of the Company, not referred to herein.</w:t>
      </w:r>
    </w:p>
    <w:p>
      <w:pPr>
        <w:spacing w:after="0" w:line="171" w:lineRule="exact"/>
        <w:rPr>
          <w:rFonts w:ascii="Times New Roman" w:cs="Times New Roman" w:eastAsia="Times New Roman" w:hAnsi="Times New Roman"/>
          <w:sz w:val="19"/>
          <w:szCs w:val="19"/>
          <w:color w:val="auto"/>
        </w:rPr>
      </w:pPr>
    </w:p>
    <w:p>
      <w:pPr>
        <w:jc w:val="both"/>
        <w:ind w:left="300" w:firstLine="639"/>
        <w:spacing w:after="0" w:line="261" w:lineRule="auto"/>
        <w:tabs>
          <w:tab w:leader="none" w:pos="1262"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xml:space="preserve"> or otherwise, whether or not Executive accepts employment with the assignee.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880"/>
          </w:cols>
          <w:pgMar w:left="360" w:top="1440" w:right="659" w:bottom="1440" w:gutter="0" w:footer="0" w:header="0"/>
        </w:sectPr>
      </w:pPr>
    </w:p>
    <w:bookmarkStart w:id="65" w:name="page66"/>
    <w:bookmarkEnd w:id="65"/>
    <w:p>
      <w:pPr>
        <w:spacing w:after="0" w:line="132" w:lineRule="exact"/>
        <w:rPr>
          <w:sz w:val="20"/>
          <w:szCs w:val="20"/>
          <w:color w:val="auto"/>
        </w:rPr>
      </w:pPr>
    </w:p>
    <w:p>
      <w:pPr>
        <w:ind w:left="300" w:right="780" w:firstLine="639"/>
        <w:spacing w:after="0" w:line="280" w:lineRule="auto"/>
        <w:tabs>
          <w:tab w:leader="none" w:pos="1265"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amended or modified only by a written instrument signed by a duly authorized officer of the Company and Executive.</w:t>
      </w:r>
    </w:p>
    <w:p>
      <w:pPr>
        <w:spacing w:after="0" w:line="12" w:lineRule="exact"/>
        <w:rPr>
          <w:rFonts w:ascii="Times New Roman" w:cs="Times New Roman" w:eastAsia="Times New Roman" w:hAnsi="Times New Roman"/>
          <w:sz w:val="19"/>
          <w:szCs w:val="19"/>
          <w:color w:val="auto"/>
        </w:rPr>
      </w:pPr>
    </w:p>
    <w:p>
      <w:pPr>
        <w:jc w:val="both"/>
        <w:ind w:left="300" w:hanging="8"/>
        <w:spacing w:after="0" w:line="253" w:lineRule="auto"/>
        <w:tabs>
          <w:tab w:leader="none" w:pos="61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Arbitration.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event of any dispute under the provisions of this Agreement or otherwise regarding Executive's employment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compensation (other than a dispute in which the primary relief sought is an injunction or other equitable remedy, such as an action to enforce compliance with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the parties shall be required to have the dispute, controversy or claim settled by arbitration in Princeton Junction, New Jersey in accordance with the National Rules for the Resolution of Employment Disputes then in effect of the American Arbitration Association </w:t>
      </w:r>
      <w:r>
        <w:rPr>
          <w:rFonts w:ascii="Times New Roman" w:cs="Times New Roman" w:eastAsia="Times New Roman" w:hAnsi="Times New Roman"/>
          <w:sz w:val="19"/>
          <w:szCs w:val="19"/>
          <w:b w:val="1"/>
          <w:bCs w:val="1"/>
          <w:color w:val="auto"/>
        </w:rPr>
        <w:t>("AAA"</w:t>
      </w:r>
      <w:r>
        <w:rPr>
          <w:rFonts w:ascii="Times New Roman" w:cs="Times New Roman" w:eastAsia="Times New Roman" w:hAnsi="Times New Roman"/>
          <w:sz w:val="19"/>
          <w:szCs w:val="19"/>
          <w:color w:val="auto"/>
        </w:rPr>
        <w:t>), by one arbitrator mutually agreed upon by the parties (or, if no agreement can be reached within thirty</w:t>
      </w:r>
    </w:p>
    <w:p>
      <w:pPr>
        <w:jc w:val="both"/>
        <w:ind w:left="30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spacing w:after="0" w:line="189" w:lineRule="exact"/>
        <w:rPr>
          <w:rFonts w:ascii="Times New Roman" w:cs="Times New Roman" w:eastAsia="Times New Roman" w:hAnsi="Times New Roman"/>
          <w:sz w:val="19"/>
          <w:szCs w:val="19"/>
          <w:color w:val="auto"/>
        </w:rPr>
      </w:pPr>
    </w:p>
    <w:p>
      <w:pPr>
        <w:jc w:val="both"/>
        <w:ind w:left="300" w:hanging="8"/>
        <w:spacing w:after="0" w:line="267" w:lineRule="auto"/>
        <w:tabs>
          <w:tab w:leader="none" w:pos="61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demands or other communications hereunder shall be in writing and shall be deemed to have been duly given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in person, by e-mail or fax, by United States 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w:t>
      </w:r>
    </w:p>
    <w:p>
      <w:pPr>
        <w:spacing w:after="0" w:line="2" w:lineRule="exact"/>
        <w:rPr>
          <w:rFonts w:ascii="Times New Roman" w:cs="Times New Roman" w:eastAsia="Times New Roman" w:hAnsi="Times New Roman"/>
          <w:sz w:val="18"/>
          <w:szCs w:val="18"/>
          <w:color w:val="auto"/>
        </w:rPr>
      </w:pPr>
    </w:p>
    <w:p>
      <w:pPr>
        <w:jc w:val="both"/>
        <w:ind w:left="3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87" w:lineRule="exact"/>
        <w:rPr>
          <w:rFonts w:ascii="Times New Roman" w:cs="Times New Roman" w:eastAsia="Times New Roman" w:hAnsi="Times New Roman"/>
          <w:sz w:val="18"/>
          <w:szCs w:val="18"/>
          <w:color w:val="auto"/>
        </w:rPr>
      </w:pPr>
    </w:p>
    <w:p>
      <w:pPr>
        <w:ind w:left="300" w:hanging="8"/>
        <w:spacing w:after="0" w:line="284" w:lineRule="auto"/>
        <w:tabs>
          <w:tab w:leader="none" w:pos="61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Headings.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headings of the sections of this Agreement are inserted for convenience only and shall not affect the meaning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w:t>
      </w:r>
    </w:p>
    <w:p>
      <w:pPr>
        <w:spacing w:after="0" w:line="157" w:lineRule="exact"/>
        <w:rPr>
          <w:rFonts w:ascii="Times New Roman" w:cs="Times New Roman" w:eastAsia="Times New Roman" w:hAnsi="Times New Roman"/>
          <w:sz w:val="19"/>
          <w:szCs w:val="19"/>
          <w:color w:val="auto"/>
        </w:rPr>
      </w:pPr>
    </w:p>
    <w:p>
      <w:pPr>
        <w:ind w:left="300" w:hanging="8"/>
        <w:spacing w:after="0" w:line="284" w:lineRule="auto"/>
        <w:tabs>
          <w:tab w:leader="none" w:pos="61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 This Agreement shall be governed by and construed in accordance with the internal laws of the State of New Jersey,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regard to its choice of law provisions.</w:t>
      </w:r>
    </w:p>
    <w:p>
      <w:pPr>
        <w:spacing w:after="0" w:line="171" w:lineRule="exact"/>
        <w:rPr>
          <w:rFonts w:ascii="Times New Roman" w:cs="Times New Roman" w:eastAsia="Times New Roman" w:hAnsi="Times New Roman"/>
          <w:sz w:val="19"/>
          <w:szCs w:val="19"/>
          <w:color w:val="auto"/>
        </w:rPr>
      </w:pPr>
    </w:p>
    <w:p>
      <w:pPr>
        <w:ind w:left="300" w:hanging="8"/>
        <w:spacing w:after="0" w:line="284" w:lineRule="auto"/>
        <w:tabs>
          <w:tab w:leader="none" w:pos="61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Counterparts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may be executed in separate counterparts, any one of which need not contain signatures of more than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one party, but all of which taken together will constitute one and the same Agreement.</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880"/>
          </w:cols>
          <w:pgMar w:left="360" w:top="1440" w:right="659" w:bottom="1440" w:gutter="0" w:footer="0" w:header="0"/>
        </w:sectPr>
      </w:pPr>
    </w:p>
    <w:bookmarkStart w:id="66" w:name="page67"/>
    <w:bookmarkEnd w:id="66"/>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This Agreement has been executed and delivered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b w:val="1"/>
          <w:bCs w:val="1"/>
          <w:color w:val="auto"/>
        </w:rPr>
        <w:t>MISTRAS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180340</wp:posOffset>
            </wp:positionV>
            <wp:extent cx="1491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By:</w:t>
      </w:r>
    </w:p>
    <w:p>
      <w:pPr>
        <w:spacing w:after="0" w:line="2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Name:</w:t>
      </w:r>
    </w:p>
    <w:p>
      <w:pPr>
        <w:spacing w:after="0" w:line="2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180340</wp:posOffset>
            </wp:positionV>
            <wp:extent cx="1045845" cy="248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045845" cy="2489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488950</wp:posOffset>
            </wp:positionV>
            <wp:extent cx="14916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Eileen Coggins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099"/>
          </w:cols>
          <w:pgMar w:left="360" w:top="1440"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Natalia Shuman-Fabbri, certify that:</w:t>
      </w:r>
    </w:p>
    <w:p>
      <w:pPr>
        <w:spacing w:after="0" w:line="90"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17145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104"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305"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September 30, 2025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2025</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lvl w:ilvl="1">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lowerLetter"/>
      <w:start w:val="2"/>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upperLetter"/>
      <w:start w:val="9"/>
    </w:lvl>
  </w:abstractNum>
  <w:abstractNum w:abstractNumId="14">
    <w:nsid w:val="6CEAF087"/>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5">
    <w:nsid w:val="22221A70"/>
    <w:multiLevelType w:val="hybridMultilevel"/>
    <w:lvl w:ilvl="0">
      <w:lvlJc w:val="left"/>
      <w:lvlText w:val="%1"/>
      <w:numFmt w:val="decimal"/>
      <w:start w:val="1"/>
    </w:lvl>
    <w:lvl w:ilvl="1">
      <w:lvlJc w:val="left"/>
      <w:lvlText w:val="(%2)"/>
      <w:numFmt w:val="lowerLetter"/>
      <w:start w:val="3"/>
    </w:lvl>
  </w:abstractNum>
  <w:abstractNum w:abstractNumId="16">
    <w:nsid w:val="4516DDE9"/>
    <w:multiLevelType w:val="hybridMultilevel"/>
    <w:lvl w:ilvl="0">
      <w:lvlJc w:val="left"/>
      <w:lvlText w:val="%1."/>
      <w:numFmt w:val="decimal"/>
      <w:start w:val="3"/>
    </w:lvl>
    <w:lvl w:ilvl="1">
      <w:lvlJc w:val="left"/>
      <w:lvlText w:val="%2"/>
      <w:numFmt w:val="lowerLetter"/>
      <w:start w:val="1"/>
    </w:lvl>
  </w:abstractNum>
  <w:abstractNum w:abstractNumId="17">
    <w:nsid w:val="3006C83E"/>
    <w:multiLevelType w:val="hybridMultilevel"/>
    <w:lvl w:ilvl="0">
      <w:lvlJc w:val="left"/>
      <w:lvlText w:val="%1."/>
      <w:numFmt w:val="decimal"/>
      <w:start w:val="6"/>
    </w:lvl>
  </w:abstractNum>
  <w:abstractNum w:abstractNumId="18">
    <w:nsid w:val="614FD4A1"/>
    <w:multiLevelType w:val="hybridMultilevel"/>
    <w:lvl w:ilvl="0">
      <w:lvlJc w:val="left"/>
      <w:lvlText w:val="%1"/>
      <w:numFmt w:val="lowerRoman"/>
      <w:start w:val="1"/>
    </w:lvl>
    <w:lvl w:ilvl="1">
      <w:lvlJc w:val="left"/>
      <w:lvlText w:val="%2."/>
      <w:numFmt w:val="decimal"/>
      <w:start w:val="1"/>
    </w:lvl>
  </w:abstractNum>
  <w:abstractNum w:abstractNumId="19">
    <w:nsid w:val="419AC241"/>
    <w:multiLevelType w:val="hybridMultilevel"/>
    <w:lvl w:ilvl="0">
      <w:lvlJc w:val="left"/>
      <w:lvlText w:val="(%1)"/>
      <w:numFmt w:val="lowerRoman"/>
      <w:start w:val="2"/>
    </w:lvl>
    <w:lvl w:ilvl="1">
      <w:lvlJc w:val="left"/>
      <w:lvlText w:val="%2."/>
      <w:numFmt w:val="decimal"/>
      <w:start w:val="4"/>
    </w:lvl>
  </w:abstractNum>
  <w:abstractNum w:abstractNumId="20">
    <w:nsid w:val="5577F8E1"/>
    <w:multiLevelType w:val="hybridMultilevel"/>
    <w:lvl w:ilvl="0">
      <w:lvlJc w:val="left"/>
      <w:lvlText w:val="%1."/>
      <w:numFmt w:val="decimal"/>
      <w:start w:val="6"/>
    </w:lvl>
  </w:abstractNum>
  <w:abstractNum w:abstractNumId="21">
    <w:nsid w:val="440BADFC"/>
    <w:multiLevelType w:val="hybridMultilevel"/>
    <w:lvl w:ilvl="0">
      <w:lvlJc w:val="left"/>
      <w:lvlText w:val="%1."/>
      <w:numFmt w:val="decimal"/>
      <w:start w:val="11"/>
    </w:lvl>
  </w:abstractNum>
  <w:abstractNum w:abstractNumId="22">
    <w:nsid w:val="5072367"/>
    <w:multiLevelType w:val="hybridMultilevel"/>
    <w:lvl w:ilvl="0">
      <w:lvlJc w:val="left"/>
      <w:lvlText w:val="%1."/>
      <w:numFmt w:val="decimal"/>
      <w:start w:val="1"/>
    </w:lvl>
    <w:lvl w:ilvl="1">
      <w:lvlJc w:val="left"/>
      <w:lvlText w:val="(%2)"/>
      <w:numFmt w:val="lowerLetter"/>
      <w:start w:val="1"/>
    </w:lvl>
  </w:abstractNum>
  <w:abstractNum w:abstractNumId="23">
    <w:nsid w:val="3804823E"/>
    <w:multiLevelType w:val="hybridMultilevel"/>
    <w:lvl w:ilvl="0">
      <w:lvlJc w:val="left"/>
      <w:lvlText w:val="%1"/>
      <w:numFmt w:val="decimal"/>
      <w:start w:val="1"/>
    </w:lvl>
    <w:lvl w:ilvl="1">
      <w:lvlJc w:val="left"/>
      <w:lvlText w:val="(%2)"/>
      <w:numFmt w:val="lowerLetter"/>
      <w:start w:val="1"/>
    </w:lvl>
  </w:abstractNum>
  <w:abstractNum w:abstractNumId="24">
    <w:nsid w:val="77465F01"/>
    <w:multiLevelType w:val="hybridMultilevel"/>
    <w:lvl w:ilvl="0">
      <w:lvlJc w:val="left"/>
      <w:lvlText w:val="%1."/>
      <w:numFmt w:val="decimal"/>
      <w:start w:val="8"/>
    </w:lvl>
    <w:lvl w:ilvl="1">
      <w:lvlJc w:val="left"/>
      <w:lvlText w:val="(%2)"/>
      <w:numFmt w:val="lowerLetter"/>
      <w:start w:val="1"/>
    </w:lvl>
  </w:abstractNum>
  <w:abstractNum w:abstractNumId="25">
    <w:nsid w:val="7724C67E"/>
    <w:multiLevelType w:val="hybridMultilevel"/>
    <w:lvl w:ilvl="0">
      <w:lvlJc w:val="left"/>
      <w:lvlText w:val="%1"/>
      <w:numFmt w:val="decimal"/>
      <w:start w:val="1"/>
    </w:lvl>
    <w:lvl w:ilvl="1">
      <w:lvlJc w:val="left"/>
      <w:lvlText w:val="(%2)"/>
      <w:numFmt w:val="lowerLetter"/>
      <w:start w:val="4"/>
    </w:lvl>
  </w:abstractNum>
  <w:abstractNum w:abstractNumId="26">
    <w:nsid w:val="5C482A97"/>
    <w:multiLevelType w:val="hybridMultilevel"/>
    <w:lvl w:ilvl="0">
      <w:lvlJc w:val="left"/>
      <w:lvlText w:val="%1."/>
      <w:numFmt w:val="decimal"/>
      <w:start w:val="9"/>
    </w:lvl>
    <w:lvl w:ilvl="1">
      <w:lvlJc w:val="left"/>
      <w:lvlText w:val="(%2)"/>
      <w:numFmt w:val="lowerLetter"/>
      <w:start w:val="1"/>
    </w:lvl>
  </w:abstractNum>
  <w:abstractNum w:abstractNumId="27">
    <w:nsid w:val="2463B9EA"/>
    <w:multiLevelType w:val="hybridMultilevel"/>
    <w:lvl w:ilvl="0">
      <w:lvlJc w:val="left"/>
      <w:lvlText w:val="%1"/>
      <w:numFmt w:val="decimal"/>
      <w:start w:val="1"/>
    </w:lvl>
    <w:lvl w:ilvl="1">
      <w:lvlJc w:val="left"/>
      <w:lvlText w:val="(%2)"/>
      <w:numFmt w:val="lowerLetter"/>
      <w:start w:val="2"/>
    </w:lvl>
  </w:abstractNum>
  <w:abstractNum w:abstractNumId="28">
    <w:nsid w:val="5E884ADC"/>
    <w:multiLevelType w:val="hybridMultilevel"/>
    <w:lvl w:ilvl="0">
      <w:lvlJc w:val="left"/>
      <w:lvlText w:val="%1."/>
      <w:numFmt w:val="decimal"/>
      <w:start w:val="10"/>
    </w:lvl>
    <w:lvl w:ilvl="1">
      <w:lvlJc w:val="left"/>
      <w:lvlText w:val="(%2)"/>
      <w:numFmt w:val="lowerLetter"/>
      <w:start w:val="1"/>
    </w:lvl>
  </w:abstractNum>
  <w:abstractNum w:abstractNumId="29">
    <w:nsid w:val="51EAD36B"/>
    <w:multiLevelType w:val="hybridMultilevel"/>
    <w:lvl w:ilvl="0">
      <w:lvlJc w:val="left"/>
      <w:lvlText w:val="(%1)"/>
      <w:numFmt w:val="lowerRoman"/>
      <w:start w:val="1"/>
    </w:lvl>
  </w:abstractNum>
  <w:abstractNum w:abstractNumId="30">
    <w:nsid w:val="2D517796"/>
    <w:multiLevelType w:val="hybridMultilevel"/>
    <w:lvl w:ilvl="0">
      <w:lvlJc w:val="left"/>
      <w:lvlText w:val="%1"/>
      <w:numFmt w:val="lowerLetter"/>
      <w:start w:val="1"/>
    </w:lvl>
    <w:lvl w:ilvl="1">
      <w:lvlJc w:val="left"/>
      <w:lvlText w:val="(%2)"/>
      <w:numFmt w:val="lowerLetter"/>
      <w:start w:val="2"/>
    </w:lvl>
  </w:abstractNum>
  <w:abstractNum w:abstractNumId="31">
    <w:nsid w:val="580BD78F"/>
    <w:multiLevelType w:val="hybridMultilevel"/>
    <w:lvl w:ilvl="0">
      <w:lvlJc w:val="left"/>
      <w:lvlText w:val="(%1)"/>
      <w:numFmt w:val="lowerLetter"/>
      <w:start w:val="61"/>
    </w:lvl>
    <w:lvl w:ilvl="1">
      <w:lvlJc w:val="left"/>
      <w:lvlText w:val="%2"/>
      <w:numFmt w:val="lowerLetter"/>
      <w:start w:val="1"/>
    </w:lvl>
  </w:abstractNum>
  <w:abstractNum w:abstractNumId="32">
    <w:nsid w:val="153EA438"/>
    <w:multiLevelType w:val="hybridMultilevel"/>
    <w:lvl w:ilvl="0">
      <w:lvlJc w:val="left"/>
      <w:lvlText w:val="%1."/>
      <w:numFmt w:val="decimal"/>
      <w:start w:val="12"/>
    </w:lvl>
    <w:lvl w:ilvl="1">
      <w:lvlJc w:val="left"/>
      <w:lvlText w:val="(%2)"/>
      <w:numFmt w:val="lowerLetter"/>
      <w:start w:val="1"/>
    </w:lvl>
  </w:abstractNum>
  <w:abstractNum w:abstractNumId="33">
    <w:nsid w:val="3855585C"/>
    <w:multiLevelType w:val="hybridMultilevel"/>
    <w:lvl w:ilvl="0">
      <w:lvlJc w:val="left"/>
      <w:lvlText w:val="(%1)"/>
      <w:numFmt w:val="lowerRoman"/>
      <w:start w:val="10"/>
    </w:lvl>
  </w:abstractNum>
  <w:abstractNum w:abstractNumId="34">
    <w:nsid w:val="70A64E2A"/>
    <w:multiLevelType w:val="hybridMultilevel"/>
    <w:lvl w:ilvl="0">
      <w:lvlJc w:val="left"/>
      <w:lvlText w:val="%1."/>
      <w:numFmt w:val="decimal"/>
      <w:start w:val="14"/>
    </w:lvl>
    <w:lvl w:ilvl="1">
      <w:lvlJc w:val="left"/>
      <w:lvlText w:val="(%2)"/>
      <w:numFmt w:val="lowerLetter"/>
      <w:start w:val="1"/>
    </w:lvl>
  </w:abstractNum>
  <w:abstractNum w:abstractNumId="35">
    <w:nsid w:val="6A2342EC"/>
    <w:multiLevelType w:val="hybridMultilevel"/>
    <w:lvl w:ilvl="0">
      <w:lvlJc w:val="left"/>
      <w:lvlText w:val="(%1)"/>
      <w:numFmt w:val="lowerRoman"/>
      <w:start w:val="6"/>
    </w:lvl>
    <w:lvl w:ilvl="1">
      <w:lvlJc w:val="left"/>
      <w:lvlText w:val="(%2)"/>
      <w:numFmt w:val="lowerLetter"/>
      <w:start w:val="2"/>
    </w:lvl>
  </w:abstractNum>
  <w:abstractNum w:abstractNumId="36">
    <w:nsid w:val="2A487CB0"/>
    <w:multiLevelType w:val="hybridMultilevel"/>
    <w:lvl w:ilvl="0">
      <w:lvlJc w:val="left"/>
      <w:lvlText w:val="(%1)"/>
      <w:numFmt w:val="decimal"/>
      <w:start w:val="30"/>
    </w:lvl>
  </w:abstractNum>
  <w:abstractNum w:abstractNumId="37">
    <w:nsid w:val="1D4ED43B"/>
    <w:multiLevelType w:val="hybridMultilevel"/>
    <w:lvl w:ilvl="0">
      <w:lvlJc w:val="left"/>
      <w:lvlText w:val="%1."/>
      <w:numFmt w:val="decimal"/>
      <w:start w:val="15"/>
    </w:lvl>
    <w:lvl w:ilvl="1">
      <w:lvlJc w:val="left"/>
      <w:lvlText w:val="(%2)"/>
      <w:numFmt w:val="lowerLetter"/>
      <w:start w:val="1"/>
    </w:lvl>
  </w:abstractNum>
  <w:abstractNum w:abstractNumId="38">
    <w:nsid w:val="725A06FB"/>
    <w:multiLevelType w:val="hybridMultilevel"/>
    <w:lvl w:ilvl="0">
      <w:lvlJc w:val="left"/>
      <w:lvlText w:val="(%1)"/>
      <w:numFmt w:val="lowerLetter"/>
      <w:start w:val="2"/>
    </w:lvl>
    <w:lvl w:ilvl="1">
      <w:lvlJc w:val="left"/>
      <w:lvlText w:val="(%2)"/>
      <w:numFmt w:val="lowerRoman"/>
      <w:start w:val="1"/>
    </w:lvl>
  </w:abstractNum>
  <w:abstractNum w:abstractNumId="39">
    <w:nsid w:val="2CD89A32"/>
    <w:multiLevelType w:val="hybridMultilevel"/>
    <w:lvl w:ilvl="0">
      <w:lvlJc w:val="left"/>
      <w:lvlText w:val="%1"/>
      <w:numFmt w:val="decimal"/>
      <w:start w:val="1"/>
    </w:lvl>
    <w:lvl w:ilvl="1">
      <w:lvlJc w:val="left"/>
      <w:lvlText w:val="(%2)"/>
      <w:numFmt w:val="lowerLetter"/>
      <w:start w:val="4"/>
    </w:lvl>
    <w:lvl w:ilvl="2">
      <w:lvlJc w:val="left"/>
      <w:lvlText w:val="(%3)"/>
      <w:numFmt w:val="decimal"/>
      <w:start w:val="11"/>
    </w:lvl>
    <w:lvl w:ilvl="3">
      <w:lvlJc w:val="left"/>
      <w:lvlText w:val="(%4)"/>
      <w:numFmt w:val="lowerLetter"/>
      <w:start w:val="9"/>
    </w:lvl>
  </w:abstractNum>
  <w:abstractNum w:abstractNumId="40">
    <w:nsid w:val="57E4CCAF"/>
    <w:multiLevelType w:val="hybridMultilevel"/>
    <w:lvl w:ilvl="0">
      <w:lvlJc w:val="left"/>
      <w:lvlText w:val="(%1)"/>
      <w:numFmt w:val="decimal"/>
      <w:start w:val="18"/>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1">
    <w:nsid w:val="7A6D8D3C"/>
    <w:multiLevelType w:val="hybridMultilevel"/>
    <w:lvl w:ilvl="0">
      <w:lvlJc w:val="left"/>
      <w:lvlText w:val="."/>
      <w:numFmt w:val="bullet"/>
      <w:start w:val="1"/>
    </w:lvl>
    <w:lvl w:ilvl="1">
      <w:lvlJc w:val="left"/>
      <w:lvlText w:val="(%2)"/>
      <w:numFmt w:val="lowerRoman"/>
      <w:start w:val="3"/>
    </w:lvl>
  </w:abstractNum>
  <w:abstractNum w:abstractNumId="42">
    <w:nsid w:val="4B588F54"/>
    <w:multiLevelType w:val="hybridMultilevel"/>
    <w:lvl w:ilvl="0">
      <w:lvlJc w:val="left"/>
      <w:lvlText w:val="(%1)"/>
      <w:numFmt w:val="lowerLetter"/>
      <w:start w:val="6"/>
    </w:lvl>
  </w:abstractNum>
  <w:abstractNum w:abstractNumId="43">
    <w:nsid w:val="542289EC"/>
    <w:multiLevelType w:val="hybridMultilevel"/>
    <w:lvl w:ilvl="0">
      <w:lvlJc w:val="left"/>
      <w:lvlText w:val="%1"/>
      <w:numFmt w:val="decimal"/>
      <w:start w:val="1"/>
    </w:lvl>
    <w:lvl w:ilvl="1">
      <w:lvlJc w:val="left"/>
      <w:lvlText w:val="(%2)"/>
      <w:numFmt w:val="lowerLetter"/>
      <w:start w:val="8"/>
    </w:lvl>
  </w:abstractNum>
  <w:abstractNum w:abstractNumId="44">
    <w:nsid w:val="6DE91B18"/>
    <w:multiLevelType w:val="hybridMultilevel"/>
    <w:lvl w:ilvl="0">
      <w:lvlJc w:val="left"/>
      <w:lvlText w:val="%1."/>
      <w:numFmt w:val="decimal"/>
      <w:start w:val="16"/>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3"/>
    </w:lvl>
  </w:abstractNum>
  <w:abstractNum w:abstractNumId="46">
    <w:nsid w:val="7644A45C"/>
    <w:multiLevelType w:val="hybridMultilevel"/>
    <w:lvl w:ilvl="0">
      <w:lvlJc w:val="left"/>
      <w:lvlText w:val="%1."/>
      <w:numFmt w:val="decimal"/>
      <w:start w:val="20"/>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jpeg"/><Relationship Id="rId59" Type="http://schemas.openxmlformats.org/officeDocument/2006/relationships/image" Target="media/image50.jpeg"/><Relationship Id="rId60" Type="http://schemas.openxmlformats.org/officeDocument/2006/relationships/image" Target="media/image51.jpeg"/><Relationship Id="rId61" Type="http://schemas.openxmlformats.org/officeDocument/2006/relationships/image" Target="media/image52.jpeg"/><Relationship Id="rId62" Type="http://schemas.openxmlformats.org/officeDocument/2006/relationships/image" Target="media/image53.jpe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54" Type="http://schemas.openxmlformats.org/officeDocument/2006/relationships/hyperlink" Target="https://www.sec.gov/Archives/edgar/data/1436126/000143612625000074/a101optionawardagreementbe.htm" TargetMode="External"/><Relationship Id="rId55" Type="http://schemas.openxmlformats.org/officeDocument/2006/relationships/hyperlink" Target="https://www.sec.gov/Archives/edgar/data/1436126/000143612625000074/a102restrictedstockunitc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2025-11-06T13:36:09Z</dcterms:created>
  <dcterms:modified xsi:type="dcterms:W3CDTF">2025-11-06T13:36:09Z</dcterms:modified>
</cp:coreProperties>
</file>