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243205</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-195580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304800</wp:posOffset>
            </wp:positionV>
            <wp:extent cx="2118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47"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2018</w:t>
      </w:r>
    </w:p>
    <w:p>
      <w:pPr>
        <w:spacing w:after="0" w:line="122" w:lineRule="exact"/>
        <w:rPr>
          <w:sz w:val="24"/>
          <w:szCs w:val="24"/>
          <w:color w:val="auto"/>
        </w:rPr>
      </w:pPr>
    </w:p>
    <w:p>
      <w:pPr>
        <w:ind w:left="660" w:right="260" w:hanging="652"/>
        <w:spacing w:after="0" w:line="27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transition period from ___ to ___</w:t>
      </w:r>
    </w:p>
    <w:p>
      <w:pPr>
        <w:spacing w:after="0" w:line="3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320040</wp:posOffset>
            </wp:positionV>
            <wp:extent cx="21183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836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Mistras Group,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507" w:right="239" w:bottom="0" w:gutter="0" w:footer="0" w:header="0"/>
        </w:sectPr>
      </w:pPr>
    </w:p>
    <w:p>
      <w:pPr>
        <w:spacing w:after="0" w:line="269"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22-3341267</w:t>
      </w:r>
    </w:p>
    <w:p>
      <w:pPr>
        <w:spacing w:after="0" w:line="78" w:lineRule="exact"/>
        <w:rPr>
          <w:sz w:val="24"/>
          <w:szCs w:val="24"/>
          <w:color w:val="auto"/>
        </w:rPr>
      </w:pPr>
    </w:p>
    <w:p>
      <w:pPr>
        <w:sectPr>
          <w:pgSz w:w="11900" w:h="16838" w:orient="portrait"/>
          <w:cols w:equalWidth="0" w:num="2">
            <w:col w:w="7420" w:space="720"/>
            <w:col w:w="3280"/>
          </w:cols>
          <w:pgMar w:left="240" w:top="507" w:right="239" w:bottom="0" w:gutter="0" w:footer="0" w:header="0"/>
          <w:type w:val="continuous"/>
        </w:sectPr>
      </w:pPr>
    </w:p>
    <w:p>
      <w:pPr>
        <w:ind w:left="1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7"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jc w:val="center"/>
        <w:ind w:right="202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146" w:lineRule="exact"/>
        <w:rPr>
          <w:sz w:val="24"/>
          <w:szCs w:val="24"/>
          <w:color w:val="auto"/>
        </w:rPr>
      </w:pPr>
    </w:p>
    <w:p>
      <w:pPr>
        <w:sectPr>
          <w:pgSz w:w="11900" w:h="16838" w:orient="portrait"/>
          <w:cols w:equalWidth="0" w:num="2">
            <w:col w:w="7020" w:space="720"/>
            <w:col w:w="3680"/>
          </w:cols>
          <w:pgMar w:left="240" w:top="507" w:right="239" w:bottom="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195 Clarksville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Princeton Junction, New Jersey 08550</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ectPr>
          <w:pgSz w:w="11900" w:h="16838" w:orient="portrait"/>
          <w:cols w:equalWidth="0" w:num="1">
            <w:col w:w="11420"/>
          </w:cols>
          <w:pgMar w:left="240" w:top="507" w:right="239" w:bottom="0" w:gutter="0" w:footer="0" w:header="0"/>
          <w:type w:val="continuous"/>
        </w:sectPr>
      </w:pP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716-4000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168910</wp:posOffset>
            </wp:positionV>
            <wp:extent cx="2118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36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86"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0" w:type="dxa"/>
            <w:vAlign w:val="bottom"/>
          </w:tcPr>
          <w:p>
            <w:pPr>
              <w:spacing w:after="0"/>
              <w:rPr>
                <w:sz w:val="16"/>
                <w:szCs w:val="16"/>
                <w:color w:val="auto"/>
              </w:rPr>
            </w:pPr>
          </w:p>
        </w:tc>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2"/>
        </w:trPr>
        <w:tc>
          <w:tcPr>
            <w:tcW w:w="5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Common Stock, par value $.01 par value</w:t>
            </w: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365"/>
        </w:trPr>
        <w:tc>
          <w:tcPr>
            <w:tcW w:w="5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tc>
        <w:tc>
          <w:tcPr>
            <w:tcW w:w="56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163195</wp:posOffset>
            </wp:positionV>
            <wp:extent cx="21183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325"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well-known seasoned issuer, as defined in Rule 405 of the Securities Act of 1933. Yes o No </w:t>
      </w:r>
      <w:r>
        <w:rPr>
          <w:rFonts w:ascii="MS PGothic" w:cs="MS PGothic" w:eastAsia="MS PGothic" w:hAnsi="MS PGothic"/>
          <w:sz w:val="18"/>
          <w:szCs w:val="18"/>
          <w:color w:val="auto"/>
        </w:rPr>
        <w:t>☒</w:t>
      </w:r>
    </w:p>
    <w:p>
      <w:pPr>
        <w:spacing w:after="0" w:line="159" w:lineRule="exact"/>
        <w:rPr>
          <w:sz w:val="24"/>
          <w:szCs w:val="24"/>
          <w:color w:val="auto"/>
        </w:rPr>
      </w:pPr>
    </w:p>
    <w:p>
      <w:pPr>
        <w:ind w:right="8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Securities Exchange Act of 1934 (the “Exchange Act”). Yes o No </w:t>
      </w:r>
      <w:r>
        <w:rPr>
          <w:rFonts w:ascii="MS PGothic" w:cs="MS PGothic" w:eastAsia="MS PGothic" w:hAnsi="MS PGothic"/>
          <w:sz w:val="18"/>
          <w:szCs w:val="18"/>
          <w:color w:val="auto"/>
        </w:rPr>
        <w:t>☒</w:t>
      </w:r>
    </w:p>
    <w:p>
      <w:pPr>
        <w:spacing w:after="0" w:line="85" w:lineRule="exact"/>
        <w:rPr>
          <w:sz w:val="24"/>
          <w:szCs w:val="24"/>
          <w:color w:val="auto"/>
        </w:rPr>
      </w:pPr>
    </w:p>
    <w:p>
      <w:pPr>
        <w:ind w:right="18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84" w:lineRule="exact"/>
        <w:rPr>
          <w:sz w:val="24"/>
          <w:szCs w:val="24"/>
          <w:color w:val="auto"/>
        </w:rPr>
      </w:pPr>
    </w:p>
    <w:p>
      <w:pPr>
        <w:ind w:right="22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85"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82" w:lineRule="exact"/>
        <w:rPr>
          <w:sz w:val="24"/>
          <w:szCs w:val="24"/>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company”in Rule 12b-2 of the Exchange Act. (Check one):</w:t>
      </w:r>
    </w:p>
    <w:p>
      <w:pPr>
        <w:sectPr>
          <w:pgSz w:w="11900" w:h="16838" w:orient="portrait"/>
          <w:cols w:equalWidth="0" w:num="1">
            <w:col w:w="11420"/>
          </w:cols>
          <w:pgMar w:left="240" w:top="507" w:right="239" w:bottom="0" w:gutter="0" w:footer="0" w:header="0"/>
          <w:type w:val="continuous"/>
        </w:sectPr>
      </w:pPr>
    </w:p>
    <w:p>
      <w:pPr>
        <w:spacing w:after="0" w:line="244"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8"/>
          <w:szCs w:val="18"/>
          <w:color w:val="auto"/>
        </w:rPr>
        <w:t>Large accelerated filer o</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x</w:t>
      </w:r>
    </w:p>
    <w:p>
      <w:pPr>
        <w:spacing w:after="0" w:line="200" w:lineRule="exact"/>
        <w:rPr>
          <w:sz w:val="24"/>
          <w:szCs w:val="24"/>
          <w:color w:val="auto"/>
        </w:rPr>
      </w:pPr>
    </w:p>
    <w:p>
      <w:pPr>
        <w:sectPr>
          <w:pgSz w:w="11900" w:h="16838" w:orient="portrait"/>
          <w:cols w:equalWidth="0" w:num="2">
            <w:col w:w="8600" w:space="720"/>
            <w:col w:w="2100"/>
          </w:cols>
          <w:pgMar w:left="240" w:top="507" w:right="239" w:bottom="0" w:gutter="0" w:footer="0" w:header="0"/>
          <w:type w:val="continuous"/>
        </w:sectPr>
      </w:pPr>
    </w:p>
    <w:p>
      <w:pPr>
        <w:spacing w:after="0" w:line="133"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74" w:lineRule="exact"/>
        <w:rPr>
          <w:sz w:val="24"/>
          <w:szCs w:val="24"/>
          <w:color w:val="auto"/>
        </w:rPr>
      </w:pPr>
    </w:p>
    <w:p>
      <w:pPr>
        <w:sectPr>
          <w:pgSz w:w="11900" w:h="16838" w:orient="portrait"/>
          <w:cols w:equalWidth="0" w:num="2">
            <w:col w:w="8220" w:space="720"/>
            <w:col w:w="2480"/>
          </w:cols>
          <w:pgMar w:left="240" w:top="507" w:right="239" w:bottom="0" w:gutter="0" w:footer="0" w:header="0"/>
          <w:type w:val="continuous"/>
        </w:sectPr>
      </w:pPr>
    </w:p>
    <w:p>
      <w:pPr>
        <w:ind w:left="8940"/>
        <w:spacing w:after="0"/>
        <w:rPr>
          <w:sz w:val="20"/>
          <w:szCs w:val="20"/>
          <w:color w:val="auto"/>
        </w:rPr>
      </w:pPr>
      <w:r>
        <w:rPr>
          <w:rFonts w:ascii="Times New Roman" w:cs="Times New Roman" w:eastAsia="Times New Roman" w:hAnsi="Times New Roman"/>
          <w:sz w:val="17"/>
          <w:szCs w:val="17"/>
          <w:color w:val="auto"/>
        </w:rPr>
        <w:t>Emerging growth company o</w:t>
      </w:r>
    </w:p>
    <w:p>
      <w:pPr>
        <w:sectPr>
          <w:pgSz w:w="11900" w:h="16838" w:orient="portrait"/>
          <w:cols w:equalWidth="0" w:num="1">
            <w:col w:w="11420"/>
          </w:cols>
          <w:pgMar w:left="240" w:top="507" w:right="239" w:bottom="0" w:gutter="0" w:footer="0" w:header="0"/>
          <w:type w:val="continuous"/>
        </w:sectPr>
      </w:pPr>
    </w:p>
    <w:p>
      <w:pPr>
        <w:spacing w:after="0" w:line="169" w:lineRule="exact"/>
        <w:rPr>
          <w:sz w:val="24"/>
          <w:szCs w:val="24"/>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3"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ectPr>
          <w:pgSz w:w="11900" w:h="16838" w:orient="portrait"/>
          <w:cols w:equalWidth="0" w:num="1">
            <w:col w:w="11420"/>
          </w:cols>
          <w:pgMar w:left="240" w:top="507" w:right="239" w:bottom="0" w:gutter="0" w:footer="0" w:header="0"/>
          <w:type w:val="continuous"/>
        </w:sectPr>
      </w:pPr>
    </w:p>
    <w:bookmarkStart w:id="1" w:name="page2"/>
    <w:bookmarkEnd w:id="1"/>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stock held by non-affiliates of the registrant, based on the closing price on June 29, 2018, the last business day of the registrant's most recently completed second fiscal quarter, as reported on the New York Stock Exchange, was approximately $327.2 million.</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12, 2019, the Registrant had 28,562,708 shares of common stock outstanding</w:t>
      </w:r>
    </w:p>
    <w:p>
      <w:pPr>
        <w:spacing w:after="0" w:line="1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Information required by Part III (Items 10, 11, 12, 13 and 14) is incorporated by reference to portions of the registrant’s definitive proxy statement for its 2019 annual meeting of shareholders (the “Proxy Statement”), which is expected to be filed not later than 120 days after the registrant’s fiscal year ended December 31, 2018. Except as expressly incorporated by reference, the Proxy Statement shall not be deemed to be a part of this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0751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7075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00" w:type="dxa"/>
            <w:vAlign w:val="bottom"/>
            <w:gridSpan w:val="9"/>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Table of Contents</w:t>
              </w:r>
            </w:hyperlink>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7"/>
        </w:trPr>
        <w:tc>
          <w:tcPr>
            <w:tcW w:w="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20" w:type="dxa"/>
            <w:vAlign w:val="bottom"/>
            <w:gridSpan w:val="13"/>
          </w:tcPr>
          <w:p>
            <w:pPr>
              <w:jc w:val="center"/>
              <w:ind w:right="4380"/>
              <w:spacing w:after="0"/>
              <w:rPr>
                <w:sz w:val="20"/>
                <w:szCs w:val="20"/>
                <w:color w:val="auto"/>
              </w:rPr>
            </w:pPr>
            <w:r>
              <w:rPr>
                <w:rFonts w:ascii="Times New Roman" w:cs="Times New Roman" w:eastAsia="Times New Roman" w:hAnsi="Times New Roman"/>
                <w:sz w:val="18"/>
                <w:szCs w:val="18"/>
                <w:b w:val="1"/>
                <w:bCs w:val="1"/>
                <w:color w:val="auto"/>
                <w:w w:val="98"/>
              </w:rPr>
              <w:t>MISTRAS GROUP,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40" w:type="dxa"/>
            <w:vAlign w:val="bottom"/>
            <w:gridSpan w:val="17"/>
          </w:tcPr>
          <w:p>
            <w:pPr>
              <w:jc w:val="center"/>
              <w:ind w:right="398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20" w:type="dxa"/>
            <w:vAlign w:val="bottom"/>
            <w:gridSpan w:val="13"/>
          </w:tcPr>
          <w:p>
            <w:pPr>
              <w:jc w:val="center"/>
              <w:ind w:right="43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4"/>
        </w:trPr>
        <w:tc>
          <w:tcPr>
            <w:tcW w:w="2000" w:type="dxa"/>
            <w:vAlign w:val="bottom"/>
            <w:gridSpan w:val="9"/>
          </w:tcPr>
          <w:p>
            <w:pPr>
              <w:ind w:left="4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PART I</w:t>
              </w:r>
            </w:hyperlink>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rFonts w:ascii="Times New Roman" w:cs="Times New Roman" w:eastAsia="Times New Roman" w:hAnsi="Times New Roman"/>
                <w:sz w:val="18"/>
                <w:szCs w:val="18"/>
                <w:color w:val="0000EE"/>
                <w:w w:val="93"/>
              </w:rPr>
            </w:pPr>
            <w:hyperlink w:anchor="page4">
              <w:r>
                <w:rPr>
                  <w:rFonts w:ascii="Times New Roman" w:cs="Times New Roman" w:eastAsia="Times New Roman" w:hAnsi="Times New Roman"/>
                  <w:sz w:val="18"/>
                  <w:szCs w:val="18"/>
                  <w:color w:val="0000EE"/>
                  <w:w w:val="93"/>
                </w:rPr>
                <w:t>ITEM 1.</w:t>
              </w:r>
            </w:hyperlink>
          </w:p>
        </w:tc>
        <w:tc>
          <w:tcPr>
            <w:tcW w:w="740" w:type="dxa"/>
            <w:vAlign w:val="bottom"/>
            <w:gridSpan w:val="5"/>
          </w:tcPr>
          <w:p>
            <w:pPr>
              <w:spacing w:after="0"/>
              <w:rPr>
                <w:sz w:val="21"/>
                <w:szCs w:val="21"/>
                <w:color w:val="auto"/>
              </w:rPr>
            </w:pPr>
          </w:p>
        </w:tc>
        <w:tc>
          <w:tcPr>
            <w:tcW w:w="9220" w:type="dxa"/>
            <w:vAlign w:val="bottom"/>
            <w:gridSpan w:val="24"/>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BUSINESS</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3</w:t>
              </w:r>
            </w:hyperlink>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5"/>
          </w:tcPr>
          <w:p>
            <w:pPr>
              <w:spacing w:after="0"/>
              <w:rPr>
                <w:rFonts w:ascii="Times New Roman" w:cs="Times New Roman" w:eastAsia="Times New Roman" w:hAnsi="Times New Roman"/>
                <w:sz w:val="18"/>
                <w:szCs w:val="18"/>
                <w:color w:val="0000EE"/>
                <w:w w:val="93"/>
              </w:rPr>
            </w:pPr>
            <w:hyperlink w:anchor="page17">
              <w:r>
                <w:rPr>
                  <w:rFonts w:ascii="Times New Roman" w:cs="Times New Roman" w:eastAsia="Times New Roman" w:hAnsi="Times New Roman"/>
                  <w:sz w:val="18"/>
                  <w:szCs w:val="18"/>
                  <w:color w:val="0000EE"/>
                  <w:w w:val="93"/>
                </w:rPr>
                <w:t>ITEM 1A.</w:t>
              </w:r>
            </w:hyperlink>
          </w:p>
        </w:tc>
        <w:tc>
          <w:tcPr>
            <w:tcW w:w="620" w:type="dxa"/>
            <w:vAlign w:val="bottom"/>
          </w:tcPr>
          <w:p>
            <w:pPr>
              <w:spacing w:after="0"/>
              <w:rPr>
                <w:sz w:val="21"/>
                <w:szCs w:val="21"/>
                <w:color w:val="auto"/>
              </w:rPr>
            </w:pPr>
          </w:p>
        </w:tc>
        <w:tc>
          <w:tcPr>
            <w:tcW w:w="9220" w:type="dxa"/>
            <w:vAlign w:val="bottom"/>
            <w:gridSpan w:val="24"/>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RISK FACTORS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17">
              <w:r>
                <w:rPr>
                  <w:rFonts w:ascii="Times New Roman" w:cs="Times New Roman" w:eastAsia="Times New Roman" w:hAnsi="Times New Roman"/>
                  <w:sz w:val="18"/>
                  <w:szCs w:val="18"/>
                  <w:color w:val="0000EE"/>
                  <w:w w:val="88"/>
                </w:rPr>
                <w:t>16</w:t>
              </w:r>
            </w:hyperlink>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4"/>
              </w:rPr>
            </w:pPr>
            <w:hyperlink w:anchor="page26">
              <w:r>
                <w:rPr>
                  <w:rFonts w:ascii="Times New Roman" w:cs="Times New Roman" w:eastAsia="Times New Roman" w:hAnsi="Times New Roman"/>
                  <w:sz w:val="18"/>
                  <w:szCs w:val="18"/>
                  <w:color w:val="0000EE"/>
                  <w:w w:val="94"/>
                </w:rPr>
                <w:t>ITEM 1B.</w:t>
              </w:r>
            </w:hyperlink>
          </w:p>
        </w:tc>
        <w:tc>
          <w:tcPr>
            <w:tcW w:w="620" w:type="dxa"/>
            <w:vAlign w:val="bottom"/>
          </w:tcPr>
          <w:p>
            <w:pPr>
              <w:spacing w:after="0"/>
              <w:rPr>
                <w:sz w:val="21"/>
                <w:szCs w:val="21"/>
                <w:color w:val="auto"/>
              </w:rPr>
            </w:pPr>
          </w:p>
        </w:tc>
        <w:tc>
          <w:tcPr>
            <w:tcW w:w="28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w:anchor="page26">
              <w:r>
                <w:rPr>
                  <w:rFonts w:ascii="Times New Roman" w:cs="Times New Roman" w:eastAsia="Times New Roman" w:hAnsi="Times New Roman"/>
                  <w:sz w:val="18"/>
                  <w:szCs w:val="18"/>
                  <w:color w:val="0000EE"/>
                  <w:w w:val="98"/>
                </w:rPr>
                <w:t>UNRESOLVED STAFF COMMENTS</w:t>
              </w:r>
            </w:hyperlink>
          </w:p>
        </w:tc>
        <w:tc>
          <w:tcPr>
            <w:tcW w:w="6400" w:type="dxa"/>
            <w:vAlign w:val="bottom"/>
            <w:gridSpan w:val="12"/>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6">
              <w:r>
                <w:rPr>
                  <w:rFonts w:ascii="Times New Roman" w:cs="Times New Roman" w:eastAsia="Times New Roman" w:hAnsi="Times New Roman"/>
                  <w:sz w:val="18"/>
                  <w:szCs w:val="18"/>
                  <w:color w:val="0000EE"/>
                  <w:w w:val="88"/>
                </w:rPr>
                <w:t>25</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rFonts w:ascii="Times New Roman" w:cs="Times New Roman" w:eastAsia="Times New Roman" w:hAnsi="Times New Roman"/>
                <w:sz w:val="18"/>
                <w:szCs w:val="18"/>
                <w:color w:val="0000EE"/>
                <w:w w:val="93"/>
              </w:rPr>
            </w:pPr>
            <w:hyperlink w:anchor="page26">
              <w:r>
                <w:rPr>
                  <w:rFonts w:ascii="Times New Roman" w:cs="Times New Roman" w:eastAsia="Times New Roman" w:hAnsi="Times New Roman"/>
                  <w:sz w:val="18"/>
                  <w:szCs w:val="18"/>
                  <w:color w:val="0000EE"/>
                  <w:w w:val="93"/>
                </w:rPr>
                <w:t>ITEM 2.</w:t>
              </w:r>
            </w:hyperlink>
          </w:p>
        </w:tc>
        <w:tc>
          <w:tcPr>
            <w:tcW w:w="740" w:type="dxa"/>
            <w:vAlign w:val="bottom"/>
            <w:gridSpan w:val="5"/>
          </w:tcPr>
          <w:p>
            <w:pPr>
              <w:spacing w:after="0"/>
              <w:rPr>
                <w:sz w:val="21"/>
                <w:szCs w:val="21"/>
                <w:color w:val="auto"/>
              </w:rPr>
            </w:pPr>
          </w:p>
        </w:tc>
        <w:tc>
          <w:tcPr>
            <w:tcW w:w="9220" w:type="dxa"/>
            <w:vAlign w:val="bottom"/>
            <w:gridSpan w:val="24"/>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PROPERTIES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26">
              <w:r>
                <w:rPr>
                  <w:rFonts w:ascii="Times New Roman" w:cs="Times New Roman" w:eastAsia="Times New Roman" w:hAnsi="Times New Roman"/>
                  <w:sz w:val="18"/>
                  <w:szCs w:val="18"/>
                  <w:color w:val="0000EE"/>
                  <w:w w:val="88"/>
                </w:rPr>
                <w:t>25</w:t>
              </w:r>
            </w:hyperlink>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rFonts w:ascii="Times New Roman" w:cs="Times New Roman" w:eastAsia="Times New Roman" w:hAnsi="Times New Roman"/>
                <w:sz w:val="18"/>
                <w:szCs w:val="18"/>
                <w:color w:val="0000EE"/>
                <w:w w:val="93"/>
              </w:rPr>
            </w:pPr>
            <w:hyperlink w:anchor="page26">
              <w:r>
                <w:rPr>
                  <w:rFonts w:ascii="Times New Roman" w:cs="Times New Roman" w:eastAsia="Times New Roman" w:hAnsi="Times New Roman"/>
                  <w:sz w:val="18"/>
                  <w:szCs w:val="18"/>
                  <w:color w:val="0000EE"/>
                  <w:w w:val="93"/>
                </w:rPr>
                <w:t>ITEM 3.</w:t>
              </w:r>
            </w:hyperlink>
          </w:p>
        </w:tc>
        <w:tc>
          <w:tcPr>
            <w:tcW w:w="740" w:type="dxa"/>
            <w:vAlign w:val="bottom"/>
            <w:gridSpan w:val="5"/>
          </w:tcPr>
          <w:p>
            <w:pPr>
              <w:spacing w:after="0"/>
              <w:rPr>
                <w:sz w:val="21"/>
                <w:szCs w:val="21"/>
                <w:color w:val="auto"/>
              </w:rPr>
            </w:pPr>
          </w:p>
        </w:tc>
        <w:tc>
          <w:tcPr>
            <w:tcW w:w="9220" w:type="dxa"/>
            <w:vAlign w:val="bottom"/>
            <w:gridSpan w:val="24"/>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LEGAL PROCEEDINGS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26">
              <w:r>
                <w:rPr>
                  <w:rFonts w:ascii="Times New Roman" w:cs="Times New Roman" w:eastAsia="Times New Roman" w:hAnsi="Times New Roman"/>
                  <w:sz w:val="18"/>
                  <w:szCs w:val="18"/>
                  <w:color w:val="0000EE"/>
                  <w:w w:val="88"/>
                </w:rPr>
                <w:t>25</w:t>
              </w:r>
            </w:hyperlink>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Borders>
              <w:bottom w:val="single" w:sz="8" w:color="0000EE"/>
            </w:tcBorders>
          </w:tcPr>
          <w:p>
            <w:pPr>
              <w:spacing w:after="0"/>
              <w:rPr>
                <w:rFonts w:ascii="Times New Roman" w:cs="Times New Roman" w:eastAsia="Times New Roman" w:hAnsi="Times New Roman"/>
                <w:sz w:val="18"/>
                <w:szCs w:val="18"/>
                <w:color w:val="0000EE"/>
                <w:w w:val="93"/>
              </w:rPr>
            </w:pPr>
            <w:hyperlink w:anchor="page27">
              <w:r>
                <w:rPr>
                  <w:rFonts w:ascii="Times New Roman" w:cs="Times New Roman" w:eastAsia="Times New Roman" w:hAnsi="Times New Roman"/>
                  <w:sz w:val="18"/>
                  <w:szCs w:val="18"/>
                  <w:color w:val="0000EE"/>
                  <w:w w:val="93"/>
                </w:rPr>
                <w:t>ITEM 4.</w:t>
              </w:r>
            </w:hyperlink>
          </w:p>
        </w:tc>
        <w:tc>
          <w:tcPr>
            <w:tcW w:w="740" w:type="dxa"/>
            <w:vAlign w:val="bottom"/>
            <w:gridSpan w:val="5"/>
          </w:tcPr>
          <w:p>
            <w:pPr>
              <w:spacing w:after="0"/>
              <w:rPr>
                <w:sz w:val="21"/>
                <w:szCs w:val="21"/>
                <w:color w:val="auto"/>
              </w:rPr>
            </w:pPr>
          </w:p>
        </w:tc>
        <w:tc>
          <w:tcPr>
            <w:tcW w:w="23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MINE SAFETY DISCLOSURE</w:t>
              </w:r>
            </w:hyperlink>
          </w:p>
        </w:tc>
        <w:tc>
          <w:tcPr>
            <w:tcW w:w="6880" w:type="dxa"/>
            <w:vAlign w:val="bottom"/>
            <w:gridSpan w:val="16"/>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7">
              <w:r>
                <w:rPr>
                  <w:rFonts w:ascii="Times New Roman" w:cs="Times New Roman" w:eastAsia="Times New Roman" w:hAnsi="Times New Roman"/>
                  <w:sz w:val="18"/>
                  <w:szCs w:val="18"/>
                  <w:color w:val="0000EE"/>
                  <w:w w:val="88"/>
                </w:rPr>
                <w:t>26</w:t>
              </w:r>
            </w:hyperlink>
          </w:p>
        </w:tc>
      </w:tr>
      <w:tr>
        <w:trPr>
          <w:trHeight w:val="520"/>
        </w:trPr>
        <w:tc>
          <w:tcPr>
            <w:tcW w:w="2000" w:type="dxa"/>
            <w:vAlign w:val="bottom"/>
            <w:gridSpan w:val="9"/>
          </w:tcPr>
          <w:p>
            <w:pPr>
              <w:ind w:left="40"/>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PART II</w:t>
              </w:r>
            </w:hyperlink>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rFonts w:ascii="Times New Roman" w:cs="Times New Roman" w:eastAsia="Times New Roman" w:hAnsi="Times New Roman"/>
                <w:sz w:val="18"/>
                <w:szCs w:val="18"/>
                <w:color w:val="0000EE"/>
                <w:w w:val="93"/>
              </w:rPr>
            </w:pPr>
            <w:hyperlink w:anchor="page27">
              <w:r>
                <w:rPr>
                  <w:rFonts w:ascii="Times New Roman" w:cs="Times New Roman" w:eastAsia="Times New Roman" w:hAnsi="Times New Roman"/>
                  <w:sz w:val="18"/>
                  <w:szCs w:val="18"/>
                  <w:color w:val="0000EE"/>
                  <w:w w:val="93"/>
                </w:rPr>
                <w:t>ITEM 5.</w:t>
              </w:r>
            </w:hyperlink>
          </w:p>
        </w:tc>
        <w:tc>
          <w:tcPr>
            <w:tcW w:w="740" w:type="dxa"/>
            <w:vAlign w:val="bottom"/>
            <w:gridSpan w:val="5"/>
          </w:tcPr>
          <w:p>
            <w:pPr>
              <w:spacing w:after="0"/>
              <w:rPr>
                <w:sz w:val="21"/>
                <w:szCs w:val="21"/>
                <w:color w:val="auto"/>
              </w:rPr>
            </w:pPr>
          </w:p>
        </w:tc>
        <w:tc>
          <w:tcPr>
            <w:tcW w:w="9220" w:type="dxa"/>
            <w:vAlign w:val="bottom"/>
            <w:gridSpan w:val="24"/>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MARKET FOR REGISTRANT’S COMMON EQUITY, RELATED STOCKHOLDER MATTERS AND ISSUER</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4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PURCHASES OF EQUITY SECURITIES</w:t>
              </w:r>
            </w:hyperlink>
          </w:p>
        </w:tc>
        <w:tc>
          <w:tcPr>
            <w:tcW w:w="980" w:type="dxa"/>
            <w:vAlign w:val="bottom"/>
          </w:tcPr>
          <w:p>
            <w:pPr>
              <w:spacing w:after="0"/>
              <w:rPr>
                <w:sz w:val="17"/>
                <w:szCs w:val="17"/>
                <w:color w:val="auto"/>
              </w:rPr>
            </w:pPr>
          </w:p>
        </w:tc>
        <w:tc>
          <w:tcPr>
            <w:tcW w:w="180" w:type="dxa"/>
            <w:vAlign w:val="bottom"/>
            <w:gridSpan w:val="2"/>
          </w:tcPr>
          <w:p>
            <w:pPr>
              <w:jc w:val="right"/>
              <w:spacing w:after="0" w:line="196" w:lineRule="exact"/>
              <w:rPr>
                <w:rFonts w:ascii="Times New Roman" w:cs="Times New Roman" w:eastAsia="Times New Roman" w:hAnsi="Times New Roman"/>
                <w:sz w:val="18"/>
                <w:szCs w:val="18"/>
                <w:color w:val="0000EE"/>
                <w:w w:val="88"/>
              </w:rPr>
            </w:pPr>
            <w:hyperlink w:anchor="page27">
              <w:r>
                <w:rPr>
                  <w:rFonts w:ascii="Times New Roman" w:cs="Times New Roman" w:eastAsia="Times New Roman" w:hAnsi="Times New Roman"/>
                  <w:sz w:val="18"/>
                  <w:szCs w:val="18"/>
                  <w:color w:val="0000EE"/>
                  <w:w w:val="88"/>
                </w:rPr>
                <w:t>26</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Borders>
              <w:bottom w:val="single" w:sz="8" w:color="0000EE"/>
            </w:tcBorders>
          </w:tcPr>
          <w:p>
            <w:pPr>
              <w:spacing w:after="0"/>
              <w:rPr>
                <w:rFonts w:ascii="Times New Roman" w:cs="Times New Roman" w:eastAsia="Times New Roman" w:hAnsi="Times New Roman"/>
                <w:sz w:val="18"/>
                <w:szCs w:val="18"/>
                <w:color w:val="0000EE"/>
                <w:w w:val="93"/>
              </w:rPr>
            </w:pPr>
            <w:hyperlink w:anchor="page28">
              <w:r>
                <w:rPr>
                  <w:rFonts w:ascii="Times New Roman" w:cs="Times New Roman" w:eastAsia="Times New Roman" w:hAnsi="Times New Roman"/>
                  <w:sz w:val="18"/>
                  <w:szCs w:val="18"/>
                  <w:color w:val="0000EE"/>
                  <w:w w:val="93"/>
                </w:rPr>
                <w:t>ITEM 6.</w:t>
              </w:r>
            </w:hyperlink>
          </w:p>
        </w:tc>
        <w:tc>
          <w:tcPr>
            <w:tcW w:w="740" w:type="dxa"/>
            <w:vAlign w:val="bottom"/>
            <w:gridSpan w:val="5"/>
          </w:tcPr>
          <w:p>
            <w:pPr>
              <w:spacing w:after="0"/>
              <w:rPr>
                <w:sz w:val="21"/>
                <w:szCs w:val="21"/>
                <w:color w:val="auto"/>
              </w:rPr>
            </w:pPr>
          </w:p>
        </w:tc>
        <w:tc>
          <w:tcPr>
            <w:tcW w:w="242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SELECTED FINANCIAL DATA</w:t>
              </w:r>
            </w:hyperlink>
          </w:p>
        </w:tc>
        <w:tc>
          <w:tcPr>
            <w:tcW w:w="660" w:type="dxa"/>
            <w:vAlign w:val="bottom"/>
            <w:tcBorders>
              <w:top w:val="single" w:sz="8" w:color="0000EE"/>
            </w:tcBorders>
            <w:gridSpan w:val="4"/>
          </w:tcPr>
          <w:p>
            <w:pPr>
              <w:spacing w:after="0"/>
              <w:rPr>
                <w:sz w:val="21"/>
                <w:szCs w:val="21"/>
                <w:color w:val="auto"/>
              </w:rPr>
            </w:pPr>
          </w:p>
        </w:tc>
        <w:tc>
          <w:tcPr>
            <w:tcW w:w="6140" w:type="dxa"/>
            <w:vAlign w:val="bottom"/>
            <w:gridSpan w:val="11"/>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8">
              <w:r>
                <w:rPr>
                  <w:rFonts w:ascii="Times New Roman" w:cs="Times New Roman" w:eastAsia="Times New Roman" w:hAnsi="Times New Roman"/>
                  <w:sz w:val="18"/>
                  <w:szCs w:val="18"/>
                  <w:color w:val="0000EE"/>
                  <w:w w:val="88"/>
                </w:rPr>
                <w:t>27</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rFonts w:ascii="Times New Roman" w:cs="Times New Roman" w:eastAsia="Times New Roman" w:hAnsi="Times New Roman"/>
                <w:sz w:val="18"/>
                <w:szCs w:val="18"/>
                <w:color w:val="0000EE"/>
                <w:w w:val="93"/>
              </w:rPr>
            </w:pPr>
            <w:hyperlink w:anchor="page30">
              <w:r>
                <w:rPr>
                  <w:rFonts w:ascii="Times New Roman" w:cs="Times New Roman" w:eastAsia="Times New Roman" w:hAnsi="Times New Roman"/>
                  <w:sz w:val="18"/>
                  <w:szCs w:val="18"/>
                  <w:color w:val="0000EE"/>
                  <w:w w:val="93"/>
                </w:rPr>
                <w:t>ITEM 7.</w:t>
              </w:r>
            </w:hyperlink>
          </w:p>
        </w:tc>
        <w:tc>
          <w:tcPr>
            <w:tcW w:w="740" w:type="dxa"/>
            <w:vAlign w:val="bottom"/>
            <w:gridSpan w:val="5"/>
          </w:tcPr>
          <w:p>
            <w:pPr>
              <w:spacing w:after="0"/>
              <w:rPr>
                <w:sz w:val="21"/>
                <w:szCs w:val="21"/>
                <w:color w:val="auto"/>
              </w:rPr>
            </w:pPr>
          </w:p>
        </w:tc>
        <w:tc>
          <w:tcPr>
            <w:tcW w:w="9220" w:type="dxa"/>
            <w:vAlign w:val="bottom"/>
            <w:gridSpan w:val="24"/>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MANAGEMENT’S DISCUSSION AND ANALYSIS OF FINANCIAL CONDITION AND RESULTS OF</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30">
              <w:r>
                <w:rPr>
                  <w:rFonts w:ascii="Times New Roman" w:cs="Times New Roman" w:eastAsia="Times New Roman" w:hAnsi="Times New Roman"/>
                  <w:sz w:val="18"/>
                  <w:szCs w:val="18"/>
                  <w:color w:val="0000EE"/>
                  <w:w w:val="96"/>
                </w:rPr>
                <w:t>OPERATIONS</w:t>
              </w:r>
            </w:hyperlink>
          </w:p>
        </w:tc>
        <w:tc>
          <w:tcPr>
            <w:tcW w:w="6660" w:type="dxa"/>
            <w:vAlign w:val="bottom"/>
            <w:tcBorders>
              <w:top w:val="single" w:sz="8" w:color="0000EE"/>
            </w:tcBorders>
            <w:gridSpan w:val="17"/>
          </w:tcPr>
          <w:p>
            <w:pPr>
              <w:spacing w:after="0"/>
              <w:rPr>
                <w:sz w:val="17"/>
                <w:szCs w:val="17"/>
                <w:color w:val="auto"/>
              </w:rPr>
            </w:pPr>
          </w:p>
        </w:tc>
        <w:tc>
          <w:tcPr>
            <w:tcW w:w="1460" w:type="dxa"/>
            <w:vAlign w:val="bottom"/>
            <w:gridSpan w:val="4"/>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30">
              <w:r>
                <w:rPr>
                  <w:rFonts w:ascii="Times New Roman" w:cs="Times New Roman" w:eastAsia="Times New Roman" w:hAnsi="Times New Roman"/>
                  <w:sz w:val="18"/>
                  <w:szCs w:val="18"/>
                  <w:color w:val="0000EE"/>
                  <w:w w:val="88"/>
                </w:rPr>
                <w:t>29</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3"/>
              </w:rPr>
            </w:pPr>
            <w:hyperlink w:anchor="page49">
              <w:r>
                <w:rPr>
                  <w:rFonts w:ascii="Times New Roman" w:cs="Times New Roman" w:eastAsia="Times New Roman" w:hAnsi="Times New Roman"/>
                  <w:sz w:val="18"/>
                  <w:szCs w:val="18"/>
                  <w:color w:val="0000EE"/>
                  <w:w w:val="93"/>
                </w:rPr>
                <w:t>ITEM 7A.</w:t>
              </w:r>
            </w:hyperlink>
          </w:p>
        </w:tc>
        <w:tc>
          <w:tcPr>
            <w:tcW w:w="620" w:type="dxa"/>
            <w:vAlign w:val="bottom"/>
          </w:tcPr>
          <w:p>
            <w:pPr>
              <w:spacing w:after="0"/>
              <w:rPr>
                <w:sz w:val="21"/>
                <w:szCs w:val="21"/>
                <w:color w:val="auto"/>
              </w:rPr>
            </w:pPr>
          </w:p>
        </w:tc>
        <w:tc>
          <w:tcPr>
            <w:tcW w:w="6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w:anchor="page49">
              <w:r>
                <w:rPr>
                  <w:rFonts w:ascii="Times New Roman" w:cs="Times New Roman" w:eastAsia="Times New Roman" w:hAnsi="Times New Roman"/>
                  <w:sz w:val="18"/>
                  <w:szCs w:val="18"/>
                  <w:color w:val="0000EE"/>
                  <w:w w:val="98"/>
                </w:rPr>
                <w:t>QUANTITATIVE AND QUALITATIVE DISCLOSURES ABOUT MARKET RISK</w:t>
              </w:r>
            </w:hyperlink>
          </w:p>
        </w:tc>
        <w:tc>
          <w:tcPr>
            <w:tcW w:w="3080" w:type="dxa"/>
            <w:vAlign w:val="bottom"/>
            <w:gridSpan w:val="6"/>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9">
              <w:r>
                <w:rPr>
                  <w:rFonts w:ascii="Times New Roman" w:cs="Times New Roman" w:eastAsia="Times New Roman" w:hAnsi="Times New Roman"/>
                  <w:sz w:val="18"/>
                  <w:szCs w:val="18"/>
                  <w:color w:val="0000EE"/>
                  <w:w w:val="88"/>
                </w:rPr>
                <w:t>48</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Borders>
              <w:bottom w:val="single" w:sz="8" w:color="0000EE"/>
            </w:tcBorders>
          </w:tcPr>
          <w:p>
            <w:pPr>
              <w:spacing w:after="0"/>
              <w:rPr>
                <w:rFonts w:ascii="Times New Roman" w:cs="Times New Roman" w:eastAsia="Times New Roman" w:hAnsi="Times New Roman"/>
                <w:sz w:val="18"/>
                <w:szCs w:val="18"/>
                <w:color w:val="0000EE"/>
                <w:w w:val="93"/>
              </w:rPr>
            </w:pPr>
            <w:hyperlink w:anchor="page51">
              <w:r>
                <w:rPr>
                  <w:rFonts w:ascii="Times New Roman" w:cs="Times New Roman" w:eastAsia="Times New Roman" w:hAnsi="Times New Roman"/>
                  <w:sz w:val="18"/>
                  <w:szCs w:val="18"/>
                  <w:color w:val="0000EE"/>
                  <w:w w:val="93"/>
                </w:rPr>
                <w:t>ITEM 8.</w:t>
              </w:r>
            </w:hyperlink>
          </w:p>
        </w:tc>
        <w:tc>
          <w:tcPr>
            <w:tcW w:w="740" w:type="dxa"/>
            <w:vAlign w:val="bottom"/>
            <w:gridSpan w:val="5"/>
          </w:tcPr>
          <w:p>
            <w:pPr>
              <w:spacing w:after="0"/>
              <w:rPr>
                <w:sz w:val="21"/>
                <w:szCs w:val="21"/>
                <w:color w:val="auto"/>
              </w:rPr>
            </w:pPr>
          </w:p>
        </w:tc>
        <w:tc>
          <w:tcPr>
            <w:tcW w:w="46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7"/>
              </w:rPr>
            </w:pPr>
            <w:hyperlink w:anchor="page51">
              <w:r>
                <w:rPr>
                  <w:rFonts w:ascii="Times New Roman" w:cs="Times New Roman" w:eastAsia="Times New Roman" w:hAnsi="Times New Roman"/>
                  <w:sz w:val="18"/>
                  <w:szCs w:val="18"/>
                  <w:color w:val="0000EE"/>
                  <w:w w:val="97"/>
                </w:rPr>
                <w:t>FINANCIAL STATEMENTS AND SUPPLEMENTARY DATA</w:t>
              </w:r>
            </w:hyperlink>
          </w:p>
        </w:tc>
        <w:tc>
          <w:tcPr>
            <w:tcW w:w="4560" w:type="dxa"/>
            <w:vAlign w:val="bottom"/>
            <w:gridSpan w:val="8"/>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51">
              <w:r>
                <w:rPr>
                  <w:rFonts w:ascii="Times New Roman" w:cs="Times New Roman" w:eastAsia="Times New Roman" w:hAnsi="Times New Roman"/>
                  <w:sz w:val="18"/>
                  <w:szCs w:val="18"/>
                  <w:color w:val="0000EE"/>
                  <w:w w:val="88"/>
                </w:rPr>
                <w:t>50</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Borders>
              <w:bottom w:val="single" w:sz="8" w:color="0000EE"/>
            </w:tcBorders>
          </w:tcPr>
          <w:p>
            <w:pPr>
              <w:spacing w:after="0"/>
              <w:rPr>
                <w:rFonts w:ascii="Times New Roman" w:cs="Times New Roman" w:eastAsia="Times New Roman" w:hAnsi="Times New Roman"/>
                <w:sz w:val="18"/>
                <w:szCs w:val="18"/>
                <w:color w:val="0000EE"/>
                <w:w w:val="93"/>
              </w:rPr>
            </w:pPr>
            <w:hyperlink w:anchor="page90">
              <w:r>
                <w:rPr>
                  <w:rFonts w:ascii="Times New Roman" w:cs="Times New Roman" w:eastAsia="Times New Roman" w:hAnsi="Times New Roman"/>
                  <w:sz w:val="18"/>
                  <w:szCs w:val="18"/>
                  <w:color w:val="0000EE"/>
                  <w:w w:val="93"/>
                </w:rPr>
                <w:t>ITEM 9.</w:t>
              </w:r>
            </w:hyperlink>
          </w:p>
        </w:tc>
        <w:tc>
          <w:tcPr>
            <w:tcW w:w="740" w:type="dxa"/>
            <w:vAlign w:val="bottom"/>
            <w:gridSpan w:val="5"/>
          </w:tcPr>
          <w:p>
            <w:pPr>
              <w:spacing w:after="0"/>
              <w:rPr>
                <w:sz w:val="21"/>
                <w:szCs w:val="21"/>
                <w:color w:val="auto"/>
              </w:rPr>
            </w:pPr>
          </w:p>
        </w:tc>
        <w:tc>
          <w:tcPr>
            <w:tcW w:w="79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w:anchor="page90">
              <w:r>
                <w:rPr>
                  <w:rFonts w:ascii="Times New Roman" w:cs="Times New Roman" w:eastAsia="Times New Roman" w:hAnsi="Times New Roman"/>
                  <w:sz w:val="18"/>
                  <w:szCs w:val="18"/>
                  <w:color w:val="0000EE"/>
                  <w:w w:val="99"/>
                </w:rPr>
                <w:t>CHANGES IN AND DISAGREEMENTS WITH ACCOUNTANTS ON ACCOUNTING AND FINANCIAL</w:t>
              </w:r>
            </w:hyperlink>
          </w:p>
        </w:tc>
        <w:tc>
          <w:tcPr>
            <w:tcW w:w="128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20" w:type="dxa"/>
            <w:vAlign w:val="bottom"/>
            <w:gridSpan w:val="24"/>
          </w:tcPr>
          <w:p>
            <w:pPr>
              <w:spacing w:after="0" w:line="196"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DISCLOSURE</w:t>
              </w:r>
            </w:hyperlink>
          </w:p>
        </w:tc>
        <w:tc>
          <w:tcPr>
            <w:tcW w:w="180" w:type="dxa"/>
            <w:vAlign w:val="bottom"/>
            <w:gridSpan w:val="2"/>
          </w:tcPr>
          <w:p>
            <w:pPr>
              <w:jc w:val="right"/>
              <w:spacing w:after="0" w:line="196" w:lineRule="exact"/>
              <w:rPr>
                <w:rFonts w:ascii="Times New Roman" w:cs="Times New Roman" w:eastAsia="Times New Roman" w:hAnsi="Times New Roman"/>
                <w:sz w:val="18"/>
                <w:szCs w:val="18"/>
                <w:color w:val="0000EE"/>
                <w:w w:val="88"/>
              </w:rPr>
            </w:pPr>
            <w:hyperlink w:anchor="page90">
              <w:r>
                <w:rPr>
                  <w:rFonts w:ascii="Times New Roman" w:cs="Times New Roman" w:eastAsia="Times New Roman" w:hAnsi="Times New Roman"/>
                  <w:sz w:val="18"/>
                  <w:szCs w:val="18"/>
                  <w:color w:val="0000EE"/>
                  <w:w w:val="88"/>
                </w:rPr>
                <w:t>88</w:t>
              </w:r>
            </w:hyperlink>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3"/>
              </w:rPr>
            </w:pPr>
            <w:hyperlink w:anchor="page90">
              <w:r>
                <w:rPr>
                  <w:rFonts w:ascii="Times New Roman" w:cs="Times New Roman" w:eastAsia="Times New Roman" w:hAnsi="Times New Roman"/>
                  <w:sz w:val="18"/>
                  <w:szCs w:val="18"/>
                  <w:color w:val="0000EE"/>
                  <w:w w:val="93"/>
                </w:rPr>
                <w:t>ITEM 9A.</w:t>
              </w:r>
            </w:hyperlink>
          </w:p>
        </w:tc>
        <w:tc>
          <w:tcPr>
            <w:tcW w:w="620" w:type="dxa"/>
            <w:vAlign w:val="bottom"/>
          </w:tcPr>
          <w:p>
            <w:pPr>
              <w:spacing w:after="0"/>
              <w:rPr>
                <w:sz w:val="21"/>
                <w:szCs w:val="21"/>
                <w:color w:val="auto"/>
              </w:rPr>
            </w:pPr>
          </w:p>
        </w:tc>
        <w:tc>
          <w:tcPr>
            <w:tcW w:w="26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90">
              <w:r>
                <w:rPr>
                  <w:rFonts w:ascii="Times New Roman" w:cs="Times New Roman" w:eastAsia="Times New Roman" w:hAnsi="Times New Roman"/>
                  <w:sz w:val="18"/>
                  <w:szCs w:val="18"/>
                  <w:color w:val="0000EE"/>
                  <w:w w:val="99"/>
                </w:rPr>
                <w:t>CONTROLS AND PROCEDURES</w:t>
              </w:r>
            </w:hyperlink>
          </w:p>
        </w:tc>
        <w:tc>
          <w:tcPr>
            <w:tcW w:w="6620" w:type="dxa"/>
            <w:vAlign w:val="bottom"/>
            <w:gridSpan w:val="1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90">
              <w:r>
                <w:rPr>
                  <w:rFonts w:ascii="Times New Roman" w:cs="Times New Roman" w:eastAsia="Times New Roman" w:hAnsi="Times New Roman"/>
                  <w:sz w:val="18"/>
                  <w:szCs w:val="18"/>
                  <w:color w:val="0000EE"/>
                  <w:w w:val="88"/>
                </w:rPr>
                <w:t>88</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4"/>
              </w:rPr>
            </w:pPr>
            <w:hyperlink w:anchor="page91">
              <w:r>
                <w:rPr>
                  <w:rFonts w:ascii="Times New Roman" w:cs="Times New Roman" w:eastAsia="Times New Roman" w:hAnsi="Times New Roman"/>
                  <w:sz w:val="18"/>
                  <w:szCs w:val="18"/>
                  <w:color w:val="0000EE"/>
                  <w:w w:val="94"/>
                </w:rPr>
                <w:t>ITEM 9B.</w:t>
              </w:r>
            </w:hyperlink>
          </w:p>
        </w:tc>
        <w:tc>
          <w:tcPr>
            <w:tcW w:w="620" w:type="dxa"/>
            <w:vAlign w:val="bottom"/>
          </w:tcPr>
          <w:p>
            <w:pPr>
              <w:spacing w:after="0"/>
              <w:rPr>
                <w:sz w:val="21"/>
                <w:szCs w:val="21"/>
                <w:color w:val="auto"/>
              </w:rPr>
            </w:pPr>
          </w:p>
        </w:tc>
        <w:tc>
          <w:tcPr>
            <w:tcW w:w="18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91">
              <w:r>
                <w:rPr>
                  <w:rFonts w:ascii="Times New Roman" w:cs="Times New Roman" w:eastAsia="Times New Roman" w:hAnsi="Times New Roman"/>
                  <w:sz w:val="18"/>
                  <w:szCs w:val="18"/>
                  <w:color w:val="0000EE"/>
                  <w:w w:val="97"/>
                </w:rPr>
                <w:t>OTHER INFORMATION</w:t>
              </w:r>
            </w:hyperlink>
          </w:p>
        </w:tc>
        <w:tc>
          <w:tcPr>
            <w:tcW w:w="7340" w:type="dxa"/>
            <w:vAlign w:val="bottom"/>
            <w:gridSpan w:val="18"/>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91">
              <w:r>
                <w:rPr>
                  <w:rFonts w:ascii="Times New Roman" w:cs="Times New Roman" w:eastAsia="Times New Roman" w:hAnsi="Times New Roman"/>
                  <w:sz w:val="18"/>
                  <w:szCs w:val="18"/>
                  <w:color w:val="0000EE"/>
                  <w:w w:val="88"/>
                </w:rPr>
                <w:t>89</w:t>
              </w:r>
            </w:hyperlink>
          </w:p>
        </w:tc>
      </w:tr>
      <w:tr>
        <w:trPr>
          <w:trHeight w:val="520"/>
        </w:trPr>
        <w:tc>
          <w:tcPr>
            <w:tcW w:w="2000" w:type="dxa"/>
            <w:vAlign w:val="bottom"/>
            <w:gridSpan w:val="9"/>
          </w:tcPr>
          <w:p>
            <w:pPr>
              <w:ind w:left="40"/>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PART III</w:t>
              </w:r>
            </w:hyperlink>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5"/>
              </w:rPr>
            </w:pPr>
            <w:hyperlink w:anchor="page91">
              <w:r>
                <w:rPr>
                  <w:rFonts w:ascii="Times New Roman" w:cs="Times New Roman" w:eastAsia="Times New Roman" w:hAnsi="Times New Roman"/>
                  <w:sz w:val="18"/>
                  <w:szCs w:val="18"/>
                  <w:color w:val="0000EE"/>
                  <w:w w:val="95"/>
                </w:rPr>
                <w:t>ITEM 10.</w:t>
              </w:r>
            </w:hyperlink>
          </w:p>
        </w:tc>
        <w:tc>
          <w:tcPr>
            <w:tcW w:w="660" w:type="dxa"/>
            <w:vAlign w:val="bottom"/>
            <w:gridSpan w:val="2"/>
          </w:tcPr>
          <w:p>
            <w:pPr>
              <w:spacing w:after="0"/>
              <w:rPr>
                <w:sz w:val="21"/>
                <w:szCs w:val="21"/>
                <w:color w:val="auto"/>
              </w:rPr>
            </w:pPr>
          </w:p>
        </w:tc>
        <w:tc>
          <w:tcPr>
            <w:tcW w:w="58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91">
              <w:r>
                <w:rPr>
                  <w:rFonts w:ascii="Times New Roman" w:cs="Times New Roman" w:eastAsia="Times New Roman" w:hAnsi="Times New Roman"/>
                  <w:sz w:val="18"/>
                  <w:szCs w:val="18"/>
                  <w:color w:val="0000EE"/>
                  <w:w w:val="99"/>
                </w:rPr>
                <w:t>DIRECTORS, EXECUTIVE OFFICERS AND CORPORATE GOVERNANCE</w:t>
              </w:r>
            </w:hyperlink>
          </w:p>
        </w:tc>
        <w:tc>
          <w:tcPr>
            <w:tcW w:w="3420" w:type="dxa"/>
            <w:vAlign w:val="bottom"/>
            <w:gridSpan w:val="7"/>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91">
              <w:r>
                <w:rPr>
                  <w:rFonts w:ascii="Times New Roman" w:cs="Times New Roman" w:eastAsia="Times New Roman" w:hAnsi="Times New Roman"/>
                  <w:sz w:val="18"/>
                  <w:szCs w:val="18"/>
                  <w:color w:val="0000EE"/>
                  <w:w w:val="88"/>
                </w:rPr>
                <w:t>89</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2"/>
              </w:rPr>
            </w:pPr>
            <w:hyperlink w:anchor="page91">
              <w:r>
                <w:rPr>
                  <w:rFonts w:ascii="Times New Roman" w:cs="Times New Roman" w:eastAsia="Times New Roman" w:hAnsi="Times New Roman"/>
                  <w:sz w:val="18"/>
                  <w:szCs w:val="18"/>
                  <w:color w:val="0000EE"/>
                  <w:w w:val="92"/>
                </w:rPr>
                <w:t>ITEM 11.</w:t>
              </w:r>
            </w:hyperlink>
          </w:p>
        </w:tc>
        <w:tc>
          <w:tcPr>
            <w:tcW w:w="680" w:type="dxa"/>
            <w:vAlign w:val="bottom"/>
            <w:gridSpan w:val="3"/>
          </w:tcPr>
          <w:p>
            <w:pPr>
              <w:spacing w:after="0"/>
              <w:rPr>
                <w:sz w:val="21"/>
                <w:szCs w:val="21"/>
                <w:color w:val="auto"/>
              </w:rPr>
            </w:pPr>
          </w:p>
        </w:tc>
        <w:tc>
          <w:tcPr>
            <w:tcW w:w="24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w:anchor="page91">
              <w:r>
                <w:rPr>
                  <w:rFonts w:ascii="Times New Roman" w:cs="Times New Roman" w:eastAsia="Times New Roman" w:hAnsi="Times New Roman"/>
                  <w:sz w:val="18"/>
                  <w:szCs w:val="18"/>
                  <w:color w:val="0000EE"/>
                  <w:w w:val="98"/>
                </w:rPr>
                <w:t>EXECUTIVE COMPENSATION</w:t>
              </w:r>
            </w:hyperlink>
          </w:p>
        </w:tc>
        <w:tc>
          <w:tcPr>
            <w:tcW w:w="6780" w:type="dxa"/>
            <w:vAlign w:val="bottom"/>
            <w:gridSpan w:val="14"/>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91">
              <w:r>
                <w:rPr>
                  <w:rFonts w:ascii="Times New Roman" w:cs="Times New Roman" w:eastAsia="Times New Roman" w:hAnsi="Times New Roman"/>
                  <w:sz w:val="18"/>
                  <w:szCs w:val="18"/>
                  <w:color w:val="0000EE"/>
                  <w:w w:val="88"/>
                </w:rPr>
                <w:t>89</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4"/>
          </w:tcPr>
          <w:p>
            <w:pPr>
              <w:spacing w:after="0"/>
              <w:rPr>
                <w:rFonts w:ascii="Times New Roman" w:cs="Times New Roman" w:eastAsia="Times New Roman" w:hAnsi="Times New Roman"/>
                <w:sz w:val="18"/>
                <w:szCs w:val="18"/>
                <w:color w:val="0000EE"/>
                <w:w w:val="95"/>
              </w:rPr>
            </w:pPr>
            <w:hyperlink w:anchor="page91">
              <w:r>
                <w:rPr>
                  <w:rFonts w:ascii="Times New Roman" w:cs="Times New Roman" w:eastAsia="Times New Roman" w:hAnsi="Times New Roman"/>
                  <w:sz w:val="18"/>
                  <w:szCs w:val="18"/>
                  <w:color w:val="0000EE"/>
                  <w:w w:val="95"/>
                </w:rPr>
                <w:t>ITEM 12.</w:t>
              </w:r>
            </w:hyperlink>
          </w:p>
        </w:tc>
        <w:tc>
          <w:tcPr>
            <w:tcW w:w="660" w:type="dxa"/>
            <w:vAlign w:val="bottom"/>
            <w:gridSpan w:val="2"/>
          </w:tcPr>
          <w:p>
            <w:pPr>
              <w:spacing w:after="0"/>
              <w:rPr>
                <w:sz w:val="21"/>
                <w:szCs w:val="21"/>
                <w:color w:val="auto"/>
              </w:rPr>
            </w:pPr>
          </w:p>
        </w:tc>
        <w:tc>
          <w:tcPr>
            <w:tcW w:w="9220" w:type="dxa"/>
            <w:vAlign w:val="bottom"/>
            <w:gridSpan w:val="24"/>
          </w:tcPr>
          <w:p>
            <w:pPr>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SECURITY OWNERSHIP OF CERTAIN BENEFICIAL OWNERS AND MANAGEMENT AND RELATED</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91">
              <w:r>
                <w:rPr>
                  <w:rFonts w:ascii="Times New Roman" w:cs="Times New Roman" w:eastAsia="Times New Roman" w:hAnsi="Times New Roman"/>
                  <w:sz w:val="18"/>
                  <w:szCs w:val="18"/>
                  <w:color w:val="0000EE"/>
                  <w:w w:val="97"/>
                </w:rPr>
                <w:t>STOCKHOLDER MATTERS</w:t>
              </w:r>
            </w:hyperlink>
          </w:p>
        </w:tc>
        <w:tc>
          <w:tcPr>
            <w:tcW w:w="5820" w:type="dxa"/>
            <w:vAlign w:val="bottom"/>
            <w:tcBorders>
              <w:top w:val="single" w:sz="8" w:color="0000EE"/>
            </w:tcBorders>
            <w:gridSpan w:val="15"/>
          </w:tcPr>
          <w:p>
            <w:pPr>
              <w:spacing w:after="0"/>
              <w:rPr>
                <w:sz w:val="17"/>
                <w:szCs w:val="17"/>
                <w:color w:val="auto"/>
              </w:rPr>
            </w:pPr>
          </w:p>
        </w:tc>
        <w:tc>
          <w:tcPr>
            <w:tcW w:w="122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91">
              <w:r>
                <w:rPr>
                  <w:rFonts w:ascii="Times New Roman" w:cs="Times New Roman" w:eastAsia="Times New Roman" w:hAnsi="Times New Roman"/>
                  <w:sz w:val="18"/>
                  <w:szCs w:val="18"/>
                  <w:color w:val="0000EE"/>
                  <w:w w:val="88"/>
                </w:rPr>
                <w:t>89</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5"/>
              </w:rPr>
            </w:pPr>
            <w:hyperlink w:anchor="page91">
              <w:r>
                <w:rPr>
                  <w:rFonts w:ascii="Times New Roman" w:cs="Times New Roman" w:eastAsia="Times New Roman" w:hAnsi="Times New Roman"/>
                  <w:sz w:val="18"/>
                  <w:szCs w:val="18"/>
                  <w:color w:val="0000EE"/>
                  <w:w w:val="95"/>
                </w:rPr>
                <w:t>ITEM 13.</w:t>
              </w:r>
            </w:hyperlink>
          </w:p>
        </w:tc>
        <w:tc>
          <w:tcPr>
            <w:tcW w:w="660" w:type="dxa"/>
            <w:vAlign w:val="bottom"/>
            <w:gridSpan w:val="2"/>
          </w:tcPr>
          <w:p>
            <w:pPr>
              <w:spacing w:after="0"/>
              <w:rPr>
                <w:sz w:val="21"/>
                <w:szCs w:val="21"/>
                <w:color w:val="auto"/>
              </w:rPr>
            </w:pPr>
          </w:p>
        </w:tc>
        <w:tc>
          <w:tcPr>
            <w:tcW w:w="77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8"/>
              </w:rPr>
            </w:pPr>
            <w:hyperlink w:anchor="page91">
              <w:r>
                <w:rPr>
                  <w:rFonts w:ascii="Times New Roman" w:cs="Times New Roman" w:eastAsia="Times New Roman" w:hAnsi="Times New Roman"/>
                  <w:sz w:val="18"/>
                  <w:szCs w:val="18"/>
                  <w:color w:val="0000EE"/>
                  <w:w w:val="98"/>
                </w:rPr>
                <w:t>CERTAIN RELATIONSHIPS AND RELATED TRANSACTIONS, AND DIRECTOR INDEPENDENCE</w:t>
              </w:r>
            </w:hyperlink>
          </w:p>
        </w:tc>
        <w:tc>
          <w:tcPr>
            <w:tcW w:w="1520" w:type="dxa"/>
            <w:vAlign w:val="bottom"/>
            <w:gridSpan w:val="5"/>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91">
              <w:r>
                <w:rPr>
                  <w:rFonts w:ascii="Times New Roman" w:cs="Times New Roman" w:eastAsia="Times New Roman" w:hAnsi="Times New Roman"/>
                  <w:sz w:val="18"/>
                  <w:szCs w:val="18"/>
                  <w:color w:val="0000EE"/>
                  <w:w w:val="88"/>
                </w:rPr>
                <w:t>89</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4"/>
          </w:tcPr>
          <w:p>
            <w:pPr>
              <w:spacing w:after="0"/>
              <w:rPr>
                <w:rFonts w:ascii="Times New Roman" w:cs="Times New Roman" w:eastAsia="Times New Roman" w:hAnsi="Times New Roman"/>
                <w:sz w:val="18"/>
                <w:szCs w:val="18"/>
                <w:color w:val="0000EE"/>
                <w:w w:val="95"/>
              </w:rPr>
            </w:pPr>
            <w:hyperlink w:anchor="page92">
              <w:r>
                <w:rPr>
                  <w:rFonts w:ascii="Times New Roman" w:cs="Times New Roman" w:eastAsia="Times New Roman" w:hAnsi="Times New Roman"/>
                  <w:sz w:val="18"/>
                  <w:szCs w:val="18"/>
                  <w:color w:val="0000EE"/>
                  <w:w w:val="95"/>
                </w:rPr>
                <w:t>ITEM 14.</w:t>
              </w:r>
            </w:hyperlink>
          </w:p>
        </w:tc>
        <w:tc>
          <w:tcPr>
            <w:tcW w:w="660" w:type="dxa"/>
            <w:vAlign w:val="bottom"/>
            <w:gridSpan w:val="2"/>
          </w:tcPr>
          <w:p>
            <w:pPr>
              <w:spacing w:after="0"/>
              <w:rPr>
                <w:sz w:val="21"/>
                <w:szCs w:val="21"/>
                <w:color w:val="auto"/>
              </w:rPr>
            </w:pPr>
          </w:p>
        </w:tc>
        <w:tc>
          <w:tcPr>
            <w:tcW w:w="9220" w:type="dxa"/>
            <w:vAlign w:val="bottom"/>
            <w:gridSpan w:val="24"/>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PRINCIPAL ACCOUNTING FEES AND SERVICES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92">
              <w:r>
                <w:rPr>
                  <w:rFonts w:ascii="Times New Roman" w:cs="Times New Roman" w:eastAsia="Times New Roman" w:hAnsi="Times New Roman"/>
                  <w:sz w:val="18"/>
                  <w:szCs w:val="18"/>
                  <w:color w:val="0000EE"/>
                  <w:w w:val="88"/>
                </w:rPr>
                <w:t>90</w:t>
              </w:r>
            </w:hyperlink>
          </w:p>
        </w:tc>
      </w:tr>
      <w:tr>
        <w:trPr>
          <w:trHeight w:val="20"/>
        </w:trPr>
        <w:tc>
          <w:tcPr>
            <w:tcW w:w="640" w:type="dxa"/>
            <w:vAlign w:val="bottom"/>
            <w:tcBorders>
              <w:right w:val="single" w:sz="8" w:color="0000EE"/>
            </w:tcBorders>
            <w:gridSpan w:val="3"/>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2000" w:type="dxa"/>
            <w:vAlign w:val="bottom"/>
            <w:gridSpan w:val="9"/>
          </w:tcPr>
          <w:p>
            <w:pPr>
              <w:ind w:left="40"/>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PART IV</w:t>
              </w:r>
            </w:hyperlink>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tcBorders>
              <w:left w:val="single" w:sz="8" w:color="0000EE"/>
            </w:tcBorders>
            <w:gridSpan w:val="6"/>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2540" w:type="dxa"/>
            <w:vAlign w:val="bottom"/>
            <w:gridSpan w:val="9"/>
          </w:tcPr>
          <w:p>
            <w:pPr>
              <w:spacing w:after="0" w:line="20" w:lineRule="exact"/>
              <w:rPr>
                <w:sz w:val="1"/>
                <w:szCs w:val="1"/>
                <w:color w:val="auto"/>
              </w:rPr>
            </w:pPr>
          </w:p>
        </w:tc>
        <w:tc>
          <w:tcPr>
            <w:tcW w:w="4800" w:type="dxa"/>
            <w:vAlign w:val="bottom"/>
            <w:gridSpan w:val="9"/>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4"/>
          </w:tcPr>
          <w:p>
            <w:pPr>
              <w:spacing w:after="0"/>
              <w:rPr>
                <w:rFonts w:ascii="Times New Roman" w:cs="Times New Roman" w:eastAsia="Times New Roman" w:hAnsi="Times New Roman"/>
                <w:sz w:val="18"/>
                <w:szCs w:val="18"/>
                <w:color w:val="0000EE"/>
                <w:w w:val="95"/>
              </w:rPr>
            </w:pPr>
            <w:hyperlink w:anchor="page92">
              <w:r>
                <w:rPr>
                  <w:rFonts w:ascii="Times New Roman" w:cs="Times New Roman" w:eastAsia="Times New Roman" w:hAnsi="Times New Roman"/>
                  <w:sz w:val="18"/>
                  <w:szCs w:val="18"/>
                  <w:color w:val="0000EE"/>
                  <w:w w:val="95"/>
                </w:rPr>
                <w:t>ITEM 15.</w:t>
              </w:r>
            </w:hyperlink>
          </w:p>
        </w:tc>
        <w:tc>
          <w:tcPr>
            <w:tcW w:w="660" w:type="dxa"/>
            <w:vAlign w:val="bottom"/>
            <w:gridSpan w:val="2"/>
          </w:tcPr>
          <w:p>
            <w:pPr>
              <w:spacing w:after="0"/>
              <w:rPr>
                <w:sz w:val="21"/>
                <w:szCs w:val="21"/>
                <w:color w:val="auto"/>
              </w:rPr>
            </w:pPr>
          </w:p>
        </w:tc>
        <w:tc>
          <w:tcPr>
            <w:tcW w:w="9220" w:type="dxa"/>
            <w:vAlign w:val="bottom"/>
            <w:gridSpan w:val="24"/>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EXHIBITS AND FINANCIAL STATEMENT SCHEDULES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92">
              <w:r>
                <w:rPr>
                  <w:rFonts w:ascii="Times New Roman" w:cs="Times New Roman" w:eastAsia="Times New Roman" w:hAnsi="Times New Roman"/>
                  <w:sz w:val="18"/>
                  <w:szCs w:val="18"/>
                  <w:color w:val="0000EE"/>
                  <w:w w:val="88"/>
                </w:rPr>
                <w:t>90</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Borders>
              <w:top w:val="single" w:sz="8" w:color="0000EE"/>
            </w:tcBorders>
            <w:gridSpan w:val="4"/>
          </w:tcPr>
          <w:p>
            <w:pPr>
              <w:spacing w:after="0"/>
              <w:rPr>
                <w:rFonts w:ascii="Times New Roman" w:cs="Times New Roman" w:eastAsia="Times New Roman" w:hAnsi="Times New Roman"/>
                <w:sz w:val="18"/>
                <w:szCs w:val="18"/>
                <w:color w:val="0000EE"/>
                <w:w w:val="95"/>
              </w:rPr>
            </w:pPr>
            <w:hyperlink w:anchor="page95">
              <w:r>
                <w:rPr>
                  <w:rFonts w:ascii="Times New Roman" w:cs="Times New Roman" w:eastAsia="Times New Roman" w:hAnsi="Times New Roman"/>
                  <w:sz w:val="18"/>
                  <w:szCs w:val="18"/>
                  <w:color w:val="0000EE"/>
                  <w:w w:val="95"/>
                </w:rPr>
                <w:t>ITEM 16.</w:t>
              </w:r>
            </w:hyperlink>
          </w:p>
        </w:tc>
        <w:tc>
          <w:tcPr>
            <w:tcW w:w="660" w:type="dxa"/>
            <w:vAlign w:val="bottom"/>
            <w:gridSpan w:val="2"/>
          </w:tcPr>
          <w:p>
            <w:pPr>
              <w:spacing w:after="0"/>
              <w:rPr>
                <w:sz w:val="21"/>
                <w:szCs w:val="21"/>
                <w:color w:val="auto"/>
              </w:rPr>
            </w:pPr>
          </w:p>
        </w:tc>
        <w:tc>
          <w:tcPr>
            <w:tcW w:w="442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FORM 10-K SUMMARY</w:t>
              </w:r>
            </w:hyperlink>
          </w:p>
        </w:tc>
        <w:tc>
          <w:tcPr>
            <w:tcW w:w="4800" w:type="dxa"/>
            <w:vAlign w:val="bottom"/>
            <w:gridSpan w:val="9"/>
          </w:tcPr>
          <w:p>
            <w:pPr>
              <w:spacing w:after="0"/>
              <w:rPr>
                <w:sz w:val="21"/>
                <w:szCs w:val="21"/>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95">
              <w:r>
                <w:rPr>
                  <w:rFonts w:ascii="Times New Roman" w:cs="Times New Roman" w:eastAsia="Times New Roman" w:hAnsi="Times New Roman"/>
                  <w:sz w:val="18"/>
                  <w:szCs w:val="18"/>
                  <w:color w:val="0000EE"/>
                  <w:w w:val="88"/>
                </w:rPr>
                <w:t>93</w:t>
              </w:r>
            </w:hyperlink>
          </w:p>
        </w:tc>
      </w:tr>
      <w:tr>
        <w:trPr>
          <w:trHeight w:val="723"/>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80" w:type="dxa"/>
            <w:vAlign w:val="bottom"/>
            <w:tcBorders>
              <w:top w:val="single" w:sz="8" w:color="0000EE"/>
            </w:tcBorders>
            <w:gridSpan w:val="6"/>
          </w:tcPr>
          <w:p>
            <w:pPr>
              <w:spacing w:after="0"/>
              <w:rPr>
                <w:sz w:val="24"/>
                <w:szCs w:val="24"/>
                <w:color w:val="auto"/>
              </w:rPr>
            </w:pPr>
          </w:p>
        </w:tc>
        <w:tc>
          <w:tcPr>
            <w:tcW w:w="2040" w:type="dxa"/>
            <w:vAlign w:val="bottom"/>
            <w:gridSpan w:val="8"/>
          </w:tcPr>
          <w:p>
            <w:pPr>
              <w:jc w:val="center"/>
              <w:ind w:left="153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regarding us and our business, financial condition, results of operations and prospects within the meaning of Section 27A of the Securities Act of 1933 (Securities Act),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“goals,” “expects,” “anticipates,” “intends,” “plans,” “believes,” “seeks,” “estimates,” “may,” “could,” “should,” “would,” “predicts,” “appears,” “projects,” or the negative of such terms or other similar expressions. Factors that could cause or contribute to differences in results and outcomes from those in our forward-looking statements include, without limitation, those discussed elsewhere in this Report in Part I, Item 1A. “Risk Factors,” Part 2, Item 7, “Management’s Discussion and Analysis of Financial Condition and Results of Operations” and in this Item 1, as well as those discussed in our other Securities and Exchange Commission (SEC) filings. We undertake no obligation to (and expressly disclaim any obligation to) revise or update any forward-looking statements made herein whether as a result of new information, future events or otherwise. However, you should consult any further disclosures we may make on these or related topics in our reports on Form 8-K or Form 10-Q filed with the SEC.</w:t>
      </w:r>
    </w:p>
    <w:p>
      <w:pPr>
        <w:spacing w:after="0" w:line="18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discussions should be read in conjunction with the sections of this Report entitled “Management’s Discussion and Analysis of Financial Condition and Results of Operations” and “Risk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Transition Period</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January 3, 2017, the Company's Board of Directors approved a change in the Company's fiscal year end from May 31 to December 31, effective December 31, 2016. In connection with this change, we previously filed a Transition Report on Form 10-K to report the results of the seven-month transition period from June 1, 2016 to December 31, 2016. In this Annual Report, the periods presented are the years ended December 31, 2018 and 2017, the seven-month transition period from June 1, 2016 to December 31, 2016 (which we sometimes refer to as the "transition period ended December 31, 2016") and the year ended May 31, 2016 (which we sometimes refer to as "fiscal 2016"). For comparison purposes, we have also included unaudited data for the year ended December 31, 2016 and for the seven months ended December 31, 2015.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Protection Industry Overview</w:t>
      </w:r>
    </w:p>
    <w:p>
      <w:pPr>
        <w:spacing w:after="0" w:line="14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offer our customers “OneSource for Asset Protection Solutions®” and are a leading global provider of technology-enabled asset protection solutions used to evaluate the safety, structural integrity and reliability of critical energy, industrial and public infrastructure.</w:t>
      </w:r>
    </w:p>
    <w:p>
      <w:pPr>
        <w:spacing w:after="0" w:line="8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asset protections are intended to help maximize safety and uptime of our customers' assets and facilities. These mission critical solutions enhance our customers’ ability to comply with governmental safety and environmental regulations, extend the useful life of their assets, increase productivity, minimize repair costs, manage risk and avoid catastrophic disasters.</w:t>
      </w:r>
    </w:p>
    <w:p>
      <w:pPr>
        <w:spacing w:after="0" w:line="9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deliver value through a comprehensive “OneSource” portfolio of customized solutions, utilizing a proven systematic method that creates a closed-loop lifecycle for addressing continuous asset protection and improvement.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specialized asset protection solutions include:</w:t>
      </w:r>
    </w:p>
    <w:p>
      <w:pPr>
        <w:spacing w:after="0" w:line="14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Field Inspections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Quality Assurance/Control (QA/QC)</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121" w:right="25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OneSource model emphasizes the integration of these solutions to service our clients throughout their assets’ lifetimes. Under this business model, many customers outsource their inspection and other asset protection needs to us on a “run-and-maintain” basis to ensure the continued safety and structural and operational integrity of their assets.</w:t>
      </w:r>
    </w:p>
    <w:p>
      <w:pPr>
        <w:spacing w:after="0" w:line="10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have established long-term relationships as a critical solutions provider to many of the leading companies with asset-intensive infrastructure in our target markets. These markets include:</w:t>
      </w:r>
    </w:p>
    <w:p>
      <w:pPr>
        <w:spacing w:after="0" w:line="8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&amp; Gas (Downstream, Midstream, Upstream and Petrochemical)</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Aerospace &amp; Defense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Generation and Transmission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Infrastructure, Research and Engineering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Industries</w:t>
      </w:r>
    </w:p>
    <w:p>
      <w:pPr>
        <w:spacing w:after="0" w:line="34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Most of our revenues are generated by deploying technicians at our customers' locations. However, the majority of our revenues from aerospace and certain manufacturing clients are generated by performing inspections and testing at our various in-house laboratories.</w:t>
      </w:r>
    </w:p>
    <w:p>
      <w:pPr>
        <w:spacing w:after="0" w:line="8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generated revenues of $742.4 million, $701.0 million and $404.2 million, for the years ended December 31, 2018 and 2017 and the transition period ended December 31, 2016, respectively, and net income of $6.8 million for the year ended December 31, 2018, net loss of $2.2 million for the year ended December 31, 2017 and net income of $9.6 million for the transition period ended December 31, 2016. We generated revenues of $719.2 million and net income of $24.7 million for fiscal 2016. For the years ended December 31, 2018 and 2017, the transition period ended December 31, 2016, and fiscal 2016, we generated approximately 77%, 78%, 73% and 77%, respectively, of our revenues from our Services segment. Our revenues are diversified, with our top ten customers accounting for approximately 34%, 38%, 37% and 36% of our revenues during the years ended December 31, 2018 and 2017, the transition period ended December 31, 2016 and fiscal 2016,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SPECIALIZED SOLUTIONS</w:t>
      </w:r>
    </w:p>
    <w:p>
      <w:pPr>
        <w:spacing w:after="0" w:line="13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a OneSource provider of asset protection solutions, MISTRAS combines our industry-leading services, products and technologies to provide a unique, custom-tailored solution for each customer’s individual asset protection need, ranging from routine inspections to complex, plant-wide asset integrity management.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Field Inspections</w:t>
      </w:r>
    </w:p>
    <w:p>
      <w:pPr>
        <w:spacing w:after="0" w:line="148" w:lineRule="exact"/>
        <w:rPr>
          <w:sz w:val="20"/>
          <w:szCs w:val="20"/>
          <w:color w:val="auto"/>
        </w:rPr>
      </w:pPr>
    </w:p>
    <w:p>
      <w:pPr>
        <w:ind w:right="500"/>
        <w:spacing w:after="0" w:line="313" w:lineRule="auto"/>
        <w:rPr>
          <w:sz w:val="20"/>
          <w:szCs w:val="20"/>
          <w:color w:val="auto"/>
        </w:rPr>
      </w:pPr>
      <w:r>
        <w:rPr>
          <w:rFonts w:ascii="Times New Roman" w:cs="Times New Roman" w:eastAsia="Times New Roman" w:hAnsi="Times New Roman"/>
          <w:sz w:val="17"/>
          <w:szCs w:val="17"/>
          <w:color w:val="auto"/>
        </w:rPr>
        <w:t>Our field inspections portfolio includes traditional and advanced Non-Destructive Testing (NDT) techniques, along with predictive maintenance (PdM) assessments of fixed and rotating assets. We offer these solutions on an individual basis, or as parts of plant-wide inspection and testing programs.</w:t>
      </w:r>
    </w:p>
    <w:p>
      <w:pPr>
        <w:spacing w:after="0" w:line="5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NDT is the examination of an asset without materially impacting its integrity. The ability to inspect infrastructure assets and not interfere with their operating performance makes NDT a highly-attractive alternative to many traditional techniques, which may require shutting down an asset or entire facility. Typical issues that MISTRAS technicians inspect for include corrosion, cracking, leaking, faults and flaws in piping, storage tanks, pressure vessels and a wide range of other industrial assets.</w:t>
      </w:r>
    </w:p>
    <w:p>
      <w:pPr>
        <w:spacing w:after="0" w:line="9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Field inspection services lend themselves to integration with our other offerings, and as such have often served as the initial entry point to more advanced customer engagements that require additional solutions. After an initial field inspection is performed, MISTRAS is able to provide multiple supplemental solutions that further serve to solidify our relationships with our clients and drive additional revenue.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Consulting</w:t>
      </w:r>
    </w:p>
    <w:p>
      <w:pPr>
        <w:spacing w:after="0" w:line="1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provide a broad range of engineering consulting services, primarily for process equipment, technologies and facilities. Our engineering consultations include plant operations and management support, turnaround/shutdown planning, profit improvement, facilities planning studies, engineering design, process safety reviews, energy optimization evaluations, benchmarking/key performance indicator (KPI) development and technical training.</w:t>
      </w:r>
    </w:p>
    <w:p>
      <w:pPr>
        <w:spacing w:after="0" w:line="95"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Our Asset Integrity Management/Mechanical Integrity (AIMS/MI) services help improve asset reliability and regulatory compliance through a systematic, engineering-based approach to ensure the ongoing integrity and safety of equipment and industrial facilities. AIMS/MI services can include conducting an inventory of infrastructure assets; developing, implementing and training personnel in executing inspection and maintenance procedures; and managing MI programs. We help to identify</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121" w:right="25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360"/>
        <w:spacing w:after="0" w:line="407" w:lineRule="auto"/>
        <w:rPr>
          <w:sz w:val="20"/>
          <w:szCs w:val="20"/>
          <w:color w:val="auto"/>
        </w:rPr>
      </w:pPr>
      <w:r>
        <w:rPr>
          <w:rFonts w:ascii="Times New Roman" w:cs="Times New Roman" w:eastAsia="Times New Roman" w:hAnsi="Times New Roman"/>
          <w:sz w:val="18"/>
          <w:szCs w:val="18"/>
          <w:color w:val="auto"/>
        </w:rPr>
        <w:t xml:space="preserve">gaps between existing and desired practices and establish quality assurance standards for fabrication, engineering and installation of infrastructure assets. </w:t>
      </w:r>
      <w:r>
        <w:rPr>
          <w:rFonts w:ascii="Times New Roman" w:cs="Times New Roman" w:eastAsia="Times New Roman" w:hAnsi="Times New Roman"/>
          <w:sz w:val="18"/>
          <w:szCs w:val="18"/>
          <w:b w:val="1"/>
          <w:bCs w:val="1"/>
          <w:color w:val="auto"/>
        </w:rPr>
        <w:t>Maintenance</w:t>
      </w:r>
    </w:p>
    <w:p>
      <w:pPr>
        <w:ind w:right="40"/>
        <w:spacing w:after="0" w:line="261" w:lineRule="auto"/>
        <w:rPr>
          <w:sz w:val="20"/>
          <w:szCs w:val="20"/>
          <w:color w:val="auto"/>
        </w:rPr>
      </w:pPr>
      <w:r>
        <w:rPr>
          <w:rFonts w:ascii="Times New Roman" w:cs="Times New Roman" w:eastAsia="Times New Roman" w:hAnsi="Times New Roman"/>
          <w:sz w:val="18"/>
          <w:szCs w:val="18"/>
          <w:color w:val="auto"/>
        </w:rPr>
        <w:t>We perform maintenance and light mechanical services to prepare assets for inspection and to return them to working condition post inspection. These services include corrosion removal, mitigation and prevention; insulation installation and removal; electrical services; heat tracing, industrial cleaning; pipefitting; and welding. Our light mechanical services are often offered as complementary, value-added solutions to inspections, such as removing insulation in order to inspect piping, then re-installing insulation.</w:t>
      </w:r>
    </w:p>
    <w:p>
      <w:pPr>
        <w:spacing w:after="0" w:line="9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Our multi-disciplined technicians offer maintenance and light mechanical services in hard-to-access areas, in combination with rope access or diving strategies.</w:t>
      </w:r>
    </w:p>
    <w:p>
      <w:pPr>
        <w:spacing w:after="0" w:line="81" w:lineRule="exact"/>
        <w:rPr>
          <w:sz w:val="20"/>
          <w:szCs w:val="20"/>
          <w:color w:val="auto"/>
        </w:rPr>
      </w:pPr>
    </w:p>
    <w:p>
      <w:pPr>
        <w:ind w:right="100"/>
        <w:spacing w:after="0" w:line="407" w:lineRule="auto"/>
        <w:rPr>
          <w:sz w:val="20"/>
          <w:szCs w:val="20"/>
          <w:color w:val="auto"/>
        </w:rPr>
      </w:pPr>
      <w:r>
        <w:rPr>
          <w:rFonts w:ascii="Times New Roman" w:cs="Times New Roman" w:eastAsia="Times New Roman" w:hAnsi="Times New Roman"/>
          <w:sz w:val="18"/>
          <w:szCs w:val="18"/>
          <w:color w:val="auto"/>
        </w:rPr>
        <w:t xml:space="preserve">Mechanical services are still a small part of our business, and we carefully try to avoid providing any such services that conflict with our inspection services. </w:t>
      </w:r>
      <w:r>
        <w:rPr>
          <w:rFonts w:ascii="Times New Roman" w:cs="Times New Roman" w:eastAsia="Times New Roman" w:hAnsi="Times New Roman"/>
          <w:sz w:val="18"/>
          <w:szCs w:val="18"/>
          <w:b w:val="1"/>
          <w:bCs w:val="1"/>
          <w:color w:val="auto"/>
        </w:rPr>
        <w:t>Data Management</w:t>
      </w:r>
    </w:p>
    <w:p>
      <w:pPr>
        <w:ind w:right="820"/>
        <w:spacing w:after="0" w:line="282" w:lineRule="auto"/>
        <w:rPr>
          <w:sz w:val="20"/>
          <w:szCs w:val="20"/>
          <w:color w:val="auto"/>
        </w:rPr>
      </w:pPr>
      <w:r>
        <w:rPr>
          <w:rFonts w:ascii="Times New Roman" w:cs="Times New Roman" w:eastAsia="Times New Roman" w:hAnsi="Times New Roman"/>
          <w:sz w:val="18"/>
          <w:szCs w:val="18"/>
          <w:color w:val="auto"/>
        </w:rPr>
        <w:t>Our world-class enterprise inspection database management software (IDMS) - Plant Condition Management Software (PCMS®) - was developed specifically for process industries and equipment, and enables the storage, organization and analysis of inspection data.</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PCMS offers wide-ranging support for mechanical integrity programs, including:</w:t>
      </w:r>
    </w:p>
    <w:p>
      <w:pPr>
        <w:spacing w:after="0" w:line="14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inspection tracking, scheduling and analysis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Corrosion analysis &amp; trending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risk-based inspection (RBI) calculators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relief valve management</w:t>
      </w:r>
    </w:p>
    <w:p>
      <w:pPr>
        <w:spacing w:after="0" w:line="342"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PCMS compares data to prior operations, similar assets, industrial standards and specific risk conditions, such as use with highly-flammable or corrosive materials. It also develops asset integrity management plans based on RBI calculations that specify an optimal schedule for the testing, maintenance and retirement of assets.</w:t>
      </w:r>
    </w:p>
    <w:p>
      <w:pPr>
        <w:spacing w:after="0" w:line="9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many instances, customers of our field inspections and consulting services also have licensed PCMS for storage and analysis of collected inspection and MI data.</w:t>
      </w:r>
    </w:p>
    <w:p>
      <w:pPr>
        <w:spacing w:after="0" w:line="81"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We believe PCMS is one of the most widely used plant condition management software systems in North American refineries. We estimate it is currently used by approximately 50% of the U.S. refining capacity, as well as by leading midstream pipeline energy companies and major energy companies in Canada and Europe. This provides us with recurring maintenance and support fees and additional marketing opportunities for additional software and solutions.</w:t>
      </w:r>
    </w:p>
    <w:p>
      <w:pPr>
        <w:spacing w:after="0" w:line="7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MISTRAS also digitizes the transfer of field inspections to inspection data management systems (IDMS). MISTRAS Digital™ is an electronic platform that digitally delivers field inspection assignments and related data, captures inspection results, and delivers electronic reporting and productivity tracking via Key Performance Indicators (KPIs). MISTRAS Digital integrates with MISTRAS’ PCMS and other inspection data management systems to provide additional productivity improvements.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w:t>
      </w:r>
    </w:p>
    <w:p>
      <w:pPr>
        <w:spacing w:after="0" w:line="1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Much of our work is conducted in hard-to-access locations, including those in at-height, subsea and confined locations. We utilize scaffolding and rope access to access at-height and confined assets; certified divers for subsea inspection and maintenance; and unmanned aerial, land-based and subsea systems for a wide range of inspection applications, with an emphasis on minimizing at-height access and confined space entry (CSE).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Monitoring</w:t>
      </w:r>
    </w:p>
    <w:p>
      <w:pPr>
        <w:spacing w:after="0" w:line="14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online condition-monitoring solutions provide real-time reports and analysis of infrastructure to alert facility personnel to damages before critical failures occur. These monitoring solutions are often installed in hazardous or hard-to-reach locations, helping to enhance safety by reducing the need to send technicians into unsafe locations. We offer monitoring solutions for a wide range of assets and applications, including:</w:t>
      </w:r>
    </w:p>
    <w:p>
      <w:pPr>
        <w:spacing w:after="0" w:line="9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Bridge Structural Health Monitoring (SHM)</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121" w:right="25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Transformer Health &amp; Reliability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Stator Vane Cracking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Through-Valve Leaking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Tube Leaking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Wall Thickness Tracking</w:t>
      </w:r>
    </w:p>
    <w:p>
      <w:pPr>
        <w:spacing w:after="0" w:line="34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offer a variety of secure, web-based solutions that monitor structural integrity and analyze conditions against our library of historical inspection data, allowing users to stay aware of potential concerns and prioritize future inspections and maintenance. We also offer custom-developed software that integrates into onsite IDMSs, stores and trends monitoring data and provides immediate automated data analysis.</w:t>
      </w:r>
    </w:p>
    <w:p>
      <w:pPr>
        <w:spacing w:after="0" w:line="9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provide continuous, periodic and conditional monitoring, depending on the type of asset and its operating condition. Continuous monitoring is applied on critical assets to observe the earliest onset of a defect to predict its progress and to track its progression to avoid catastrophic failure. Periodic monitoring, or “walk around” monitoring, is a preventative maintenance technique to observe changes in an asset's condition over a specified period of time. Conditional monitoring solutions are typically used when there is a known defect that needs to be monitored until the asset is repaired or replaced.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Laboratory Quality Assurance/Control (QA/QC)</w:t>
      </w:r>
    </w:p>
    <w:p>
      <w:pPr>
        <w:spacing w:after="0" w:line="14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network of in-house laboratories located across North America and Europe offer quality assurance and quality control (QA/QC) solutions for new and existing metal and alloy components, materials and composites.</w:t>
      </w:r>
    </w:p>
    <w:p>
      <w:pPr>
        <w:spacing w:after="0" w:line="81"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Our in-house labs work with our clients throughout their components’ lifetimes, from preparation and production to post-processing and in-service component monitoring. MISTRAS’ laboratory QA/QC solutions help to meet customer needs throughout their manufacturing cycles, with a focus on optimizing production logistics. Our in-house lab solutions include:</w:t>
      </w:r>
    </w:p>
    <w:p>
      <w:pPr>
        <w:spacing w:after="0" w:line="9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Non-destructive testing (NDT)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Destructive testing (DT)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Metallurgical testing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Chemical analysis testing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Pre-machining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Finishing services</w:t>
      </w:r>
    </w:p>
    <w:p>
      <w:pPr>
        <w:spacing w:after="0" w:line="34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often inspect and test components prior to assembly to screen for defects and discontinuities introduced in the manufacturing process. We also inspect existing components to ensure they remain fit-for-purpose.</w:t>
      </w:r>
    </w:p>
    <w:p>
      <w:pPr>
        <w:spacing w:after="0" w:line="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labs hold a wide variety of certifications that allow them to perform inspections to meet or exceed stringent regulatory requirements, such as: Nadcap (formerly NADCAP, the National Aerospace and Defense Contractors Accreditation Program), AS9100/ISO-9001, Federal Aviation Administration (FAA) Repair Station, the International Traffice in Arms Regulations/Export Administration Regulations (ITAR/EAR) and manufacturers' requirements. With these certifications comes a comprehensive range of approvals from prime contractors of major projects, militaries, and internationally-renowned original equipment manufacturers (OEMs) from many of our key markets, including the oil and gas, aerospace and defense, power generation, and industrial markets.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w:t>
      </w:r>
    </w:p>
    <w:p>
      <w:pPr>
        <w:spacing w:after="0" w:line="14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design and manufacture portable, handheld, wireless and turnkey NDT equipment, along with corresponding data acquisition sensors and software, for spot inspections and long-term, unattended monitoring applications.</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sell these solutions as individual components, or as complete systems, which include a combination of sensors, an amplifier, signal processing electronics, knowledge-based software and decision and feedback electronics. We also sell integrated service-and-system technology packages, in which our field technicians utilize our proprietary and specialized testing procedures and hardware, advanced pattern recognition, neural network software and databases to compare test results against our prior testing data or industry standards.</w:t>
      </w:r>
    </w:p>
    <w:p>
      <w:pPr>
        <w:spacing w:after="0" w:line="9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addition to other NDT and vibration equipment, we provide a range of acoustic emission (AE) products and are a leader in the design and manufacture of AE sensors, instruments and turnkey systems used for monitoring and testing materials, pressure components, processes and structures.</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Most of our hardware products are fabricated, assembled and tested in our ISO-9001-certified facility in Princeton Junction, New Jersey. We also design and manufacture automated ultrasonic systems and scanners in France.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Centers of Excellence</w:t>
      </w:r>
    </w:p>
    <w:p>
      <w:pPr>
        <w:spacing w:after="0" w:line="14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Another differentiator in our business model are our Centers of Excellence (COEs), which offer support for asset, technology, or industry-specific solutions. Our subject matter experts engage in strategic sales opportunities to offer customers value-added solutions using advanced technologies and methods. The COEs help to standardize our approach to common problems in our key market segments. Our COEs include:</w:t>
      </w:r>
    </w:p>
    <w:p>
      <w:pPr>
        <w:spacing w:after="0" w:line="9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Acoustic Emission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Aerospace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Petroleum Institute (API) Turnarounds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AIMS/MI/Engineering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Automated Ultrasonics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Fossil Power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Guided Wave Ultrasonics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PCMS Software &amp;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Nuclear Power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Offshore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Phased Array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Pipeline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Generation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Predictive Maintenance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Refractory Inspection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Rope Access/Wind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Substation Reliability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Tank Inspection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Tube Inspection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Unmanned Systems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ASSET PROTECTION INDUSTRY OVERVIEW</w:t>
      </w:r>
    </w:p>
    <w:p>
      <w:pPr>
        <w:spacing w:after="0" w:line="1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Asset protection plays a crucial role in assuring the integrity and reliability of critical infrastructure. As an asset protection solutions provider, MISTRAS seeks to maximize the uptime and safety of critical infrastructure, by helping clients to detect, locate, mitigate and prevent damages such as corrosion, cracks, leaks, manufacturing flaws and other concerns to operating and structural integrity. In addition to these core utilities, the storage and analysis of collected inspection and mechanical integrity data is also a key aspect of asset protection.</w:t>
      </w:r>
    </w:p>
    <w:p>
      <w:pPr>
        <w:spacing w:after="0" w:line="9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NDT has historically been a prominent solution in the asset protection industry due to its capacity to detect defects without compromising the integrity of the tested materials or equipment. The supply of NDT inspection services has traditionally come from many small vendors, who provide services to a small geographic region. A trend has emerged, however, for customers to engage a select few vendors capable of providing a wider spectrum of asset protection solutions for global infrastructure, in addition to an increased demand for advanced non-destructive testing (ANDT) solutions and data acquisition software, both of which require a highly-trained workforce.</w:t>
      </w:r>
    </w:p>
    <w:p>
      <w:pPr>
        <w:spacing w:after="0" w:line="10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Due to these trends, those vendors offering integrated solutions, scalable operations skilled personnel and a global footprint will have a distinct competitive advantage. Moreover, we believe that vendors that are able to effectively deliver both advanced solutions and data analytics, by virtue of their access to customers’ data, create a significant barrier to entry for competitors, leading to the opportunity to further create significant recurring revenues.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Dynamics of the Asset Protection Industry</w:t>
      </w:r>
    </w:p>
    <w:p>
      <w:pPr>
        <w:spacing w:after="0" w:line="14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believe the following represent key dynamics of the asset protection industry, and that the market available to us will continue to grow as these macro-market trends continue to develop:</w:t>
      </w:r>
    </w:p>
    <w:p>
      <w:pPr>
        <w:spacing w:after="0" w:line="79"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Extending the Useful Life of Aging Infrastructure While Increasing Utilization</w:t>
      </w:r>
      <w:r>
        <w:rPr>
          <w:rFonts w:ascii="Times New Roman" w:cs="Times New Roman" w:eastAsia="Times New Roman" w:hAnsi="Times New Roman"/>
          <w:sz w:val="18"/>
          <w:szCs w:val="18"/>
          <w:color w:val="auto"/>
        </w:rPr>
        <w:t>. Due to the prohibitive costs and challenges of building new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many companies have chosen to extend the useful life of existing assets through enhancements,</w:t>
      </w: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60"/>
          </w:cols>
          <w:pgMar w:left="240" w:top="121" w:right="29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6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rather than replacing these assets. This has resulted in the significant aging and increased utilization of existing infrastructure in our target markets. Increasing demand for refined petroleum products, combined with high plant-utilization rates, is driving refineries to upgrade facilities to make them more efficient and expand capacities. Because aging infrastructure requires more frequent inspection and maintenance in comparison to new infrastructure, companies and public authorities continue to spend on asset protection to ensure their aging infrastructure assets continue to operate effectively.</w:t>
      </w:r>
    </w:p>
    <w:p>
      <w:pPr>
        <w:spacing w:after="0" w:line="86"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Outsourcing of Non-Core Activities and Technical Resource Constraints</w:t>
      </w:r>
      <w:r>
        <w:rPr>
          <w:rFonts w:ascii="Times New Roman" w:cs="Times New Roman" w:eastAsia="Times New Roman" w:hAnsi="Times New Roman"/>
          <w:sz w:val="18"/>
          <w:szCs w:val="18"/>
          <w:color w:val="auto"/>
        </w:rPr>
        <w:t>. Due to the increasing sophistication and automation of NDT programs, a decreasing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supply of skilled professionals and increasing governmental regulations, companies are increasingly outsourcing NDT to third-party providers with advanced solution portfolios, engineering expertise and trained workforces.</w:t>
      </w:r>
    </w:p>
    <w:p>
      <w:pPr>
        <w:spacing w:after="0" w:line="92"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Increasing Corrosion from Low-Quality Inputs</w:t>
      </w:r>
      <w:r>
        <w:rPr>
          <w:rFonts w:ascii="Times New Roman" w:cs="Times New Roman" w:eastAsia="Times New Roman" w:hAnsi="Times New Roman"/>
          <w:sz w:val="18"/>
          <w:szCs w:val="18"/>
          <w:color w:val="auto"/>
        </w:rPr>
        <w:t>. The increased availability and low cost of crude oil from areas such as shale plays and oil sands resources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led to the use of lower-grade raw materials and feedstock. This leads to higher rates of corrosion, especially in refining processes involving petroleum with higher sulfur content. This increases the need for asset protection solutions to detect and/or proactively prevent corrosion-related issues.</w:t>
      </w:r>
    </w:p>
    <w:p>
      <w:pPr>
        <w:spacing w:after="0" w:line="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Increasing Use of Advanced Materials</w:t>
      </w:r>
      <w:r>
        <w:rPr>
          <w:rFonts w:ascii="Times New Roman" w:cs="Times New Roman" w:eastAsia="Times New Roman" w:hAnsi="Times New Roman"/>
          <w:sz w:val="18"/>
          <w:szCs w:val="18"/>
          <w:color w:val="auto"/>
        </w:rPr>
        <w:t>. Customers in various of our target markets - particularly aerospace and defense - are increasingly utilizing advanced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such as composites and other unique technologies in their assets. These materials often cannot be tested using traditional NDT techniques. We believe that demand for more advanced testing and assessment solutions will increase along with the demand for these advanced materials during the design, manufacturing, operating and quality control phases.</w:t>
      </w:r>
    </w:p>
    <w:p>
      <w:pPr>
        <w:spacing w:after="0" w:line="9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Meeting Safety Regulations</w:t>
      </w:r>
      <w:r>
        <w:rPr>
          <w:rFonts w:ascii="Times New Roman" w:cs="Times New Roman" w:eastAsia="Times New Roman" w:hAnsi="Times New Roman"/>
          <w:sz w:val="18"/>
          <w:szCs w:val="18"/>
          <w:color w:val="auto"/>
        </w:rPr>
        <w:t>. Owners and operators of refineries, pipelines and petrochemical and chemical plants increasingly face strict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and more stringent process safety enforcement standards. This includes the continued implementation of the Occupational Safety and Health Administration’s (OSHA) National Emphasis Program (NEP). Failure to meet these standards can result in significant financial liabilities, increased scrutiny by government and industry regulators, higher insurance premiums and tarnished corporate brand value. As a result, these owners and operators are seeking highly-reliable asset protection suppliers with a track record of assisting organizations in meeting increasingly stringent regulations. Our clients benefit from MISTRAS’ extensive engineering consulting base that supports them in devising mechanical integrity programs that both meet regulatory compliance standards and enable enhanced safety and uptime at their facilities.</w:t>
      </w:r>
    </w:p>
    <w:p>
      <w:pPr>
        <w:spacing w:after="0" w:line="102"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Expanding Addressable End-Markets</w:t>
      </w:r>
      <w:r>
        <w:rPr>
          <w:rFonts w:ascii="Times New Roman" w:cs="Times New Roman" w:eastAsia="Times New Roman" w:hAnsi="Times New Roman"/>
          <w:sz w:val="18"/>
          <w:szCs w:val="18"/>
          <w:color w:val="auto"/>
        </w:rPr>
        <w:t>. The continued emergence of and advances in asset protection technologies and software-based systems are increasing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demand for asset protection solutions in applications where existing techniques were previously ineffective.</w:t>
      </w:r>
    </w:p>
    <w:p>
      <w:pPr>
        <w:spacing w:after="0" w:line="77"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Expanding Aerospace Industry</w:t>
      </w:r>
      <w:r>
        <w:rPr>
          <w:rFonts w:ascii="Times New Roman" w:cs="Times New Roman" w:eastAsia="Times New Roman" w:hAnsi="Times New Roman"/>
          <w:sz w:val="18"/>
          <w:szCs w:val="18"/>
          <w:color w:val="auto"/>
        </w:rPr>
        <w:t>. We believe that increased demand will continue to come from the aerospace industry due to the approximately decade-long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backlog for next-generation commercial aircraft to be built, driving the need for advanced solutions that drive cost and quality efficiencies.</w:t>
      </w:r>
    </w:p>
    <w:p>
      <w:pPr>
        <w:spacing w:after="0" w:line="77"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Crude Oil Prices. </w:t>
      </w:r>
      <w:r>
        <w:rPr>
          <w:rFonts w:ascii="Times New Roman" w:cs="Times New Roman" w:eastAsia="Times New Roman" w:hAnsi="Times New Roman"/>
          <w:sz w:val="18"/>
          <w:szCs w:val="18"/>
          <w:color w:val="auto"/>
        </w:rPr>
        <w:t>Throughout most of 2018, crude oil prices have continued to rebound, although during the last two months of 2018, they declined.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already started to rebound in early 2019, and we believe that spending on maintenance shutdowns in 2019 should remain steady with 2018 levels. This demand will be balanced against the continued focus on process efficiencies and cost savings initiatives.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4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believe the following competitive strengths contribute to our being a leading provider of asset protection solutions and will allow us to further capitalize on growth opportunities in our industry:</w:t>
      </w:r>
    </w:p>
    <w:p>
      <w:pPr>
        <w:spacing w:after="0" w:line="7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One Source Provider for Asset Protection Solutions®</w:t>
      </w:r>
      <w:r>
        <w:rPr>
          <w:rFonts w:ascii="Times New Roman" w:cs="Times New Roman" w:eastAsia="Times New Roman" w:hAnsi="Times New Roman"/>
          <w:sz w:val="18"/>
          <w:szCs w:val="18"/>
          <w:color w:val="auto"/>
        </w:rPr>
        <w:t>. We believe we have one of the most comprehensive portfolios of integrated asset protection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worldwide, which positions us to be the leading single-source provider for our customers’ asset protection requirements. This is particularly a competitive strength in regards to turnarounds and shutdowns - during which facilities temporarily cease operations in order to perform plant-wide inspections, maintenance and repairs - as these work stoppages make up significant portions of refinery, process and power plant maintenance budgets. Demand for our solutions increases during these outages, as facilities seek third-party providers to perform a wide spectrum of asset protection operations while the plant is offline. In addition, as companies are increasingly outsourcing their NDT needs to third-party providers, we believe that the ability to offer a comprehensive package of solutions provides us with a competitive advantage.</w:t>
      </w:r>
    </w:p>
    <w:p>
      <w:pPr>
        <w:spacing w:after="0" w:line="10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Long-Standing Trusted Provider to a Diversified and Growing Customer Base</w:t>
      </w:r>
      <w:r>
        <w:rPr>
          <w:rFonts w:ascii="Times New Roman" w:cs="Times New Roman" w:eastAsia="Times New Roman" w:hAnsi="Times New Roman"/>
          <w:sz w:val="18"/>
          <w:szCs w:val="18"/>
          <w:color w:val="auto"/>
        </w:rPr>
        <w:t>. We have become a trusted partner to a large and growing customer base across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numerous global markets through our proven, decades-long track record of successful operations. Our customers include some of the largest and most well-recognized firms in the oil and gas, chemicals, power generation and aerospace and defense industries, as well as public authorities.</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Repository of Customer-Specific Inspection Data</w:t>
      </w:r>
      <w:r>
        <w:rPr>
          <w:rFonts w:ascii="Times New Roman" w:cs="Times New Roman" w:eastAsia="Times New Roman" w:hAnsi="Times New Roman"/>
          <w:sz w:val="18"/>
          <w:szCs w:val="18"/>
          <w:color w:val="auto"/>
        </w:rPr>
        <w:t>. Through our enterprise data management and analysis software, PCMS, we have accumulated extensive,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proprietary process data that allows us to provide our customers with value-added services, such as benchmarking, risk-based inspection (RBI) and reliability-centered maintenance (RCM).</w:t>
      </w:r>
    </w:p>
    <w:p>
      <w:pPr>
        <w:spacing w:after="0" w:line="9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Proprietary Products, Software and Technology Packages</w:t>
      </w:r>
      <w:r>
        <w:rPr>
          <w:rFonts w:ascii="Times New Roman" w:cs="Times New Roman" w:eastAsia="Times New Roman" w:hAnsi="Times New Roman"/>
          <w:sz w:val="18"/>
          <w:szCs w:val="18"/>
          <w:color w:val="auto"/>
        </w:rPr>
        <w:t>. Our deep knowledge base in asset protection services and equipment enable us to offer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packages, in which our field technicians utilize our proprietary and specialized testing procedures and hardware, advanced pattern recognition, neural network software and databases to compare test results against our prior testing data or national and international structural integrity standards.</w:t>
      </w:r>
    </w:p>
    <w:p>
      <w:pPr>
        <w:spacing w:after="0" w:line="9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Deep Domain Knowledge and Extensive Industry Experience</w:t>
      </w:r>
      <w:r>
        <w:rPr>
          <w:rFonts w:ascii="Times New Roman" w:cs="Times New Roman" w:eastAsia="Times New Roman" w:hAnsi="Times New Roman"/>
          <w:sz w:val="18"/>
          <w:szCs w:val="18"/>
          <w:color w:val="auto"/>
        </w:rPr>
        <w:t>. We have extensive asset protection experience and data, dating back several decades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We have gained this through our industry leadership in developing advanced asset protection solutions, including research and development of advanced NDT technologies and applications; process engineering technologies; online plant asset integrity management with sensor fusion; and enterprise software solutions for plant-wide and fleet-wide inspection data archiving and management.</w:t>
      </w:r>
    </w:p>
    <w:p>
      <w:pPr>
        <w:spacing w:after="0" w:line="9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Technological Research and Development. </w:t>
      </w:r>
      <w:r>
        <w:rPr>
          <w:rFonts w:ascii="Times New Roman" w:cs="Times New Roman" w:eastAsia="Times New Roman" w:hAnsi="Times New Roman"/>
          <w:sz w:val="18"/>
          <w:szCs w:val="18"/>
          <w:color w:val="auto"/>
        </w:rPr>
        <w:t>The NDT industry continues to move towards more advanced, automated solutions, requiring service providers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find safer and more cost-efficient inspection techniques. We believe that we remain ahead of the technological curve by backing our extensive industry expertise with the investment of resources in research and development (R&amp;D). Some of the advanced inspection technologies developed by our internal R&amp;D teams include an automated radiographic testing (aRT) crawler for corrosion under insulation (CUI) inspections in aboveground pipelines; our Large Structure Inspection (LSI) scanner; and our real-time radiography (RTR) crawler for 360° inspections of pipeline girth welds.</w:t>
      </w:r>
    </w:p>
    <w:p>
      <w:pPr>
        <w:spacing w:after="0" w:line="99" w:lineRule="exact"/>
        <w:rPr>
          <w:sz w:val="20"/>
          <w:szCs w:val="20"/>
          <w:color w:val="auto"/>
        </w:rPr>
      </w:pPr>
    </w:p>
    <w:p>
      <w:pPr>
        <w:ind w:right="180"/>
        <w:spacing w:after="0" w:line="315" w:lineRule="auto"/>
        <w:rPr>
          <w:sz w:val="20"/>
          <w:szCs w:val="20"/>
          <w:color w:val="auto"/>
        </w:rPr>
      </w:pPr>
      <w:r>
        <w:rPr>
          <w:rFonts w:ascii="Times New Roman" w:cs="Times New Roman" w:eastAsia="Times New Roman" w:hAnsi="Times New Roman"/>
          <w:sz w:val="17"/>
          <w:szCs w:val="17"/>
          <w:i w:val="1"/>
          <w:iCs w:val="1"/>
          <w:color w:val="auto"/>
        </w:rPr>
        <w:t>Collaborating with Our Customers</w:t>
      </w:r>
      <w:r>
        <w:rPr>
          <w:rFonts w:ascii="Times New Roman" w:cs="Times New Roman" w:eastAsia="Times New Roman" w:hAnsi="Times New Roman"/>
          <w:sz w:val="17"/>
          <w:szCs w:val="17"/>
          <w:color w:val="auto"/>
        </w:rPr>
        <w:t>. We have historically expanded our asset protection solution portfolio in response to our customers’ unique performance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specifications. Our technology packages have often been developed in close cooperation and partnership with key customers and industry organizations.</w:t>
      </w:r>
    </w:p>
    <w:p>
      <w:pPr>
        <w:spacing w:after="0" w:line="54"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Experienced Management Team</w:t>
      </w:r>
      <w:r>
        <w:rPr>
          <w:rFonts w:ascii="Times New Roman" w:cs="Times New Roman" w:eastAsia="Times New Roman" w:hAnsi="Times New Roman"/>
          <w:sz w:val="18"/>
          <w:szCs w:val="18"/>
          <w:color w:val="auto"/>
        </w:rPr>
        <w:t>. Our management team has a track record of asset protection organizational leadership. These individuals also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successfully driven operational growth organically and through acquisitions, which we believe is important to facilitate future growth in the asset protection industry.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growth strategy emphasizes the following key elements:</w:t>
      </w:r>
    </w:p>
    <w:p>
      <w:pPr>
        <w:spacing w:after="0" w:line="14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Expand Our Focus in the Aerospace Industry</w:t>
      </w:r>
      <w:r>
        <w:rPr>
          <w:rFonts w:ascii="Times New Roman" w:cs="Times New Roman" w:eastAsia="Times New Roman" w:hAnsi="Times New Roman"/>
          <w:sz w:val="18"/>
          <w:szCs w:val="18"/>
          <w:color w:val="auto"/>
        </w:rPr>
        <w:t>. We believe that the introduction of next-generation airframes and aircraft engines has created an inherent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for inspection, testing, machining and mechanical services required for the production of parts. The recent interest in the use of additive manufacturing techniques to create components also necessitates advanced inspection and testing solutions. The Company consummated two acquisitions of aerospace inspection companies in 2017 and won a key European contract in 2016. These recent actions are driven by our increased focus to provide solutions to our clients throughout their manufacturing value chains in this growing area.</w:t>
      </w:r>
    </w:p>
    <w:p>
      <w:pPr>
        <w:spacing w:after="0" w:line="9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Expand Our Focus in the Pipeline Integrity Industry. </w:t>
      </w:r>
      <w:r>
        <w:rPr>
          <w:rFonts w:ascii="Times New Roman" w:cs="Times New Roman" w:eastAsia="Times New Roman" w:hAnsi="Times New Roman"/>
          <w:sz w:val="18"/>
          <w:szCs w:val="18"/>
          <w:color w:val="auto"/>
        </w:rPr>
        <w:t>MISTRAS intends to continue broadening our solutions for the pipeline market. Recent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significantly expanded pipeline integrity management regulations, requiring pipeline owner/operators to inspect, document, and assess the risk of operating conditions for existing lines. This provide MISTRAS, with the opportunity to provide asset protection solutions for both the new construction and integrity phases. We acquired an inline inspection provider based in Canada in 2018 and have implemented our PCMS software for several pipeline operators to support their integrity data management.</w:t>
      </w:r>
    </w:p>
    <w:p>
      <w:pPr>
        <w:spacing w:after="0" w:line="9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Expanding our Mechanical Services Portfolio. </w:t>
      </w:r>
      <w:r>
        <w:rPr>
          <w:rFonts w:ascii="Times New Roman" w:cs="Times New Roman" w:eastAsia="Times New Roman" w:hAnsi="Times New Roman"/>
          <w:sz w:val="18"/>
          <w:szCs w:val="18"/>
          <w:color w:val="auto"/>
        </w:rPr>
        <w:t>We believe that performing mechanical services to complement inspections, such as removing and reapplying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insulation or preparing surfaces for coating or painting, is an important market differentiator for us. This is particularly true when considering the cost-efficiencies our customers realize when our rope access technicians perform these services at height without the use of scaffolding. Many of our customers already require these services, but utilize multiple vendors to do so, creating an opportunity for us to provide greater value to a customer base that increasingly requires enhanced speed and efficiency.</w:t>
      </w:r>
    </w:p>
    <w:p>
      <w:pPr>
        <w:spacing w:after="0" w:line="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Continue to Develop Technology-Enabled Asset Protection Solutions</w:t>
      </w:r>
      <w:r>
        <w:rPr>
          <w:rFonts w:ascii="Times New Roman" w:cs="Times New Roman" w:eastAsia="Times New Roman" w:hAnsi="Times New Roman"/>
          <w:sz w:val="18"/>
          <w:szCs w:val="18"/>
          <w:color w:val="auto"/>
        </w:rPr>
        <w:t>. We intend to maintain and enhance our technological leadership by continuing to invest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developing new technology, applications and data services. We intend to continue deepening synergies between our solutions to provide our customers with uniquely-integrated offerings, which we believe makes us a more attractive vendor for clients seeking to centralize their asset protection. We also intend to continue to develop technologies that enhance the flow of data throughout multiple operational phases and facilities.</w:t>
      </w:r>
    </w:p>
    <w:p>
      <w:pPr>
        <w:spacing w:after="0" w:line="99"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i w:val="1"/>
          <w:iCs w:val="1"/>
          <w:color w:val="auto"/>
        </w:rPr>
        <w:t>Expand our Solution Offerings to Existing Customers</w:t>
      </w:r>
      <w:r>
        <w:rPr>
          <w:rFonts w:ascii="Times New Roman" w:cs="Times New Roman" w:eastAsia="Times New Roman" w:hAnsi="Times New Roman"/>
          <w:sz w:val="18"/>
          <w:szCs w:val="18"/>
          <w:color w:val="auto"/>
        </w:rPr>
        <w:t>. We believe that branching into adjacent, complementary services, such as mechanical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increases our value proposition and our ability to capture additional business. Many of our customers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are multinational corporations with asset protection requirements at multiple locations. We believe that expanding our solution offerings, combined with the trend of customers outsourcing asset protection to service providers with integrated offerings, provides opportunities for significant additional recurring revenues.</w:t>
      </w:r>
    </w:p>
    <w:p>
      <w:pPr>
        <w:spacing w:after="0" w:line="9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Continue to Expand Our Customer Base into New End Markets</w:t>
      </w:r>
      <w:r>
        <w:rPr>
          <w:rFonts w:ascii="Times New Roman" w:cs="Times New Roman" w:eastAsia="Times New Roman" w:hAnsi="Times New Roman"/>
          <w:sz w:val="18"/>
          <w:szCs w:val="18"/>
          <w:color w:val="auto"/>
        </w:rPr>
        <w:t>. We believe we have significant opportunities to expand our customer base in relatively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 markets, including wind and other alternative energy, natural gas transportation industries pipeline integrity and additive manufacturing. The expansion of our addressable markets is being driven by the increased recognition and adoption of advanced asset protection technologies that are supplanting traditional methods.</w:t>
      </w:r>
    </w:p>
    <w:p>
      <w:pPr>
        <w:spacing w:after="0" w:line="99"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Continue to Capitalize on Acquisitions</w:t>
      </w:r>
      <w:r>
        <w:rPr>
          <w:rFonts w:ascii="Times New Roman" w:cs="Times New Roman" w:eastAsia="Times New Roman" w:hAnsi="Times New Roman"/>
          <w:sz w:val="18"/>
          <w:szCs w:val="18"/>
          <w:color w:val="auto"/>
        </w:rPr>
        <w:t>. We intend to continue employing a disciplined acquisition strategy to supplement and enhance our solutions, add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expand our sales channels and accelerate our growth. We believe the market contains many potential acquisition opportunities, enhanced by an increasing desire on the part of customers for a single source provider of solutions.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three operating segments:</w:t>
      </w:r>
    </w:p>
    <w:p>
      <w:pPr>
        <w:spacing w:after="0" w:line="142"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Services</w:t>
      </w:r>
      <w:r>
        <w:rPr>
          <w:rFonts w:ascii="Times New Roman" w:cs="Times New Roman" w:eastAsia="Times New Roman" w:hAnsi="Times New Roman"/>
          <w:sz w:val="18"/>
          <w:szCs w:val="18"/>
          <w:color w:val="auto"/>
        </w:rPr>
        <w:t>. This segment provides asset protection solutions predominantly in North America, with the largest concentration in the United States, consisting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of non-destructive testing, inspection, mechanical and engineering services that are used to evaluate the structural integrity and reliability of critical energy, industrial and public infrastructure.</w:t>
      </w:r>
    </w:p>
    <w:p>
      <w:pPr>
        <w:spacing w:after="0" w:line="9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International</w:t>
      </w:r>
      <w:r>
        <w:rPr>
          <w:rFonts w:ascii="Times New Roman" w:cs="Times New Roman" w:eastAsia="Times New Roman" w:hAnsi="Times New Roman"/>
          <w:sz w:val="18"/>
          <w:szCs w:val="18"/>
          <w:color w:val="auto"/>
        </w:rPr>
        <w:t>. This segment offers services, products and systems similar to those of our Services and Products and Systems segments to select markets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Europe, the Middle East, Africa, Asia and South America, but not to customers in China and South Korea, which are served by our Products and Systems segment.</w:t>
      </w:r>
    </w:p>
    <w:p>
      <w:pPr>
        <w:spacing w:after="0" w:line="92"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Products and Systems</w:t>
      </w:r>
      <w:r>
        <w:rPr>
          <w:rFonts w:ascii="Times New Roman" w:cs="Times New Roman" w:eastAsia="Times New Roman" w:hAnsi="Times New Roman"/>
          <w:sz w:val="18"/>
          <w:szCs w:val="18"/>
          <w:color w:val="auto"/>
        </w:rPr>
        <w:t>. This segment designs, manufactures, sells, installs and services our asset protection products and systems, including equipment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instrumentation, predominantly in the United States.</w:t>
      </w:r>
    </w:p>
    <w:p>
      <w:pPr>
        <w:spacing w:after="0" w:line="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a discussion of segment revenues, operating results and other financial information, including geographic areas in which we generated revenues, see “Management’s Discussion and Analysis of Financial Condition and Results of Operations” in Item 7, as well as Note 19 - Segment Disclosure in the notes to consolidated financial statements in Item 8 of this Annual Report.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Target Markets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Mistras operates in a highly competitive, but fragmented market. Domestically, the market is serviced by several national competitors, and many regional and/or local companies. Internationally, our primary competitors are divisions of large companies, with additional competition from small independent local companies which may be limited to a specific product, service or technology and focused on a niche market or geographic region. We focus our strategic sales, marketing and product development efforts on a range of infrastructure-intensive based industries and governmental authorities. We view energy-related infrastructure and commercial aerospace as the Company's largest market opportunities. We perform inspection and mechanical services for customers in both industries.</w:t>
      </w:r>
    </w:p>
    <w:p>
      <w:pPr>
        <w:spacing w:after="0" w:line="1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the energy market there are various economic indicators that drive our business, especially in the U.S. domestic markets. These factors are excerpted below from various Energy Information Administration (EIA) outlook reports;</w:t>
      </w:r>
    </w:p>
    <w:p>
      <w:pPr>
        <w:spacing w:after="0" w:line="162" w:lineRule="exact"/>
        <w:rPr>
          <w:sz w:val="20"/>
          <w:szCs w:val="20"/>
          <w:color w:val="auto"/>
        </w:rPr>
      </w:pPr>
    </w:p>
    <w:p>
      <w:pPr>
        <w:jc w:val="both"/>
        <w:ind w:right="140"/>
        <w:spacing w:after="0" w:line="257" w:lineRule="auto"/>
        <w:rPr>
          <w:sz w:val="20"/>
          <w:szCs w:val="20"/>
          <w:color w:val="auto"/>
        </w:rPr>
      </w:pPr>
      <w:r>
        <w:rPr>
          <w:rFonts w:ascii="Times New Roman" w:cs="Times New Roman" w:eastAsia="Times New Roman" w:hAnsi="Times New Roman"/>
          <w:sz w:val="18"/>
          <w:szCs w:val="18"/>
          <w:color w:val="auto"/>
        </w:rPr>
        <w:t>The continued decline in natural gas prices and increasing penetration of renewable electricity generation have resulted in lower wholesale electricity prices and operating losses for coal and nuclear generators. In addition, environmental concerns continue to negatively affect coal as a viable source of electricity generation. The use of natural gas as an energy source is projected to grow the most on an absolute basis. Per the Energy Information Agency's (EIA)</w:t>
      </w:r>
    </w:p>
    <w:p>
      <w:pPr>
        <w:spacing w:after="0" w:line="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December 14, 2018, crude oil output was 11.6 million barrels per day (bpd) and increased to 11.7 bpd by the end of the year, the highest level for any year on record in the United States. In addition, the EIA estimates that production of U.S. crude oil and natural gas plant liquids continues its growth through 2025, with oil production records predicted through 2027 that top 14 million bpd through 2040. Crude pricing remains highly uncertain due to international market conditions. However, U.S. refinery utilization peaks in 2020 at approximately 96%.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a number of economic factors which drive the aerospace market, including:</w:t>
      </w:r>
    </w:p>
    <w:p>
      <w:pPr>
        <w:spacing w:after="0" w:line="144" w:lineRule="exact"/>
        <w:rPr>
          <w:sz w:val="20"/>
          <w:szCs w:val="20"/>
          <w:color w:val="auto"/>
        </w:rPr>
      </w:pPr>
    </w:p>
    <w:p>
      <w:pPr>
        <w:ind w:left="660" w:right="2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approximately decade-long backlog for next generation commercial aircraft to be built, including several large and mid-sized aircraft built by Boeing, Airbus, Bombardier and Embraer, among other manufacturers;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right="38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backlog of next generation aircraft engines which operate with greater fuel efficiency, including the LEAP engine and the geared-turbo fan engine;</w:t>
      </w:r>
    </w:p>
    <w:p>
      <w:pPr>
        <w:jc w:val="both"/>
        <w:ind w:left="660" w:right="120" w:hanging="328"/>
        <w:spacing w:after="0" w:line="255"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regulatory scrutiny to ensure public safety associated with these new technologically advanced aircraft, which serves to ensure the continued need for inspection and mechanical services to be performed, as well as to limit the number of participants who can meet the demanding requirements associated with performing these services.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Target Market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chart represents the percentage of consolidated revenues we generated from our various markets for the year ended December 31, 2018:</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Mistras Revenues by Target Market</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142875</wp:posOffset>
            </wp:positionV>
            <wp:extent cx="5848985" cy="27787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277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and Gas</w:t>
      </w:r>
    </w:p>
    <w:p>
      <w:pPr>
        <w:spacing w:after="0" w:line="14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MISTRAS supplies oil and gas asset protection solutions to downstream (refining), midstream (transportation and storage), upstream (exploration and production) and petrochemical operations.</w:t>
      </w:r>
    </w:p>
    <w:p>
      <w:pPr>
        <w:spacing w:after="0" w:line="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use our vast solutions portfolio to help identify current and future asset performance, and actively prevent, mitigate or otherwise address potential issues, including corrosion, cracking, leaking and other damages that may lead to safety, productivity or environmental concerns. Our solutions help identify conditions that could lead to potential catastrophic failures in tanks, vessels, valves, buried and above ground pipelines, pumps, motors, compressors and other critical assets found throughout the oil &amp; gas production and delivery supply chain.</w:t>
      </w:r>
    </w:p>
    <w:p>
      <w:pPr>
        <w:spacing w:after="0" w:line="9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actively seek to evolve our solutions through technological enhancements and R&amp;D to discover new applications. Online monitoring and permanently-mounted sensors, as well as the use of drones and other alternative delivery devices, are all being considered as oil and gas infrastructure owners look to “smart” technologies that reduce human intervention while delivering highly-accurate inspection &amp; integrity data. We also have actively sought to further enhance our integrated approach to asset protection, through the development of our complementary mechanical service portfolio.</w:t>
      </w:r>
    </w:p>
    <w:p>
      <w:pPr>
        <w:spacing w:after="0" w:line="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general, the energy market is poised to leverage digital solutions to facilitate process improvements as well as increase plant reliability and improve process and personnel safety. This provides an opportunity for the Company to synergistically leverage our asset protection solutions into our new MISTRAS Digital platform. Digital transmission of data in various industry sectors, with built-in analytic functions, shall allow our clients to better leverage inspection data that is being generated in the field.</w:t>
      </w: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60"/>
          </w:cols>
          <w:pgMar w:left="240" w:top="121" w:right="29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While we expect off-stream inspection of critical assets to remain a routine practice, we anticipate an increase in the demand for non-invasive, or on-stream inspections. Non-invasive inspections enable companies to minimize the costs associated with shutting down equipment during testing, while enabling the economic and safety advantages of advanced planning and/or predictive maintenance.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Aerospace and Defense</w:t>
      </w:r>
    </w:p>
    <w:p>
      <w:pPr>
        <w:spacing w:after="0" w:line="14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aerospace industry is undergoing unprecedented growth with many original equipment manufacturers (OEMs) reporting record-high backlogs of up to ten years. We serve this rapidly-growing target market by providing a full range of inspection, testing, machining, mechanical, finishing, additive manufacturing and equipment solutions, which we are Nadcap certified. Our state-of-the-art in-house labs maintain numerous accreditations from industry organizations, including Nadcap and some of the largest prime manufacturers in the world, such as Boeing, Safran, Airbus, Bombardier and Embraer.</w:t>
      </w:r>
    </w:p>
    <w:p>
      <w:pPr>
        <w:spacing w:after="0" w:line="9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Advanced composite materials found in new classes of aircraft require advanced asset protection solutions, including x-ray of critical engine components, ultrasonic fatigue testing of complete aircraft structures and corrosion detection and other critical components. Many OEMs are shifting towards condition-based maintenance utilizing embedded monitoring sensors to track component structural and operational integrity over time as opposed to performing maintenance on time-based intervals. We expect demand for our solutions to increase with the adoption of these new-age materials and distributed online sensor networks. We also expect demand for asset protection solutions to increase with the continued adoption of additive manufacturing techniques.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Industrial</w:t>
      </w:r>
    </w:p>
    <w:p>
      <w:pPr>
        <w:spacing w:after="0" w:line="14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quality control requirements driven by the need for zero-to-low-defect component tolerance within automated, robotic-intensive industries such as automotive, consumer electronics and medical industries serve as key drivers for increased demand in asset protection, particularly for in-house inspection and testing. We expect that increasingly stringent quality-control requirements and competitive forces will drive the demand for more-costly finishing and polishing which, in turn, creates opportunities for integrated partnerships between MISTRAS and our clients throughout the production lifecycle.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Generation and Transmission</w:t>
      </w:r>
    </w:p>
    <w:p>
      <w:pPr>
        <w:spacing w:after="0" w:line="14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MISTRAS provides asset protection solutions for clients in the combined cycle, fossil, nuclear, transmission &amp; distribution and wind/alternative energy industries. We believe that in recent years, acceptance of asset protection solutions has grown in this industry due to the aging of critical power generation and transmission infrastructure.</w:t>
      </w:r>
    </w:p>
    <w:p>
      <w:pPr>
        <w:spacing w:after="0" w:line="9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growing availability of cheap natural gas, along with environmental concerns with coal, has stimulated the construction of new natural gas-fired power plants across North America, creating opportunities for MISTRAS to provide specialized solutions in multiple phases. These include facility design consultations, NDT services during construction and plant operations and long-term condition monitoring. We anticipate sharp growth in the plants as natural gas pricing remains low, and the environmental impacts of coal remain unattractive to the public.</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 Industries</w:t>
      </w:r>
    </w:p>
    <w:p>
      <w:pPr>
        <w:spacing w:after="0" w:line="1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asset protection solutions are crucial for process industries, or industries in which raw materials are treated or prepared in a series of stages, including chemicals, pharmaceuticals, food processing, pulp and paper and metals and mining. As the process facilities are increasingly facing aging infrastructure, high utilization, growing capacity constraints and increasing capital costs, we believe asset protection solutions will continue to grow in importance in maintenance planning, quality and cost control and prevention of catastrophic failure.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Infrastructure, Research and Engineering</w:t>
      </w:r>
    </w:p>
    <w:p>
      <w:pPr>
        <w:spacing w:after="0" w:line="14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believe that high-profile infrastructure catastrophes have caused public authorities to more actively seek ways to prevent similar events from occurring. Public authorities tasked with new construction and maintenance of existing public infrastructure increasingly use asset protection solutions to inspect these assets, including the use of embedded sensors to enable online monitoring throughout the life of the asset.</w:t>
      </w:r>
    </w:p>
    <w:p>
      <w:pPr>
        <w:spacing w:after="0" w:line="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provided testing and structural health monitoring (SHM) solutions on bridges and structures worldwide, including some of the largest and most well-known bridges in the United States and United Kingdom. Our sensors continuously monitor these assets, alerting owner/operators when defects are detected. Our monitoring teams also provide regular reports that include early warnings of suspect areas before an alarm is generated.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provide our asset protection solutions to a global customer base of diverse companies primarily in our target markets. No customer accounted for more than 10% of our revenues in 2018. One customer, BP plc., accounted for approximately 11%, 12% and 10% of our total revenues for the year ended December 31, 2017, the transition period ended December 31, 2016 and fiscal 2016,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Areas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have operations in 10 countries and occasionally conduct business in a few other countries. Most of our revenues are derived from our U.S., Canadian and European operations. See Note 19 — </w:t>
      </w:r>
      <w:r>
        <w:rPr>
          <w:rFonts w:ascii="Times New Roman" w:cs="Times New Roman" w:eastAsia="Times New Roman" w:hAnsi="Times New Roman"/>
          <w:sz w:val="18"/>
          <w:szCs w:val="18"/>
          <w:i w:val="1"/>
          <w:iCs w:val="1"/>
          <w:color w:val="auto"/>
        </w:rPr>
        <w:t>Segment Disclosure</w:t>
      </w:r>
      <w:r>
        <w:rPr>
          <w:rFonts w:ascii="Times New Roman" w:cs="Times New Roman" w:eastAsia="Times New Roman" w:hAnsi="Times New Roman"/>
          <w:sz w:val="18"/>
          <w:szCs w:val="18"/>
          <w:color w:val="auto"/>
        </w:rPr>
        <w:t xml:space="preserve"> to the consolidated financial statements in this Annual Report for further disclosure of our revenues, long-lived assets and other financial information regarding our international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sell our asset protection solutions through our direct sales and marketing teams within all of our offices worldwide. In addition, our project and laboratory managers as well as our management are trained on our solutions and often are the source of sales leads and customer contacts. Our direct sales and marketing teams work closely with our customers’ research and design personnel, reliability engineers and facilities maintenance engineers to demonstrate the benefits and capabilities of our asset protection solutions, refine our asset protection solutions based on changing market and customer needs and identify potential sales opportunities. We divide our sales and marketing efforts into services sales, products and systems sales and marketing and utilize customer relationship management (CRM) systems to collect, manage and collaborate customer information with our teams globally. Our CRM's also provide critical data to provide accurate forecasting and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Most of our hardware products are manufactured in our Princeton Junction, New Jersey facility. Our Princeton Junction facility includes the capabilities and personnel to fully produce all of our AE products and NDT Automation Ultrasonic equipment. We also design and manufacture automated ultrasonic systems and scanners in France.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Providing our asset protection solutions requires a highly-skilled and technically proficient employee base. As of December 31, 2018, we had approximately 5,700 employees worldwide, of which approximately 61% were based in the United States. Less than 1% of our employees in the United States are unionized. We believe that we have good relations with our employees.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business is seasonal. This seasonality relates primarily to our oil and gas business. U.S. refineries’ non-peak periods are generally in the fall, when they are retooling to produce more heating oil for winter, and in the spring, when they are retooling to produce more gasoline for summer. The peak periods for these customers are the summer and winter months, when they run at peak capacity and are not retooling or performing turnarounds or shut downs. As a result, our revenues in the summer and winter months are typically lower than our revenues in the fall and spring because demand for our asset protection solutions from the oil and gas as well as the fossil and nuclear power industries increases during their non-peak production periods. Because we are increasing our work in the fall and spring, our cash flows are lower in those quarters than in the summer and winter, as collections of receivables lag behind revenues. We expect that this seasonality will continue.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operate in a highly competitive, but fragmented, market. Our primary competitors are divisions of large companies and various small companies which generally are limited to a specific product or technology and focused on a niche market or geographic region. We believe that few, if any, of our competitors currently provide the full range of asset protection and NDT products, enterprise software (PCMS) and the traditional and advanced services solutions that we offer. Our competition with respect to NDT services include the Acuren division of Rockwood Service Corporation, SGS Group, the Team Qualspec division of Team, Inc. and APPLUS RTD. Our competition with respect to our PCMS software includes UltraPIPE, Lloyd’s Register Capstone, Inc. and Meridium Systems. In the traditional NDT market, we believe the principal competitive factors include project management, availability of qualified personnel, execution, price, reputation and quality; whereas in the advanced NDT market, reputation, quality and size tend to be the most significant competitive factors. We believe that the NDT market has significant barriers to entry which would make it difficult for new competitors to enter the market. These barriers include: (1) having to acquire or develop advanced NDT services, products and systems technologies, which in our case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occurred over many years of customer engagements and at significant internal research and development expense, (2) complex regulations and safety codes that require significant industry experience, (3) license requirements and evolved quality and safety programs, (4) costly and time-consuming certification processes, (5) capital requirements and (6) emphasis by large customers on size and critical mass, length of relationship and past service record.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research and development is principally conducted by engineers and scientists at our Princeton Junction, New Jersey headquarters, and supplemented by other employees in the United States and throughout the world, including France, Greece the United Kingdom, Brazil and the Netherlands. Our total professional staff includes employees who hold Ph.D.’s and engineers and employees who hold Level III certification, the highest level of certification from the American Society of Non-Destructive Testing (ASNT).</w:t>
      </w:r>
    </w:p>
    <w:p>
      <w:pPr>
        <w:spacing w:after="0" w:line="9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MISTRAS makes strategic R&amp;D investments in technologies that support integration with our other solution offerings to enhance cost- and time-efficiencies, maximize uptime and safety and improve the flow of data from field technicians to inspection databases. We are investing resources in the development of MISTRAS Digital, an electronic platform that will digitally deliver field inspection assignments and related data, capture inspection results, and provide electronic reporting and productivity tracking. MISTRAS also invested significant R&amp;D in pre-machining and advanced testing technologies in a purpose-built facility for an aerospace customer, with the goal of reducing the customer’s production cycle logistics and costs.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work with customers to develop new products or applications for our technology, including:</w:t>
      </w:r>
    </w:p>
    <w:p>
      <w:pPr>
        <w:spacing w:after="0" w:line="144"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of new composites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Detecting crack propagation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Wireless and communications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permanently embedded inspection systems to provide continuous, online, in-service monitoring of critical structural components</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are reflected on our consolidated statements of income as research and engineering expenses. Our company-sponsored research and engineering expenses were approximately $3.3 million, $2.3 million, $1.6 million and $2.5 million for the years ended December 31, 2018 and 2017, the transition period ended December 31, 2016 and fiscal 2016, respectively. While we have historically funded most of our research and development expenditures, from time to time we also receive customer-sponsored research and development funding. Most of the projects are in our target markets; however, a few of the projects could lead to other future market opportunities.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ability to maintain and protect our proprietary technology and to conduct our business without infringing on the proprietary rights of others. We utilize a combination of intellectual property safeguards, including patents, copyrights, trademarks and trade secrets, as well as employee and third-party confidentiality agreements, to protect our intellectual property.</w:t>
      </w:r>
    </w:p>
    <w:p>
      <w:pPr>
        <w:spacing w:after="0" w:line="1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31, 2018, we held 4 U.S. patents (by direct ownership or exclusive licensing) which will expire at various times between 2021 and 2026 and 2 patents pending in the U.S. for applications filed in 2018, and license certain other patents. However, we do not principally rely on these patents or licenses to provide our proprietary asset protection solutions. Our trademarks and service marks provide us and our solutions with a certain amount of brand recognition in our markets. We do not consider any single patent, trademark or service mark material to our financial condition or results of operations.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2018, the primary trademarks and service marks that we held in the United States included MISTRAS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our stylized globe design.</w:t>
      </w:r>
    </w:p>
    <w:p>
      <w:pPr>
        <w:spacing w:after="0"/>
        <w:rPr>
          <w:sz w:val="20"/>
          <w:szCs w:val="20"/>
          <w:color w:val="auto"/>
        </w:rPr>
      </w:pPr>
      <w:r>
        <w:rPr>
          <w:rFonts w:ascii="Times New Roman" w:cs="Times New Roman" w:eastAsia="Times New Roman" w:hAnsi="Times New Roman"/>
          <w:sz w:val="18"/>
          <w:szCs w:val="18"/>
          <w:color w:val="auto"/>
        </w:rPr>
        <w:t>Other trademarks or service marks that we utilize in localized markets or product advertising include:</w:t>
      </w:r>
    </w:p>
    <w:p>
      <w:pPr>
        <w:spacing w:after="0" w:line="67"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Source for Asset Protection Solutions</w:t>
      </w:r>
      <w:r>
        <w:rPr>
          <w:rFonts w:ascii="Times New Roman" w:cs="Times New Roman" w:eastAsia="Times New Roman" w:hAnsi="Times New Roman"/>
          <w:sz w:val="25"/>
          <w:szCs w:val="25"/>
          <w:color w:val="auto"/>
          <w:vertAlign w:val="superscript"/>
        </w:rPr>
        <w:t>®</w:t>
      </w:r>
    </w:p>
    <w:p>
      <w:pPr>
        <w:ind w:left="660" w:hanging="328"/>
        <w:spacing w:after="0" w:line="185"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PCMS</w:t>
      </w:r>
      <w:r>
        <w:rPr>
          <w:rFonts w:ascii="Times New Roman" w:cs="Times New Roman" w:eastAsia="Times New Roman" w:hAnsi="Times New Roman"/>
          <w:sz w:val="25"/>
          <w:szCs w:val="25"/>
          <w:color w:val="auto"/>
          <w:vertAlign w:val="superscript"/>
        </w:rPr>
        <w:t>®</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Acoustics and the PAC logo</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Streamview™</w:t>
      </w:r>
    </w:p>
    <w:p>
      <w:pPr>
        <w:spacing w:after="0" w:line="9" w:lineRule="exact"/>
        <w:rPr>
          <w:rFonts w:ascii="Times New Roman" w:cs="Times New Roman" w:eastAsia="Times New Roman" w:hAnsi="Times New Roman"/>
          <w:sz w:val="18"/>
          <w:szCs w:val="18"/>
          <w:color w:val="auto"/>
        </w:rPr>
      </w:pPr>
    </w:p>
    <w:p>
      <w:pPr>
        <w:ind w:left="660" w:hanging="328"/>
        <w:spacing w:after="0" w:line="18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Ropeworks</w:t>
      </w:r>
      <w:r>
        <w:rPr>
          <w:rFonts w:ascii="Times New Roman" w:cs="Times New Roman" w:eastAsia="Times New Roman" w:hAnsi="Times New Roman"/>
          <w:sz w:val="25"/>
          <w:szCs w:val="25"/>
          <w:color w:val="auto"/>
          <w:vertAlign w:val="superscript"/>
        </w:rPr>
        <w:t>®</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Sensor Highway™</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Streamview</w:t>
      </w:r>
    </w:p>
    <w:p>
      <w:pPr>
        <w:spacing w:after="0" w:line="9" w:lineRule="exact"/>
        <w:rPr>
          <w:rFonts w:ascii="Times New Roman" w:cs="Times New Roman" w:eastAsia="Times New Roman" w:hAnsi="Times New Roman"/>
          <w:sz w:val="18"/>
          <w:szCs w:val="18"/>
          <w:color w:val="auto"/>
        </w:rPr>
      </w:pPr>
    </w:p>
    <w:p>
      <w:pPr>
        <w:ind w:left="660" w:hanging="328"/>
        <w:spacing w:after="0" w:line="18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TankPAC</w:t>
      </w:r>
      <w:r>
        <w:rPr>
          <w:rFonts w:ascii="Times New Roman" w:cs="Times New Roman" w:eastAsia="Times New Roman" w:hAnsi="Times New Roman"/>
          <w:sz w:val="25"/>
          <w:szCs w:val="25"/>
          <w:color w:val="auto"/>
          <w:vertAlign w:val="superscript"/>
        </w:rPr>
        <w:t>®</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CALIPERAY™</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VPAC</w:t>
      </w: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40"/>
          </w:cols>
          <w:pgMar w:left="240" w:top="121" w:right="31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Transformer Clinic™</w:t>
      </w:r>
    </w:p>
    <w:p>
      <w:pPr>
        <w:spacing w:after="0" w:line="36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Many elements of our asset protection solutions involve proprietary know-how, technology or data that are not covered by patents or patent applications because they are not patentable or would be difficult to enforce, including technical processes, equipment designs, algorithms and procedures. We believe that this proprietary know-how, technology and data is the most important component of our intellectual property used in our asset protection solutions, and is a primary differentiator of our solutions from those of our competitors. We rely on various trade secret protection techniques and agreements with our customers, service providers and vendors to protect these assets. All of our employees are subject to confidentiality requirements through our employee handbook. In addition, many of our employees have entered into confidentiality and proprietary information agreements with us. Our employee handbook and these agreements require our employees not to use or disclose our confidential information, to assign to us all of the inventions, designs and technologies they develop during the course of employment with us and to otherwise address intellectual property protection issues. We also seek confidentiality agreements from our customers and business partners before we disclose any sensitive aspects of our technologies or business strategies. We are not currently involved in any material intellectual property claims.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legal and regulatory requirements related to our operations worldwide. In the United States, these laws and regulations include, among others: the Comprehensive Environmental Response, Compensation, and Liability Act, the Resources Conservation and Recovery Act, the Clean Air Act, the Federal Water Pollution Control Act, the Toxic Substances Control Act, the Atomic Energy Act, the Energy Reorganization Act of 1974, and applicable regulations. In addition to the federal laws and regulations, states and other countries where we do business often have numerous environmental, legal and regulatory requirements by which we must abide. We evaluate and address the environmental impact of our operations by assessing properties in order to avoid future liabilities and comply with environmental, legal and regulatory requirements.</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received a notice in May 2015 that the U.S. Environmental Protection Agency (“EPA”) performed a preliminary assessment of a leased facility we operate in Cudahy, California. Based upon the preliminary assessment, the EPA conducted an investigation of the site. The purpose of the investigation is to determine whether any hazardous materials were released from the facility. We were informed that certain hazardous materials and pollutants have been found in the ground water in the general vicinity of the site and the EPA is attempting to ascertain the origination or source of these materials and pollutants. Given the historic industrial use of the site, the EPA determined that the site of our Cudahy facility should be examined along with numerous other sites in the vicinity. In addition, the California Department of Toxic Substances Control recently notified the owner of the property that it may perform additional investigation of the property. At this time, we are not able to determine whether we have any liability in connection with this matter and if so, the amount or range of any such liability.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our executive officers and other key employees as of December 31, 2018 and their background and experience:</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Borders>
              <w:bottom w:val="single" w:sz="8" w:color="CCEEFF"/>
            </w:tcBorders>
          </w:tcPr>
          <w:p>
            <w:pPr>
              <w:spacing w:after="0"/>
              <w:rPr>
                <w:sz w:val="16"/>
                <w:szCs w:val="16"/>
                <w:color w:val="auto"/>
              </w:rPr>
            </w:pPr>
          </w:p>
        </w:tc>
        <w:tc>
          <w:tcPr>
            <w:tcW w:w="6720" w:type="dxa"/>
            <w:vAlign w:val="bottom"/>
            <w:tcBorders>
              <w:bottom w:val="single" w:sz="8" w:color="auto"/>
            </w:tcBorders>
          </w:tcPr>
          <w:p>
            <w:pPr>
              <w:ind w:left="31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49"/>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Sotirios J. Vahaviolos</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Chairman and Director</w:t>
            </w:r>
          </w:p>
        </w:tc>
      </w:tr>
      <w:tr>
        <w:trPr>
          <w:trHeight w:val="243"/>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Dennis Bertolotti</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Edward J. Prajzner</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tc>
      </w:tr>
      <w:tr>
        <w:trPr>
          <w:trHeight w:val="243"/>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Michael C. Keefe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25"/>
        </w:trPr>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Michael J. Lange</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shd w:val="clear" w:color="auto" w:fill="CCEEFF"/>
          </w:tcPr>
          <w:p>
            <w:pPr>
              <w:spacing w:after="0"/>
              <w:rPr>
                <w:sz w:val="19"/>
                <w:szCs w:val="19"/>
                <w:color w:val="auto"/>
              </w:rPr>
            </w:pPr>
          </w:p>
        </w:tc>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Chairman, Senior Executive Vice President of Global Business Development,</w:t>
            </w:r>
          </w:p>
        </w:tc>
      </w:tr>
      <w:tr>
        <w:trPr>
          <w:trHeight w:val="241"/>
        </w:trPr>
        <w:tc>
          <w:tcPr>
            <w:tcW w:w="27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&amp; Strategic Planning, and Director</w:t>
            </w:r>
          </w:p>
        </w:tc>
      </w:tr>
      <w:tr>
        <w:trPr>
          <w:trHeight w:val="243"/>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Jonathan H. Wolk</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Executive Vice President and Chief Operating Officer</w:t>
            </w:r>
          </w:p>
        </w:tc>
      </w:tr>
    </w:tbl>
    <w:p>
      <w:pPr>
        <w:spacing w:after="0" w:line="223"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Sotirios J. Vahaviolos </w:t>
      </w:r>
      <w:r>
        <w:rPr>
          <w:rFonts w:ascii="Times New Roman" w:cs="Times New Roman" w:eastAsia="Times New Roman" w:hAnsi="Times New Roman"/>
          <w:sz w:val="18"/>
          <w:szCs w:val="18"/>
          <w:color w:val="auto"/>
        </w:rPr>
        <w:t>has been Executive Chairman since August 10, 2017. Prior to being named Executive Chairman, Dr. Vahaviolos had been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and Chief Executive Officer since he founded Mistras in 1978 under the name Physical Acoustics Corporation and was also our President until June 1, 2016. Prior to joining Mistras, Dr. Vahaviolos worked at AT&amp;T Bell Laboratories. Dr. Vahaviolos received a B.S. in Electrical Engineering and graduated first in his engineering class from Fairleigh Dickinson University and received Masters Degrees in Electrical Engineering and Philosophy and a Ph.D. (EE) from the Columbia University School of Engineering. During Dr. Vahaviolos’ career in non-destructive testing, he has been elected</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Fellow of The Institute of Electrical and Electronics Engineers, a member of The American Society for Nondestructive Testing (ASNT) where he served as its President from 1992-1993 and its Chairman from 1993-1994, a member of Acoustic Emission Working Group (AEWG) and an honorary life member of the International Committee for Nondestructive Testing. Additionally, he was the recipient of ASNT’s Gold Medal in 2001 and AEWG’s Gold Medal in 2005. He was also one of the six founders of NDT Academia International in 2008 headquartered in Brescia, Italy.</w:t>
      </w:r>
    </w:p>
    <w:p>
      <w:pPr>
        <w:spacing w:after="0" w:line="178"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Dennis Bertolotti </w:t>
      </w:r>
      <w:r>
        <w:rPr>
          <w:rFonts w:ascii="Times New Roman" w:cs="Times New Roman" w:eastAsia="Times New Roman" w:hAnsi="Times New Roman"/>
          <w:sz w:val="18"/>
          <w:szCs w:val="18"/>
          <w:color w:val="auto"/>
        </w:rPr>
        <w:t>joined Mistras when Conam Inspection Services was acquired in 2003, where Mr. Bertolotti was a Vice President at the time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Since then, Mr. Bertolotti has had increasing levels of responsibility with Mistras, and became our President and Chief Executive Officer and Director, effective August 10, 2017. From June 1, 2016 to August 9, 2017, Mr. Bertolotti was our President and Chief Operating Officer. Mr. Bertolotti has been in the NDT business for over 30 years, and previously held ASNT Level III certifications and various American Petroleum Institute, or API, certifications, and received his Associate of Science degree in NDT from Moraine Valley Community College in 1983. Mr. Bertolotti has also received a Bachelor of Science and MBA from Otterbein College.</w:t>
      </w:r>
    </w:p>
    <w:p>
      <w:pPr>
        <w:spacing w:after="0" w:line="18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Edward J. Prajzner </w:t>
      </w:r>
      <w:r>
        <w:rPr>
          <w:rFonts w:ascii="Times New Roman" w:cs="Times New Roman" w:eastAsia="Times New Roman" w:hAnsi="Times New Roman"/>
          <w:sz w:val="18"/>
          <w:szCs w:val="18"/>
          <w:color w:val="auto"/>
        </w:rPr>
        <w:t>joined Mistras in January 2018. Prior to joining Mistras, Mr. Prajzner worked at CECO Environmental Corp., a global service provider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 energy and filtration industries, and served as Chief Financial Officer and Secretary from 2014 to 2017, Vice President of Finance and Chief Accounting Officer from 2013 until his appointment as CFO in 2014, and Corporate Controller and Chief Accounting Officer from 2012 to 2013. Mr. Prajzner also served in senior finance roles at CDI Corporation (now AE Industrial Partners), and American Infrastructure (now Allan Myers). Mr. Prajzner began his career in public accounting at Ernst &amp; Young, received his B.S. in accountancy from Villanova University, his MBA in finance from Temple University and is a certified public accountant.</w:t>
      </w:r>
    </w:p>
    <w:p>
      <w:pPr>
        <w:spacing w:after="0" w:line="18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Michael C. Keefe </w:t>
      </w:r>
      <w:r>
        <w:rPr>
          <w:rFonts w:ascii="Times New Roman" w:cs="Times New Roman" w:eastAsia="Times New Roman" w:hAnsi="Times New Roman"/>
          <w:sz w:val="18"/>
          <w:szCs w:val="18"/>
          <w:color w:val="auto"/>
        </w:rPr>
        <w:t>joined Mistras in December 2009. Prior to joining Mistras, Mr. Keefe worked at International Fight League, a publicly-traded sports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promotion company, from 2007 until 2009, in various executive positions. From 1990 until 2006, Mr. Keefe served in various legal roles with Lucent Technologies and AT&amp;T, the last four years as Vice President, Corporate and Securities Law and Assistant Secretary. Mr. Keefe received a BS in Business Administration (Accounting) from Seton Hall University and a J.D. from Seton Hall University School of Law.</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Michael J. Lange </w:t>
      </w:r>
      <w:r>
        <w:rPr>
          <w:rFonts w:ascii="Times New Roman" w:cs="Times New Roman" w:eastAsia="Times New Roman" w:hAnsi="Times New Roman"/>
          <w:sz w:val="18"/>
          <w:szCs w:val="18"/>
          <w:color w:val="auto"/>
        </w:rPr>
        <w:t>joined Mistras when we acquired Quality Services Laboratories in November 2000, and was elected a Director in 2003. Mr. Lange has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executive level positions with Mistras, becoming Vice Chairman in July 2015 and Senior Executive Vice President, effective June 1, 2016. Mr. Lange is a well-recognized authority in Radiography and has held an ASNT Level III Certificate for almost 20 years. Mr. Lange received an Associate of Science degree in NDT from the Spartan School of Aeronautics.</w:t>
      </w:r>
    </w:p>
    <w:p>
      <w:pPr>
        <w:spacing w:after="0" w:line="18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Jonathan H. Wolk </w:t>
      </w:r>
      <w:r>
        <w:rPr>
          <w:rFonts w:ascii="Times New Roman" w:cs="Times New Roman" w:eastAsia="Times New Roman" w:hAnsi="Times New Roman"/>
          <w:sz w:val="18"/>
          <w:szCs w:val="18"/>
          <w:color w:val="auto"/>
        </w:rPr>
        <w:t>joined Mistras in November 2013 and served as Executive Vice President, Chief Financial Officer and Treasurer until August 10, 2017,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Mr. Wolk became Senior Executive Vice President and Chief Operating Officer. Mr. Wolk was also acting Chief Financial Officer from August 10, 2017 until the appointment of Mr. Prajzner on January 5, 2018. Prior to joining Mistras, Mr. Wolk served as Senior Vice President, Chief Financial Officer and Secretary of American Woodmark Corporation from 2004 until August 2013. Prior to American Woodmark, he served as the Chief Financial Officer and Treasurer of Tradecard, Inc., from 2000 to 2004, and was the global controller of GE Capital Real Estate from 1998 to 2000. Mr. Wolk started his career in public accounting at KPMG, received his B.S. in accounting from State University of New York-Albany and is a certified public accountant.</w:t>
      </w:r>
    </w:p>
    <w:p>
      <w:pPr>
        <w:spacing w:after="0" w:line="18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executive officers are elected by, and serve at the discretion of, our board of directors. There are no family relationships among any of our directors or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Website and Available Information</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www.mistrasgroup.com.</w:t>
      </w:r>
      <w:r>
        <w:rPr>
          <w:rFonts w:ascii="Times New Roman" w:cs="Times New Roman" w:eastAsia="Times New Roman" w:hAnsi="Times New Roman"/>
          <w:sz w:val="18"/>
          <w:szCs w:val="18"/>
          <w:color w:val="auto"/>
        </w:rPr>
        <w:t xml:space="preserve"> We file reports with the SEC, including Quarterly Reports on Form 10-Q, Annual Reports on Form 10-K, Current Reports on Form 8-K and Proxy Statements. All of the materials we file with or furnish to the SEC are available free of charge on our website at http://investors.mistrasgroup.com/sec.cfm, as soon as reasonably practicable after having been electronically submitted to the SEC. Information contained on or connected to our website is not incorporated by reference into this Annual Report on Form 10-K and should not be considered part of this report or any other filing with the SEC. All of our SEC filings are also available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In addition, materials we file with the SEC may be read and copied at the SEC’s Public Reference Room at 100 F Street, NE, Washington, DC 20549. The public may obtain information on the operation of the Public Reference Room by calling the SEC at 1-800-SEC-0330.</w:t>
      </w:r>
    </w:p>
    <w:p>
      <w:pPr>
        <w:spacing w:after="0" w:line="39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section describes the major risks to us, our business and our common stock. You should carefully read and consider the risks described below, together with the other information contained in this Annual Report, including our financial statements and the notes thereto and “Management’s Discussion and Analysis of Financial Condition and Results of Operations”(MD&amp;A) before making an investment decision. The statements contained in this section constitute cautionary statements under the Private Securities Litigation Reform Act of 1995. If any of these risks occur, our business, financial condition, results of operations and future growth prospects may be adversely affected. As a result, the trading price of our common stock would likely decline, and you may lose all or part of your investment. You should understand that it is not possible to predict or identify all risk factors that could impact us. Accordingly, you should not consider the following to be a complete discussion of all risks and uncertainties pertaining to us and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growth strategy includes acquisitions. We may not be able to identify suitable acquisition candidates or integrate acquired businesses successfully, which may adversely impact our results. Furthermore, acquisitions that we do complete could expose us to a number of unanticipated operational and financial risks.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significant factor in our growth has been and will continue to be based upon our ability to make acquisitions and successfully integrate these acquired businesses. We intend to continue to seek additional acquisition opportunities, both to expand into new markets and to enhance our position in existing markets. This strategy has provided us with many benefits and has helped fuel our growth, but also carries with it many risks. Some of the risks associated with our acquisition strategy include:</w:t>
      </w:r>
    </w:p>
    <w:p>
      <w:pPr>
        <w:spacing w:after="0" w:line="180"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successfully identify suitable acquisition candidates, negotiate appropriate acquisition terms, and complete proposed acquisitions;</w:t>
      </w:r>
    </w:p>
    <w:p>
      <w:pPr>
        <w:spacing w:after="0" w:line="2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successfully integrate acquired businesses into our current operations, including our accounting, internal control and information technology systems, marketing and other key infrastructure;</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adequately capture opportunities that an acquired business may offer, including the expansion into new markets in which we have little to no experience or presence;</w:t>
      </w:r>
    </w:p>
    <w:p>
      <w:pPr>
        <w:spacing w:after="0" w:line="1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value an acquired business properly when determining the purchase price and terms, and whether we are able to achieve the returns on the investment we expect;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 acquired business can achieve levels of revenues, profitability, productivity or cost savings we expect;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 acquired business is compatible with our culture and philosophy of doing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unexpected loss of key personnel and customers of an acquired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liabilities and risks (including environmental-related costs) of an acquired business, some of which may not be anticipated;</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ongoing business and distraction of management and other personnel of us and the acquired business resulting from the efforts to acquire, then integrate, an acquired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greater exposure to risks associated with international operations; and</w:t>
      </w:r>
    </w:p>
    <w:p>
      <w:pPr>
        <w:spacing w:after="0" w:line="225" w:lineRule="exact"/>
        <w:rPr>
          <w:rFonts w:ascii="Times New Roman" w:cs="Times New Roman" w:eastAsia="Times New Roman" w:hAnsi="Times New Roman"/>
          <w:sz w:val="18"/>
          <w:szCs w:val="18"/>
          <w:color w:val="auto"/>
        </w:rPr>
      </w:pPr>
    </w:p>
    <w:p>
      <w:pPr>
        <w:ind w:left="660" w:right="180" w:hanging="328"/>
        <w:spacing w:after="0" w:line="313" w:lineRule="auto"/>
        <w:tabs>
          <w:tab w:leader="none" w:pos="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and cost of funding (including borrowings under our credit agreement) to acquire and integrate other businesses (some of which may require substantial funding) and the impact of the acquisition and borrowing on our continued compliance with covenants in our credit agreement.</w:t>
      </w:r>
    </w:p>
    <w:p>
      <w:pPr>
        <w:spacing w:after="0" w:line="13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Our ability to undertake acquisitions is limited by our financial resources, including available cash and borrowing capacity. Future acquisitions could result in potentially dilutive issuances of equity securities, the incurrence of substantial additional indebtedness and other expenses, any of which could adversely impact our financial condition and results of operations. Although management intends to: (i) evaluate the risks inherent in any particular transaction,</w:t>
      </w:r>
    </w:p>
    <w:p>
      <w:pPr>
        <w:spacing w:after="0" w:line="2" w:lineRule="exact"/>
        <w:rPr>
          <w:sz w:val="20"/>
          <w:szCs w:val="20"/>
          <w:color w:val="auto"/>
        </w:rPr>
      </w:pPr>
    </w:p>
    <w:p>
      <w:pPr>
        <w:ind w:left="280" w:hanging="272"/>
        <w:spacing w:after="0"/>
        <w:tabs>
          <w:tab w:leader="none" w:pos="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only risks management believes to be acceptable, and (iii) develop plans to mitigate such risks, there are no assurances that we will properly</w:t>
      </w:r>
    </w:p>
    <w:p>
      <w:pPr>
        <w:spacing w:after="0" w:line="9" w:lineRule="exact"/>
        <w:rPr>
          <w:rFonts w:ascii="Times New Roman" w:cs="Times New Roman" w:eastAsia="Times New Roman" w:hAnsi="Times New Roman"/>
          <w:sz w:val="18"/>
          <w:szCs w:val="18"/>
          <w:color w:val="auto"/>
        </w:rPr>
      </w:pPr>
    </w:p>
    <w:p>
      <w:pPr>
        <w:ind w:right="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ascertain or accurately assess the extent of all such risks. Difficulties encountered with acquisitions may adversely impact our business, financial condition and results of operations.</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60"/>
          </w:cols>
          <w:pgMar w:left="240" w:top="121" w:right="29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we have a significant amount of goodwill and other intangible assets on our balance sheet from our acquisitions. This will increase as we complete more acquisitions. If our acquisitions do not perform as planned and we do not realize the benefits and profitability we expect, we could incur significant write-downs and impairment charges to our earnings due to the impairment of the goodwill and other intangible assets we have acquired or acquire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are subject to risks relating to non-U.S. operations.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2018 and 2017, the transition period ended December 31, 2016 and fiscal 2016, we generated approximately 34%, 33%, 36% and 28% of our revenues outside the United States, respectively. In addition, our international operations as a percentage of our business may increase over time. Our primary operations outside the United States are in Canada, Germany, France, the United Kingdom and Brazil. We also have operations in the Netherlands, Belgium, Greece and India. There are numerous risks inherent in doing business in international markets, including:</w:t>
      </w:r>
    </w:p>
    <w:p>
      <w:pPr>
        <w:spacing w:after="0" w:line="180"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interest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regional and geopolitical business and economic conditions and demands;</w:t>
      </w:r>
    </w:p>
    <w:p>
      <w:pPr>
        <w:spacing w:after="0" w:line="225"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foreign regulations and licensing requirements, and U.S. laws and regulation with respect to our business in other countries, including export controls and anti-bribery laws;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uncertainty of obtaining data and creating solutions that are relevant to particular geographic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provide sufficient levels of technical support in different locations;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maintaining effective policies and procedures in locations around the world;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and civil unrest;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limitations on outsourcing contracts or services abroad;</w:t>
      </w:r>
    </w:p>
    <w:p>
      <w:pPr>
        <w:spacing w:after="0" w:line="225"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United Kingdom exiting the European Union; the ultimate effects of Brexit on the Company are difficult to predict. The Company currently has subsidiaries that operate in the United Kingdom and Europe and our UK subsidiary and other European subsidiaries from time to time share employees and equipment. Brexit will make this sharing of employees and equipment more time consuming and expensive, which could cause disruptions and adversely affect the Company’s financial condition, operating results and cash flows.</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limitations on the repatriation of funds, or tax consequences on the non-repatriation of overseas operationally generated funds;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potentially adverse tax consequences.</w:t>
      </w:r>
    </w:p>
    <w:p>
      <w:pPr>
        <w:spacing w:after="0" w:line="22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dependency on customers in the oil and gas industry, we are susceptible to prolonged negative trends relating to this industry that could adversely affect our operating results.</w:t>
      </w:r>
    </w:p>
    <w:p>
      <w:pPr>
        <w:spacing w:after="0" w:line="15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Our customers in the oil and gas industry (including the petrochemical market) have accounted for a substantial portion of our historical revenues. Specifically, they accounted for approximately 56%, 58%, 55% and 56% of our revenues for the years ended December 31, 2018 and 2017, the transition period ended December 31, 2016 and fiscal 2016, respectively. Although we have expanded our customer base into industries other than the oil and gas industry, we still receive approximately half of our revenues from this industry. Our services are vital to the operators of plants and refineries and we have expanded our services offerings, such as expanding our mechanical services capabilities. However, economic slowdowns or low oil prices have, and could continue to, result in cutbacks in contracts for our services. In addition, low oil prices could depress the level of new exploration and construction, which would adversely affect our market opportunities. If the oil and gas industry were to continue to operate in a market with low oil prices, our revenues, profits and cash flows may be reduced. While we continue to expand our market presence in the aerospace, power generation and transmission, and the chemical processing industries, among others, these markets are also cyclical in nature and as such, are subject to economic downturns.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continue expanding and our success depends on how effectively we manage our growth.</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21" w:right="25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expect to continue experiencing growth, including through acquisitions, in the number of employees and the scope of our operations over the long-term. To effectively manage our anticipated future growth, we must continue to implement and improve our managerial, operational, compliance, financial and reporting systems and capabilities, expand our facilities and continue to recruit and train additional qualified personnel. We expect that all these measures will require significant expenditures and will demand the attention of management. Failure to manage our growth effectively could lead us to over or under-invest in technology and operations, result in weaknesses in our infrastructure, systems, compliance programs or controls, and give rise to operational mistakes, the loss of business opportunities, the loss of employees and reduced productivity among remaining employees. Our expected growth could require significant capital expenditures and may divert financial resources from other projects, such as the development of new solutions. If our management is unable to effectively manage our expected growth, our expenses may increase more than expected, our profit margins may suffer, our revenues could decline or may grow more slowly than expected and we may be unable to implement our business strategy as anticipated.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could be adversely affected by a reduction in business with our significant customers.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derive a significant amount of revenues from a few customers. Taken as a group, our top ten customers were responsible for approximately 34%, 38%, 37% and 36% of our revenues for the years ended December 31, 2018 and 2017, the transition period ended December 31, 2016 and fiscal 2016, respectively. This concentration pertains almost exclusively to our Services segment, which accounted for more than 70% of our revenues for the years ended December 31, 2018 and 2017, the transition period ended December 31, 2016 and fiscal 2016. These customers are primarily in the oil and gas sector. Generally, our customers do not have an obligation to make purchases from us and may stop ordering our products and services or may terminate existing orders or contracts at any time with little or no financial penalty. The loss of any of our significant customers, any substantial decline in sales to these customers or any significant change in the timing or volume of purchases by our customers could result in lower revenues and could harm our business, financial condition or results of operations.</w:t>
      </w:r>
    </w:p>
    <w:p>
      <w:pPr>
        <w:spacing w:after="0" w:line="18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accident or incident involving our asset protection solutions could expose us to claims, harm our reputation and adversely affect our ability to compete for business and, as a result, harm our operating performance.</w:t>
      </w:r>
    </w:p>
    <w:p>
      <w:pPr>
        <w:spacing w:after="0" w:line="15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could be exposed to liabilities arising out of the solutions we provide. For instance, we furnish the results of our testing and inspections for use by our customers in their assessment of their assets, facilities, plants and other structures. If such results were to be incorrect or incomplete, as a result of, for instance, poorly designed inspections, malfunctioning testing equipment or our employees’ failure to adequately test or properly record data, we could be subject to claims. Further, if an accident or incident involving a structure we tested occurs and causes personal injuries or property damage, such as the collapse of a bridge or an explosion in a facility, and particularly if these injuries or damages could have been prevented by our customers had we provided them with correct or complete results, we would likely face significant claims relating to personal injury, property damage or other losses. Even if our results are correct and complete, we may face claims for such injuries or damage simply because we tested the structure or facility in question. While we do have insurance, our insurance coverage may not be adequate to cover the damages from any such claims, forcing us to bear these uninsured damages directly, which could harm our operating results and may result in additional expenses and possible loss of revenues. An accident or incident for which we are found partially or fully responsible, even if fully insured, or even an incident at a customer or site for which we provide services although we were found not to be responsible, may also result in negative publicity, which would harm our reputation among our customers and the public, cause us to lose existing and future contracts or make it more difficult for us to compete effectively, thereby significantly harming our operating performance. In addition, the occurrence of an accident or incident might also make it more expensive or extremely difficult for us to insure against similar events in the future.</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the sites at which we work are inherently dangerous workplaces. If we fail to maintain a safe work environment, we may incur losses and lose business.</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Many of our customers, particularly in the oil and gas and chemical industries, require their inspectors and other contractors working at their facilities to have good safety records because of the inherent danger at these sites. If our employees are injured at the work place, we will incur costs for the injuries and lost productivity. In addition, safety records are impacted by the number and amount of workplace incidents involving a contractor’s employees. If our safety record is not within the levels required by our customers, or compares unfavorably to our competitors, we could lose business, be prevented from working at certain facilities or suffer other adverse consequences, all of which could negatively impact our business, revenues, reputation and profitability.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risks regarding our information technology and security.</w:t>
      </w:r>
    </w:p>
    <w:p>
      <w:pPr>
        <w:spacing w:after="0" w:line="2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Significant disruptions of our information technology systems or breaches of information security could adversely affect our business. We rely upon information technology systems to operate many parts of our business. We routinely collect, store and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transmit large amounts of sensitive or confidential information, including data from the results of our testing and inspections. We deploy and operate various technical and procedural controls to maintain the confidentiality and integrity of such sensitive or confidential information. In addition, we rely on third parties for significant elements of our information technology infrastructure and, as a result, we are managing many independent vendor relationships with third parties who may or could have access to our confidential information. The size and complexity of our information technology and information security systems, and those of our third-party vendors with whom we contract (and the large amounts of confidential information that is present on them), make such systems potentially vulnerable to service interruptions or to security breaches from inadvertent or intentional actions by our employees or vendors, or from attacks by malicious third parties. Such attacks are of ever-increasing levels of sophistication and expertise, including organized criminal groups, “hacktivists,” and others. Due to the nature of some of these attacks, there is a risk that they may remain undetected for a period of time. While we have invested in the protection of data and information technology, there can be no assurance that our efforts will prevent service interruptions or security breaches. Any such interruption or breach of our systems could adversely affect our business operations and/or result in the loss of critical or sensitive confidential information, and could result in financial, legal, business and reputational harm to us. We maintain cyber liability insurance; however this insurance may not be sufficient to cover the financial, legal, business or reputational losses that may result from an interruption or breach of our systems. The occurrence or perception of security breaches in connection with our asset protection solutions or our customers’ concerns about internet security or the security of our solutions, whether warranted or not, would likely harm our reputation and business, inhibit market acceptance of our asset protection solutions and cause us to lose customers, any of which would harm our financial condition and results of operations.</w:t>
      </w:r>
    </w:p>
    <w:p>
      <w:pPr>
        <w:spacing w:after="0" w:line="197"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In addition, much of our computer and communications hardware is located at a single facility. We have a back-up data-center and storage in a different geographic area. Should a natural disaster or some other event occur that damages our primary data center or significantly disrupts its operation, such as human error, fire, flood, power loss, telecommunications failure, break-ins, terrorist attacks, acts of war and similar events, we could suffer temporary interruption of key functions and capabilities before the back-up facility is fully operational.</w:t>
      </w:r>
    </w:p>
    <w:p>
      <w:pPr>
        <w:spacing w:after="0" w:line="1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a sufficient number of trained certified technicians, engineers and scientists at competitive wages, our operational performance may be harmed and our costs may increase.</w:t>
      </w:r>
    </w:p>
    <w:p>
      <w:pPr>
        <w:spacing w:after="0" w:line="1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believe that our success depends, in part, upon our ability to attract, develop and retain a sufficient number of trained certified technicians, engineers and scientists at competitive wages. The demand for such employees fluctuates as the demand for NDT and inspection services fluctuates. When the demand for qualified technicians increases, we will often experience increased labor costs, which we may not recover in the amounts we can charge our customers. The markets for our products and services require us to use personnel trained and certified in accordance with standards set by domestic or international standard-setting bodies, such as the American Society of Non-Destructive Testing or the American Petroleum Institute. Because of the limited supply of these certified technicians, we expend substantial resources maintaining in-house training and certification programs. If we fail to attract sufficient new personnel or fail to motivate and retain our current personnel, our ability to perform under existing contracts and orders or to pursue new business may be harmed, preventing us from growing our business or causing us to lose customers and revenues, and the costs of performing such contracts and orders may increase, which would likely reduce our margins.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competitive markets and if we are unable to compete successfully, we could lose market share and revenues and our margins could decline.</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face strong competition from NDT and a variety of niche asset protection providers, both larger and smaller than we are. Some of our competitors have greater financial resources than we do and could focus their substantial financial resources to develop a competing business model or develop products or services that are more attractive to potential customers than what we offer. Some of our competitors are business units of companies substantially larger than us and could attempt to combine asset protection solutions into an integrated offering to customers who already purchase other types of products or services from them. Our competitors may offer asset protection solutions at lower prices than ours in order to attempt to gain market share. Smaller niche competitors with small customer bases could be aggressive in their pricing in order to retain customers. These competitive factors could reduce our market share, revenues and profits.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to the participation in multi-employer pension plans by our subsidiaries, these subsidiaries may face withdrawal liability.</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Some of our workforce is unionized and the terms of employment for these workers are governed by collective bargaining agreements, or CBAs. Under these CBAs, we are required to contribute to the national pension funds for the unions representing these employees, which are multi-employer pension plans. Significant reductions in contributions to these pension plans, or events that result in our subsidiaries no longer contributing to these pension plans, can result in a complete or partial</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withdrawal liability under ERISA, which can be significant and adversely impact our earnings and cash flow. We incurred a $5.9 million charge in 2018 because of such a potential liability.</w:t>
      </w:r>
    </w:p>
    <w:p>
      <w:pPr>
        <w:spacing w:after="0" w:line="15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Events such as natural disasters, industrial accidents, epidemics, war and acts of terrorism, and adverse weather conditions could disrupt our business or the business of our customers, which could significantly harm our operations, financial results and cash flow.</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operations and those of our customers are susceptible to the occurrence of catastrophic events outside our control, ranging from severe weather conditions to acts of war and terrorism. Any such events could cause a serious business disruption that reduces our customers’ need or interest in purchasing our asset protection solutions. In the past, such events have resulted in order cancellations and delays because customer equipment, facilities or operations have been damaged, or are not then operational or available. A large portion of our customer base has operations in the Gulf of Mexico, which is subject to hurricanes and tropical storms. Hurricane-related disruptions to our customers’ operations have adversely affected our revenues in the past. Such events in the future may result in substantial delays in the provision of solutions to our customers and the loss of valuable equipment. In addition, our results can be adversely impacted by severe winter weather conditions, which can result in lost work days and temporary closures of customer facilities or outdoor projects. Any cancellations, delays or losses due to such events may significantly reduce our revenues and harm our operating performance.</w:t>
      </w:r>
    </w:p>
    <w:p>
      <w:pPr>
        <w:spacing w:after="0" w:line="18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key members of our senior management team upon whom we are dependent, we may be less effective in managing our operations and may have more difficulty achieving our strategic objectives.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future success depends to a considerable degree upon the availability, contributions, vision, skills, experience and effort of our senior management team. We have in place various compensation programs, such as an annual cash incentive program, equity incentive program and a severance policy, each designed to incentivize and retain our key senior managers. At this time, we do not have any reason to believe that we may lose the services of any of these key persons in the foreseeable future and we believe our compensation programs will help us retain these individuals. We believe we have sufficient depth in our executive management to continue our success if we were to lose the services of an executive. However, an unplanned loss or interruption of the service of numerous key members of our senior management team could harm our business, financial condition and results of operations and could significantly reduce our ability to manage our operations and implement our strategy.</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privacy and data security/protection laws in the jurisdictions in which we operate and may be exposed to substantial costs and liabilities associated with such laws and regulations.</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regulatory environment surrounding information security and privacy is increasingly demanding, with frequent imposition of new and changing requirements. The European Union's General Data Protection Regulation (“GDPR”), which became effective in May 2018, imposed significant new requirements on how companies process and transfer personal data, as well as significant fines for non-compliance. Compliance with changes in privacy and information security laws and standards may result in significant expense due to increased investment in technology and the development of new operational processes, which could have a material adverse effect on our financial condition and results of operations. In addition, the payment of potentially significant fines or penalties in the event of a breach of the GDRP or other privacy and information security laws, as well as the negative publicity associated with such a breach, could damage the Company’s reputation and adversely impact product demand and customer relationships.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Deteriorations in economic conditions in certain markets or other factors may cause us to recognize impairment charges for our goodwill.</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December 31, 2018, the carrying amount of our goodwill was approximately $279 million, of which approximately $36 million relates to our International segment. A significant portion of our International segment are concentrated in Europe and Brazil. Significant deterioration in industry or economic conditions in which we operate, disruptions to our business, not effectively integrating acquired businesses, or other factors, may cause impairment charges to goodwill in future periods.</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businesses depends, in part, on our ability to develop new asset protection solutions, increase the functionality of our current offerings and meet the needs and demands of our customers.</w:t>
      </w:r>
    </w:p>
    <w:p>
      <w:pPr>
        <w:spacing w:after="0" w:line="15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market for asset protection solutions is impacted by technological change, uncertain product lifecycles, shifts in customer demands and evolving industry standards and regulations. We may not be able to successfully develop and market new asset protection solutions that comply with present or emerging industry regulations and technology standards. Also, new regulations or technology standards could increase our cost of doing business.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From time to time, our customers have requested greater value and functionality in our solutions. As part of our strategy to enhance our asset protection solutions and grow our business, we continue to make investments in the research and development of new technologies, inspection tools and methodologies. We believe our future success will depend, in part, on our ability to continue to design new, competitive and broader asset protection solutions, enhance our current solutions and provide new, value-added services. Many traditional NDT and inspection services are subject to price competition by our customers. Accordingly, the need to demonstrate our value-added services is becoming more important. Developing new solutions will require continued investment, and we may experience unforeseen technological or operational challenges. In addition, our asset protection software is complex and can be expensive to develop, and new software and software enhancements can require long development and testing periods. If we are unable to develop new asset protection solutions or enhancements that meet market demands on a timely basis, we may experience a loss of customers or otherwise be likely to lose opportunities to earn revenues and to gain customers or access to markets, and our business and results of operations will be adversely affected.</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Even if we develop new solutions, if our customers, or potential customers, do not see the value our solutions have over competing products and services, our operating results could be adversely impacted. In addition, because the asset protection solutions industry is rapidly evolving, we could lose insight into trends that may be emerging, which would further harm our competitive position by making it difficult to predict and respond to customer needs. If the market for our asset protection solutions does not continue to develop, our ability to grow our business would be limited and we might not be able to maintain profitability. If we cannot convince our customers of the advantages and value of our advanced NDT services, we could lose large contracts or suffer lower profit margin.</w:t>
      </w:r>
    </w:p>
    <w:p>
      <w:pPr>
        <w:spacing w:after="0" w:line="184"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software or system produces inaccurate information or are incompatible with the systems used by our customers and make us unable to successfully provide our solutions, it could lead to a loss of revenues and customers.</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software and systems are complex and, accordingly, may contain undetected errors or failures. Software or system defects or inaccurate data may cause incorrect recording, reporting or display of information related to our asset protection solutions. Any such failures, defects and inaccurate data may prevent us from successfully providing our asset protection solutions, which could result in lost revenues. Software or system defects or inaccurate data may lead to customer dissatisfaction and could cause our customers to seek to hold us liable for any damages incurred. As a result, we could lose customers, our reputation may be harmed and our financial condition and results of operations could be materially adversely affected.</w:t>
      </w:r>
    </w:p>
    <w:p>
      <w:pPr>
        <w:spacing w:after="0" w:line="1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currently serve a commercial, industrial and governmental customer base that uses a wide variety of constantly changing hardware, software solutions and operating systems. Our asset protection solutions need to interface with these non-standard systems in order to gather and assess data. Our business depends on the following factors, among others:</w:t>
      </w:r>
    </w:p>
    <w:p>
      <w:pPr>
        <w:spacing w:after="0" w:line="176"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our technology with new and existing hardware and software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support new standards, especially internet-based standards;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additional software modules under development with our existing technology and operational processes.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are unable to adequately address any of these factors, our results of operations and prospects for growth and profitability would be adversely impacted.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seasonal nature of our business reduces our revenues and profitability in the winter and summer.</w:t>
      </w:r>
    </w:p>
    <w:p>
      <w:pPr>
        <w:spacing w:after="0" w:line="22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Our business is seasonal. The fall and spring revenues are typically higher than our revenues in the winter and summer because demand for our asset protection solutions from the oil and gas as well as the fossil and nuclear power industries increases during their non-peak production periods. For instance, U.S. refineries’ non-peak periods are generally in the fall, when they are retooling to produce more heating oil for winter, and in the spring, when they are retooling to produce more gasoline for summer. As a result of these trends, we generally have reduced cash flows in the fall and spring, as collections of receivables lag behind revenues, possibly requiring us to borrow under our credit agreement. In addition, most of our operating expenses, such as employee compensation and property rental expense, are relatively fixed over the short term. Moreover, our spending levels are based in part on our expectations regarding future revenues. As a result, if revenues for a particular quarter are below expectations, we may not be able to proportionately reduce operating expenses for that quarter. We expect that the impact of seasonality will continue.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the industries we currently serve, are currently subject to governmental regulation, and may become subject to modified or new government regulation that may negatively impact our ability to market our asset protection solutions.</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incur substantial costs in complying with various government regulations and licensing requirements. For example, the transportation and overnight storage of radioactive materials used in providing certain of our asset protection solutions such as radiography are subject to regulation under federal and state laws and licensing requirements. Our Services segment is currently licensed to handle radioactive materials by the U.S. Nuclear Regulatory Commission (NRC), over 20 state regulatory agencies and the Canadian Nuclear Safety Commission. If we allegedly fail to comply with these regulations, we may be investigated and incur significant legal expenses associated with such investigations, and if we are found to have violated these regulations, we may be fined or lose one or more of our licenses or permits, which would prevent or restrict our ability to provide radiography services. In addition, while we are investigated, we may be required to suspend work on the projects associated with our alleged noncompliance, resulting in loss of profits or customers, and damage to our reputation. Many of our customers have strict requirements concerning safety or loss time occurrences and if we are unable to meet these requirements it could result in lost revenues. In the future, governmental agencies may seek to change current regulations or impose additional regulations on our business. Any modified or new government regulation applicable to our current or future asset protection solutions may negatively impact the marketing and provision of those solutions and increase our costs of providing these solutions and have a corresponding adverse effect on our margins.</w:t>
      </w:r>
    </w:p>
    <w:p>
      <w:pPr>
        <w:spacing w:after="0" w:line="19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Additionally, greenhouse gases that result from human activities, including burning of fossil fuels, have been the focus of increased scientific and political scrutiny and are being subjected to various legal requirements. International agreements, national laws, state laws and various regulatory schemes limit or otherwise regulate emissions of greenhouse gases, and additional restrictions are under consideration by different governmental entities. We derive a significant amount of revenues and profits from such industries, including oil and gas, power generation and transmission, and chemicals processing. Such regulations could negatively impact our customers, which could negatively impact the market for the services and products we provide. This could materially adversely affect our business, financial condition, results of operations and cash flows.</w:t>
      </w:r>
    </w:p>
    <w:p>
      <w:pPr>
        <w:spacing w:after="0" w:line="188"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We rely on certification of our NDT solutions by industry standards-setting bodies. We and/or our subsidiaries currently have International Organization for Standardization (ISO) 9001:2008 certification, ISO 14001:2004 certification and OHSAS 18001:2007 certification. In addition, we currently have NADCAP (formerly National Aerospace and Defense Contractors Accreditation Program) and similar certifications for certain of our locations. We continually review our NDT solutions for compliance with the requirements of industry specification standards and the NADCAP special processes quality requirements.</w:t>
      </w:r>
    </w:p>
    <w:p>
      <w:pPr>
        <w:spacing w:after="0" w:line="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However, if we fail to maintain our ISO, Nadcap or other certifications, our business may be harmed because our customers generally require that we have these certifications before they purchase our NDT solutions.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may impact our business and results of operations.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ability to compete effectively depends in part upon the maintenance and protection of the intellectual property related to our asset protection solutions. Patent protection is unavailable for certain aspects of the technology and operational processes important to our business and any patent or patent applications, trademarks or copyrights held by us or to be issued to us, may not adequately protect us. Some of our trademarks that are not in use may become available to others. To date, we have relied principally on copyright, trademark and trade secrecy laws, as well as confidentiality agreements and licensing arrangements, to establish and protect our intellectual property. However, we have not obtained confidentiality agreements from all our customers and vendors. Although we obligate our employees to confidentiality, we cannot be certain that these obligations will be honored or enforceable.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business growth, which might not be available.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intend to continue making investments to support our business growth and may require additional funds to respond to business challenges or opportunities, including the need to develop new, or enhance our current, asset protection solutions, enhance our operating infrastructure or acquire businesses and technologies. Accordingly, we may need to engage in equity or debt financings to secure additional funds. If we raise additional funds through further issuances of equity or convertible debt securities, our current stockholders could suffer significant dilution, and any new equity securities we issue could have rights, preferences and privileges superior to those of holders of our common stock. While our current credit facility is meeting our current needs, any debt 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 In addition, no assurance can be given that adequate or acceptable financing will be available to us, in which case we may not be able to grow our business, including through acquisitions, or respond to business challenges.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credit agreement contains financial and operating restrictions that may limit our access to credit. If we fail to comply with financial or other covenants in our credit agreement, we may be required to repay indebtedness to our existing lenders, which may harm our liquidity.</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credit agreement contains financial covenants that require us to maintain compliance with specified financial ratios. If we fail to comply with these covenants, the lenders could prevent us from borrowing under our credit agreement, require us to pay all amounts outstanding, require that we cash collateralize letters of credit issued under the credit agreement and restrict us from making acquisitions. If the maturity of our indebtedness is accelerated, we then may not have sufficient funds available for repayment or the ability to borrow or obtain sufficient funds to replace the accelerated indebtedness on terms acceptable to us, or at all.</w:t>
      </w:r>
    </w:p>
    <w:p>
      <w:pPr>
        <w:spacing w:after="0" w:line="1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current credit agreement also imposes restrictions on our ability to engage in certain activities, such as creating liens, making certain investments, incurring more debt, disposing of certain property, paying dividends and making distributions and entering into a new line of business. While these restrictions have not impeded our business operations to date, if our plans change, these restrictions could be burdensome or require that we pay fees to have the restrictions waived.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could fluctuate for numerous reasons, including variations in our results.</w:t>
      </w:r>
    </w:p>
    <w:p>
      <w:pPr>
        <w:spacing w:after="0" w:line="229"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Our quarterly operating results have fluctuated in the past and may do so in the future. Accordingly, we believe that period-to-period comparisons of our results of operations may be the best indicators of our business. You should not rely upon the results of one quarter as an indication of future performance. Our revenues and operating results may fall below the expectations of securities analysts or investors in any future period. Our failure to meet these expectations may cause the market price of our common stock to decline, perhaps substantially. Our quarterly revenues and operating results may vary depending on a number of factors, including those listed previously under “Risks Related to Our Business.” In addition, the price of our common stock is subject to general economic, market, industry, and competitive conditions, the risk factors discussed below and numerous other conditions outside of our control.</w:t>
      </w:r>
    </w:p>
    <w:p>
      <w:pPr>
        <w:spacing w:after="0" w:line="1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stockholder controls the direction of our business. The concentrated ownership of our common stock may prevent other stockholders from influencing significant corporate decisions.</w:t>
      </w:r>
    </w:p>
    <w:p>
      <w:pPr>
        <w:spacing w:after="0" w:line="1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Dr. Sotirios J. Vahaviolos, our founder and Executive Chairman, owns approximately 35% of our outstanding common stock. As a result, Dr. Vahaviolos has significant control over our Company and has the ability to exert substantial influence over all matters requiring approval by our shareholders, including the election and removal of directors, amendments to our certificate of incorporation, and any proposed merger, consolidation or sale of all or substantially all of our assets and other corporate transactions. This concentration of ownership could be disadvantageous to other shareholders with differing interests from Dr. Vahaviolos.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have no plans to pay dividends on our common stock.</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have not declared or paid any cash dividends on our common stock to date, and we do not anticipate declaring or paying any dividends on our common stock in the foreseeable future. To the extent we do not pay dividends on our common stock, investors must look solely to stock appreciation for a return on their investment.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eligible for future sale may cause the market price for our common stock to decline even if our business is doing well.</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Future sales by us or by our existing shareholders of substantial amounts of our common stock in the public market, or the perception that these sales may occur, could cause the market price of our common stock to decline. This could also impair our ability to raise additional capital in the future through the sale of our equity securities. Under our certificate of incorporation, we are authorized to issue up to 200,000,000 shares of common stock, of which approximately 28,563,000 shares of common stock were outstanding as of March 12, 2019. In addition, we have approximately 3,023,000 shares of common stock reserved for issuance related to stock options and restricted stock units that were outstanding as of March 12, 2019. We cannot predict the size of future issuances of our common stock or the effect, if any, that future sales and issuances of shares of our common stock, or the perception of such sales or issuances, would have on the market price of our common stock.</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charter, bylaws and of Delaware law could discourage, delay or prevent a change of control of our company, which may adversely affect the market price of our common stock.</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Certain provisions of our certificate of incorporation and bylaws could discourage, delay or prevent a merger, acquisition, or other change of control that stockholders may consider favorable, including transactions in which our stockholders might otherwise receive a premium for their shares. These provisions also could limit the price that investors might be willing to pay in the future for shares of our common stock, thereby depressing the market price of our common stock. Stockholders who wish to participate in these transactions may not have the opportunity to do so. Furthermore, these provisions could prevent or frustrate attempts by our stockholders to replace or remove our management. These provisions:</w:t>
      </w:r>
    </w:p>
    <w:p>
      <w:pPr>
        <w:spacing w:after="0" w:line="184"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directors to be changed only by resolution of our board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vacancies on the board of directors, including newly created directorships, be filled only by a majority vote of directors then in office;</w:t>
      </w:r>
    </w:p>
    <w:p>
      <w:pPr>
        <w:spacing w:after="0" w:line="2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stockholder approval, preferred stock that, if issued, could operate as a “poison pill” to dilute the stock ownership of a potential hostile acquirer to prevent an acquisition that is not approved by our board of directors;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by prohibiting stockholder action by written consent;</w:t>
      </w:r>
    </w:p>
    <w:p>
      <w:pPr>
        <w:spacing w:after="0" w:line="225" w:lineRule="exact"/>
        <w:rPr>
          <w:rFonts w:ascii="Times New Roman" w:cs="Times New Roman" w:eastAsia="Times New Roman" w:hAnsi="Times New Roman"/>
          <w:sz w:val="18"/>
          <w:szCs w:val="18"/>
          <w:color w:val="auto"/>
        </w:rPr>
      </w:pPr>
    </w:p>
    <w:p>
      <w:pPr>
        <w:ind w:left="660" w:right="100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 which may otherwise allow holders of less than a majority of stock to elect some directors; and</w:t>
      </w:r>
    </w:p>
    <w:p>
      <w:pPr>
        <w:spacing w:after="0" w:line="161"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nominations to our board of directors or for stockholder proposals that can be acted on at stockholder meetings and limit the right to call special meetings of stockholders to the Chairman of the Board, the Chief Executive Officer, the board of directors acting pursuant to a resolution adopted by a majority of directors or the Secretary upon the written request of stockholders entitled to cast not less than 35% of all the votes entitled to be cast at such meeting.</w:t>
      </w:r>
    </w:p>
    <w:p>
      <w:pPr>
        <w:spacing w:after="0" w:line="180"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Corporation Law, which may, unless certain criteria are met, prohibit large stockholders, in particular those owning 15% or more of our outstanding voting stock, from merging or combining with us for a prescribed period of time.</w:t>
      </w:r>
    </w:p>
    <w:p>
      <w:pPr>
        <w:spacing w:after="0" w:line="172"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7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of December 31, 2018, we operated approximately 125 offices in 10 countries, with our corporate headquarters located in Princeton Junction, New Jersey. Our headquarters in Princeton Junction is our primary location, where most of our manufacturing and research and development is conducted. While we lease most of our facilities, as of December 31, 2018, we owned properties located in Monroe, North Carolina; Trainer, Pennsylvania; LaPorte, Texas; Burlington, Washington; Gillette, Wyoming; Evanston, Wyoming and Jonquiere, Quebec. Our Services segment utilizes approximately 85 offices throughout North America (including Canada). Our Products and Systems segment’s primary location is in our Princeton Junction, NJ facility. Our International segment has approximately 40 offices including locations in Belgium, Brazil, France, Germany, Greece, India, the Netherlands, and the United Kingdom. We believe that all of our facilities are well maintained and are suitable and adequate for our current needs.</w:t>
      </w:r>
    </w:p>
    <w:p>
      <w:pPr>
        <w:spacing w:after="0" w:line="18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70"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 xml:space="preserve">We are subject to periodic legal proceedings, investigations and claims that arise in the ordinary course of business. See “Litigation” in Note 18 —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to our audited consolidated financial statements contained in Item</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of this Annual Report for a description of legal proceedings involving us and our business, which is incorporated herein by reference.</w:t>
      </w:r>
    </w:p>
    <w:p>
      <w:pPr>
        <w:spacing w:after="0" w:line="200" w:lineRule="exact"/>
        <w:rPr>
          <w:sz w:val="20"/>
          <w:szCs w:val="20"/>
          <w:color w:val="auto"/>
        </w:rPr>
      </w:pPr>
    </w:p>
    <w:p>
      <w:pPr>
        <w:spacing w:after="0" w:line="237"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right="300"/>
        <w:spacing w:after="0" w:line="33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 OF EQUITY SECURITIES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currently trades on the New York Stock Exchange (NYSE) under the ticker symbol “MG.”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March 12, 2019, there were 8 holders of record of our Common Stock. The number of record holders was determined from the records of our transfer agent and does not include beneficial owners of common stock whose shares are held in the names of various security brokers, dealers, and registered clearing agencies. The transfer agent of our common stock is American Stock Transfer &amp; Trust Company, 6201 15th Avenue, Brooklyn, New York 11219.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No cash dividends have been paid on our Common Stock to date. We currently intend to retain our future earnings, if any, to finance the expansion of our business and do not expect to pay any cash dividends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sets forth the shares of our common stock we acquired during the fourth quarter of 2018 pursuant to the surrender of shares by employees to satisfy minimum tax withholding obligations in connection with the vesting of restricted stock units.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4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00" w:type="dxa"/>
            <w:vAlign w:val="bottom"/>
          </w:tcPr>
          <w:p>
            <w:pPr>
              <w:spacing w:after="0"/>
              <w:rPr>
                <w:sz w:val="13"/>
                <w:szCs w:val="13"/>
                <w:color w:val="auto"/>
              </w:rPr>
            </w:pPr>
          </w:p>
        </w:tc>
        <w:tc>
          <w:tcPr>
            <w:tcW w:w="21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9"/>
        </w:trPr>
        <w:tc>
          <w:tcPr>
            <w:tcW w:w="17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Month Ending</w:t>
            </w:r>
          </w:p>
        </w:tc>
        <w:tc>
          <w:tcPr>
            <w:tcW w:w="120" w:type="dxa"/>
            <w:vAlign w:val="bottom"/>
            <w:vMerge w:val="restart"/>
          </w:tcPr>
          <w:p>
            <w:pPr>
              <w:spacing w:after="0"/>
              <w:rPr>
                <w:sz w:val="12"/>
                <w:szCs w:val="12"/>
                <w:color w:val="auto"/>
              </w:rPr>
            </w:pPr>
          </w:p>
        </w:tc>
        <w:tc>
          <w:tcPr>
            <w:tcW w:w="16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400" w:type="dxa"/>
            <w:vAlign w:val="bottom"/>
            <w:gridSpan w:val="2"/>
            <w:vMerge w:val="continue"/>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3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 Purchased</w:t>
            </w:r>
          </w:p>
        </w:tc>
        <w:tc>
          <w:tcPr>
            <w:tcW w:w="0" w:type="dxa"/>
            <w:vAlign w:val="bottom"/>
          </w:tcPr>
          <w:p>
            <w:pPr>
              <w:spacing w:after="0"/>
              <w:rPr>
                <w:sz w:val="1"/>
                <w:szCs w:val="1"/>
                <w:color w:val="auto"/>
              </w:rPr>
            </w:pPr>
          </w:p>
        </w:tc>
      </w:tr>
      <w:tr>
        <w:trPr>
          <w:trHeight w:val="195"/>
        </w:trPr>
        <w:tc>
          <w:tcPr>
            <w:tcW w:w="1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per Share (or Unit)</w:t>
            </w: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2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 xml:space="preserve">Under the Plans or Programs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49"/>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October 31, 2018</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33,585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19.59</w:t>
            </w:r>
          </w:p>
        </w:tc>
        <w:tc>
          <w:tcPr>
            <w:tcW w:w="2200" w:type="dxa"/>
            <w:vAlign w:val="bottom"/>
            <w:tcBorders>
              <w:bottom w:val="single" w:sz="8" w:color="CCEEFF"/>
            </w:tcBorders>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25,081,657</w:t>
            </w:r>
          </w:p>
        </w:tc>
        <w:tc>
          <w:tcPr>
            <w:tcW w:w="0" w:type="dxa"/>
            <w:vAlign w:val="bottom"/>
          </w:tcPr>
          <w:p>
            <w:pPr>
              <w:spacing w:after="0"/>
              <w:rPr>
                <w:sz w:val="1"/>
                <w:szCs w:val="1"/>
                <w:color w:val="auto"/>
              </w:rPr>
            </w:pPr>
          </w:p>
        </w:tc>
      </w:tr>
      <w:tr>
        <w:trPr>
          <w:trHeight w:val="243"/>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November 30, 2018</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5,067</w:t>
            </w:r>
          </w:p>
        </w:tc>
        <w:tc>
          <w:tcPr>
            <w:tcW w:w="100" w:type="dxa"/>
            <w:vAlign w:val="bottom"/>
          </w:tcPr>
          <w:p>
            <w:pPr>
              <w:spacing w:after="0"/>
              <w:rPr>
                <w:sz w:val="21"/>
                <w:szCs w:val="21"/>
                <w:color w:val="auto"/>
              </w:rPr>
            </w:pPr>
          </w:p>
        </w:tc>
        <w:tc>
          <w:tcPr>
            <w:tcW w:w="48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16.92</w:t>
            </w:r>
          </w:p>
        </w:tc>
        <w:tc>
          <w:tcPr>
            <w:tcW w:w="22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25,081,657</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2018</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2,730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14.38</w:t>
            </w:r>
          </w:p>
        </w:tc>
        <w:tc>
          <w:tcPr>
            <w:tcW w:w="220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25,081,657</w:t>
            </w:r>
          </w:p>
        </w:tc>
        <w:tc>
          <w:tcPr>
            <w:tcW w:w="0" w:type="dxa"/>
            <w:vAlign w:val="bottom"/>
          </w:tcPr>
          <w:p>
            <w:pPr>
              <w:spacing w:after="0"/>
              <w:rPr>
                <w:sz w:val="1"/>
                <w:szCs w:val="1"/>
                <w:color w:val="auto"/>
              </w:rPr>
            </w:pPr>
          </w:p>
        </w:tc>
      </w:tr>
      <w:tr>
        <w:trPr>
          <w:trHeight w:val="27"/>
        </w:trPr>
        <w:tc>
          <w:tcPr>
            <w:tcW w:w="1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00" w:firstLine="8"/>
        <w:spacing w:after="0" w:line="282"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On October 7, 2015, the Company announced that its Board of Directors approved a share repurchase plan, which authorizes the expenditure of up to $50.0 million for the purchase of the Company's common stock.</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27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table presents selected financial data for the years ended December 31, 2018 and 2017, the transition period ended December 31, 2016 and the fiscal years ended May 31, 2016, 2015 and 2014. This selected financial data should be read in conjunction with “Management’s Discussion and Analysis of Financial Condition and Results of Operations” in Item 7 and the audited consolidated financial statements and the notes thereto in Item 8 in this Annual Report.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4"/>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Transition</w:t>
            </w:r>
          </w:p>
        </w:tc>
        <w:tc>
          <w:tcPr>
            <w:tcW w:w="200" w:type="dxa"/>
            <w:vAlign w:val="bottom"/>
          </w:tcPr>
          <w:p>
            <w:pPr>
              <w:spacing w:after="0"/>
              <w:rPr>
                <w:sz w:val="12"/>
                <w:szCs w:val="12"/>
                <w:color w:val="auto"/>
              </w:rPr>
            </w:pPr>
          </w:p>
        </w:tc>
        <w:tc>
          <w:tcPr>
            <w:tcW w:w="23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May 31,</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2018 (1)</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2017 (2)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88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2016 (4)</w:t>
            </w:r>
          </w:p>
        </w:tc>
        <w:tc>
          <w:tcPr>
            <w:tcW w:w="260" w:type="dxa"/>
            <w:vAlign w:val="bottom"/>
          </w:tcPr>
          <w:p>
            <w:pPr>
              <w:spacing w:after="0"/>
              <w:rPr>
                <w:sz w:val="12"/>
                <w:szCs w:val="12"/>
                <w:color w:val="auto"/>
              </w:rPr>
            </w:pPr>
          </w:p>
        </w:tc>
        <w:tc>
          <w:tcPr>
            <w:tcW w:w="86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2015 (4)</w:t>
            </w:r>
          </w:p>
        </w:tc>
        <w:tc>
          <w:tcPr>
            <w:tcW w:w="320" w:type="dxa"/>
            <w:vAlign w:val="bottom"/>
          </w:tcPr>
          <w:p>
            <w:pPr>
              <w:spacing w:after="0"/>
              <w:rPr>
                <w:sz w:val="12"/>
                <w:szCs w:val="12"/>
                <w:color w:val="auto"/>
              </w:rPr>
            </w:pPr>
          </w:p>
        </w:tc>
        <w:tc>
          <w:tcPr>
            <w:tcW w:w="78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2014 (4)</w:t>
            </w: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2016 (3)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300" w:type="dxa"/>
            <w:vAlign w:val="bottom"/>
            <w:gridSpan w:val="6"/>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 of Income Data:</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742,354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700,970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404,161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719,181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711,252</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623,447</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207,874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187,712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117,004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203,008</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184,733</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172,943</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22,221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17,533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43,177</w:t>
            </w:r>
          </w:p>
        </w:tc>
        <w:tc>
          <w:tcPr>
            <w:tcW w:w="2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30,353</w:t>
            </w:r>
          </w:p>
        </w:tc>
        <w:tc>
          <w:tcPr>
            <w:tcW w:w="3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38,295</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Mistras Group, Inc.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9,568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24,654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16,081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22,518</w:t>
            </w:r>
          </w:p>
        </w:tc>
        <w:tc>
          <w:tcPr>
            <w:tcW w:w="0" w:type="dxa"/>
            <w:vAlign w:val="bottom"/>
          </w:tcPr>
          <w:p>
            <w:pPr>
              <w:spacing w:after="0"/>
              <w:rPr>
                <w:sz w:val="1"/>
                <w:szCs w:val="1"/>
                <w:color w:val="auto"/>
              </w:rPr>
            </w:pPr>
          </w:p>
        </w:tc>
      </w:tr>
      <w:tr>
        <w:trPr>
          <w:trHeight w:val="284"/>
        </w:trPr>
        <w:tc>
          <w:tcPr>
            <w:tcW w:w="4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Per Share Information: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28,406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28,422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28,989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28,856</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28,613</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28,365</w:t>
            </w: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29,427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28,422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30,125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29,891</w:t>
            </w:r>
          </w:p>
        </w:tc>
        <w:tc>
          <w:tcPr>
            <w:tcW w:w="2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29,590</w:t>
            </w:r>
          </w:p>
        </w:tc>
        <w:tc>
          <w:tcPr>
            <w:tcW w:w="3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29,324</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(loss)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0.85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0.56</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0.82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0.54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84"/>
        </w:trPr>
        <w:tc>
          <w:tcPr>
            <w:tcW w:w="4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25,544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27,541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19,154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21,188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10,555</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10,020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694,037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554,441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469,427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482,675</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471,727</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443,972</w:t>
            </w:r>
          </w:p>
        </w:tc>
        <w:tc>
          <w:tcPr>
            <w:tcW w:w="0" w:type="dxa"/>
            <w:vAlign w:val="bottom"/>
          </w:tcPr>
          <w:p>
            <w:pPr>
              <w:spacing w:after="0"/>
              <w:rPr>
                <w:sz w:val="1"/>
                <w:szCs w:val="1"/>
                <w:color w:val="auto"/>
              </w:rPr>
            </w:pPr>
          </w:p>
        </w:tc>
      </w:tr>
      <w:tr>
        <w:trPr>
          <w:trHeight w:val="225"/>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long-term debt and obligations under capital</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leases, including current portion</w:t>
            </w:r>
          </w:p>
        </w:tc>
        <w:tc>
          <w:tcPr>
            <w:tcW w:w="2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303,617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181,491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103,466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104,776</w:t>
            </w:r>
          </w:p>
        </w:tc>
        <w:tc>
          <w:tcPr>
            <w:tcW w:w="260" w:type="dxa"/>
            <w:vAlign w:val="bottom"/>
          </w:tcPr>
          <w:p>
            <w:pPr>
              <w:spacing w:after="0"/>
              <w:rPr>
                <w:sz w:val="20"/>
                <w:szCs w:val="20"/>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132,822</w:t>
            </w:r>
          </w:p>
        </w:tc>
        <w:tc>
          <w:tcPr>
            <w:tcW w:w="32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97,563</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Mistras Group, Inc. stockholders’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270,897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270,619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270,582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276,163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244,819</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242,104</w:t>
            </w:r>
          </w:p>
        </w:tc>
        <w:tc>
          <w:tcPr>
            <w:tcW w:w="0" w:type="dxa"/>
            <w:vAlign w:val="bottom"/>
          </w:tcPr>
          <w:p>
            <w:pPr>
              <w:spacing w:after="0"/>
              <w:rPr>
                <w:sz w:val="1"/>
                <w:szCs w:val="1"/>
                <w:color w:val="auto"/>
              </w:rPr>
            </w:pPr>
          </w:p>
        </w:tc>
      </w:tr>
      <w:tr>
        <w:trPr>
          <w:trHeight w:val="284"/>
        </w:trPr>
        <w:tc>
          <w:tcPr>
            <w:tcW w:w="4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41,664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55,799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30,259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68,124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49,840</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36,873</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(16,752)</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(49,651)</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(38,005)</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113,969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53,045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(40,378)</w:t>
            </w:r>
          </w:p>
        </w:tc>
        <w:tc>
          <w:tcPr>
            <w:tcW w:w="2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2,066</w:t>
            </w:r>
          </w:p>
        </w:tc>
        <w:tc>
          <w:tcPr>
            <w:tcW w:w="3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3,262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1 - Includes pre-tax charges of $9.4 million relating to special items. See the Income from Operations table in Item 7 for a description of these items. The impact of these items, net of taxes, on net income and diluted earnings per share was $9.3 million and $0.32, respectively, including a $1.7 million tax charge related to the Tax Act.</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2 - Includes pre-tax charges of $21.0 million relating to special items. The impact of these items, net of taxes, on net income and diluted earnings per share was $14.9 million and $0.51, respectively, including a $2.0 million tax charge related to the Tax Act.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3- Includes pre-tax charges of $2.2 million relating to special items. The impact of these items, net of taxes, on net income and diluted earnings per share was ($1.6) million and ($0.05), respectively.</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4 - Includes pre-tax charges (benefits) of $6.0 million in fiscal 2016, $0.1 million in fiscal 2015 and $(2.4) million in fiscal 2014 relating to special items. Net income was (decreased) increased by these items, net of taxes, by ($3.2) million in fiscal 2016, $1.0 million in fiscal 2015 and $2.4 million in fiscal 2014, respectively. The (decrease) increase of these items on diluted earnings per share were ($0.11) in fiscal 2016, $0.03 in fiscal 2015 and $0.08 in fiscal 2014,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60"/>
          </w:cols>
          <w:pgMar w:left="240" w:top="121" w:right="29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w:t>
      </w:r>
    </w:p>
    <w:p>
      <w:pPr>
        <w:spacing w:after="0" w:line="270"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7"/>
          <w:szCs w:val="17"/>
          <w:color w:val="auto"/>
        </w:rPr>
        <w:t>The following Management’s Discussion and Analysis (“MD&amp;A”) provides a narrative of our results of operations for the years ended December 31, 2018, 2017 and 2016, the transition period ended December 31, 2016 and the comparable period ended December 31, 2015 (which is referred to as "transition period 2015") and our financial position as of December 31, 2018 and December 31, 2017. The MD&amp;A should be read together with our consolidated financial statements and related notes included in Item 8 in this Annual Report on Form 10-K. Unless otherwise specified or the context otherwise requires, “Mistras,” “the Company,” “we,” “us” and “our” refer to Mistras Group, Inc. and its consolidated subsidiaries. The MD&amp;A includes the following sections:</w:t>
      </w:r>
    </w:p>
    <w:p>
      <w:pPr>
        <w:spacing w:after="0" w:line="168"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Overview</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Results of Operations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Estimates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Accounting Pronouncements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2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(Securities Act), and Section 21E of the Securities Exchange Act of 1934 (Exchange Act). Such forward-looking statements include those that express plans, anticipation, intent, contingency, goals, targets or future development and/or otherwise are not statements of historical fact. See “Forward-Looking Statements” at the beginning of Item 1 of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2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offer our customers “one source for asset protection solutions”® and are a leading global provider of technology-enabled asset protection solutions used to evaluate the structural integrity and reliability of critical energy, commercial aerospace and defense, industrial and public infrastructure. We combine industry-leading products and technologies, expertise in mechanical integrity (MI), Non-Destructive Testing (NDT), Destructive Testing (DT), mechanical and predictive maintenance (PdM) services, process and fixed asset engineering and consulting services, proprietary data analysis and our world class enterprise inspection database management and analysis software, PCMS, to deliver a comprehensive portfolio of customized solutions, ranging from routine inspections to complex, plant-wide asset integrity management and assessments. These mission critical solutions enhance our customers’ ability to comply with governmental safety and environmental regulations, extend the useful life of their assets, increase productivity, minimize repair costs, manage risk and avoid catastrophic disasters. Our comprehensive “OneSource” portfolio of customized solutions, utilizing a proven systematic method that creates a closed-loop lifecycle for addressing continuous asset protection and improvement, helps us to deliver value to our customers.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consist of three reportable segments: Services, International and Products and Systems.</w:t>
      </w:r>
    </w:p>
    <w:p>
      <w:pPr>
        <w:spacing w:after="0" w:line="223" w:lineRule="exact"/>
        <w:rPr>
          <w:sz w:val="20"/>
          <w:szCs w:val="20"/>
          <w:color w:val="auto"/>
        </w:rPr>
      </w:pPr>
    </w:p>
    <w:p>
      <w:pPr>
        <w:ind w:left="660" w:right="40" w:hanging="328"/>
        <w:spacing w:after="0" w:line="267" w:lineRule="auto"/>
        <w:tabs>
          <w:tab w:leader="none" w:pos="6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provides asset protection solutions predominantly in North America, with the largest concentration in the United States, followed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Canada, consisting primarily of NDT, inspection, mechanical and engineering services that are used to evaluate the structural integrity and reliability of critical energy, industrial and public infrastructure.</w:t>
      </w:r>
    </w:p>
    <w:p>
      <w:pPr>
        <w:spacing w:after="0" w:line="173" w:lineRule="exact"/>
        <w:rPr>
          <w:rFonts w:ascii="Times New Roman" w:cs="Times New Roman" w:eastAsia="Times New Roman" w:hAnsi="Times New Roman"/>
          <w:sz w:val="18"/>
          <w:szCs w:val="18"/>
          <w:i w:val="1"/>
          <w:iCs w:val="1"/>
          <w:color w:val="auto"/>
        </w:rPr>
      </w:pPr>
    </w:p>
    <w:p>
      <w:pPr>
        <w:ind w:left="660" w:right="180" w:hanging="328"/>
        <w:spacing w:after="0" w:line="284" w:lineRule="auto"/>
        <w:tabs>
          <w:tab w:leader="none" w:pos="6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offers services, products and systems similar to those of the other segments to select markets within Europe, the Middle East, Africa,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Asia and South America, but not to customers in China and South Korea, which are served by the Products and Systems segment.</w:t>
      </w:r>
    </w:p>
    <w:p>
      <w:pPr>
        <w:spacing w:after="0" w:line="158" w:lineRule="exact"/>
        <w:rPr>
          <w:rFonts w:ascii="Times New Roman" w:cs="Times New Roman" w:eastAsia="Times New Roman" w:hAnsi="Times New Roman"/>
          <w:sz w:val="18"/>
          <w:szCs w:val="18"/>
          <w:i w:val="1"/>
          <w:iCs w:val="1"/>
          <w:color w:val="auto"/>
        </w:rPr>
      </w:pPr>
    </w:p>
    <w:p>
      <w:pPr>
        <w:ind w:left="660" w:right="120" w:hanging="328"/>
        <w:spacing w:after="0" w:line="284" w:lineRule="auto"/>
        <w:tabs>
          <w:tab w:leader="none" w:pos="6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designs, manufactures, sells, installs and services the Company’s asset protection products and systems, including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instrumentation, predominantly in the United States.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 the role our solutions play in enhancing the safe and efficient operation of infrastructure, we have historically provided a</w:t>
      </w:r>
    </w:p>
    <w:p>
      <w:pPr>
        <w:spacing w:after="0" w:line="27"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majority of our solutions to our customers on a regular, recurring basis. We perform these services largely at our customers’ facilities, while primarily servicing our aerospace customers at our growing network of state-of-the-art, in-house laboratories. These solutions typically include NDT and inspection services, and can also include a wide range of mechanical services,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including engineering assessments, heat tracing, pre-inspection insulation stripping, inspections, coating applications, reinsulation,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oil and gas (downstream, midstream, upstream and petrochemical), commercial aerospace and defense, power generation (natural gas, fossil, nuclear, alternative, renewable, and transmission and distribution), public infrastructure, chemicals, transportation, primary metals and metalworking and research and engineering institutions.</w:t>
      </w:r>
    </w:p>
    <w:p>
      <w:pPr>
        <w:spacing w:after="0" w:line="18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have focused on providing our advanced asset protection solutions to our customers using proprietary, technology-enabled software and testing instruments, including those developed by our Products and Systems segment. We have made numerous acquisitions in an effort to grow our base of experienced, certified personnel, expand our service lines and technical capabilities, increase our geographical reach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that we believe will enhance our advantages over our competition.</w:t>
      </w:r>
    </w:p>
    <w:p>
      <w:pPr>
        <w:spacing w:after="0" w:line="1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regards to the Onstream acquisition, completed in December 2018, it helps support many of our Corporate initiatives. Onstream's strong presence in inline inspection provides us with a strong foundation within the midstream Oil and Gas market, which is an important piece of our overall growth strategy. We expect to generate new business opportunities through introduction of our inline inspection capabilities to existing midstream customers. Onstream also provides us with an additional digital solution with their Streamview™ software, which is an innovative application of advanced digital technology.</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Demand for outsourced asset protection solutions has generally increased over the last ten years, creating demand from which our entire industry has benefited. We believe continued growth can be realized in all of our target markets. During the first half of 2017, market conditions were soft, driven by lower oil prices which caused many of the Company’s oil and gas customers to curtail spending for our services and products. However, during the second half of 2017, market conditions strengthened and continued to improve throughout 2018, with oil and gas customer spending patterns rebounding from low prior year levels described above. These improved conditions led to a catch-up from the pent-up demand of deferred work during the Spring of 2018 as well as a healthier level of market activity for projects and turnarounds. Although oil prices decreased in the last two months of 2018, they have started to rebound during the early months of 2019. Subject to oil price fluctuations, we expect relatively stable oil and gas customer spending for inspection services throughout 2019. In addition, demand for our services in the aerospace industry are strong and we are focused on expanding our capabilities to service this market.</w:t>
      </w:r>
    </w:p>
    <w:p>
      <w:pPr>
        <w:spacing w:after="0" w:line="18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we have increased our capabilities and the size of our customer base through the development of applied technologies and managed support services, organic growth and the integration of acquired companies. These acquisitions have provided us with additional products, technologies, resources and customers that we believe will enhance our advantages over our competition.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about Non-GAAP Measures</w:t>
      </w:r>
    </w:p>
    <w:p>
      <w:pPr>
        <w:spacing w:after="0" w:line="22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this MD&amp;A under the heading "Income from Operations", the non-GAAP financial performance measure "Income (loss) before special items" is used for each of our three segments, the Corporate segment and the Total Company, with tables reconciling the measure to a financial measure under GAAP. This non-GAAP measure excludes from the GAAP measure "Income (loss) from Operations" (a) transaction expenses related to acquisitions, such as professional fees and due diligence costs, (b) the net changes in the fair value of acquisition-related contingent consideration liabilities, (c) impairment charges, (d) reorganization and other costs, which includes items such as severance, labor relations matters and asset and lease termination costs and (e) other special items. These adjustments have been excluded from the GAAP measure because these expenses and credits are not related to the Company’s or Segment’s core business operations. The acquisition related costs and special items can be a net expense or credit in any given period.</w:t>
      </w:r>
    </w:p>
    <w:p>
      <w:pPr>
        <w:spacing w:after="0" w:line="18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We believe investors and other users of our financial statements benefit from the presentation of "Income (loss) before special items” for each of our three segments, the Corporate segment and the Total Company in evaluating our performance. Income (loss) before special items excludes the identified adjustments, which provides additional tools to compare our core business operating performance on a consistent basis and measure underlying trends and results in our business. Income (loss) before special items is not used to determine incentive compensation for executives or employees, nor is it a replacement for GAAP and/or necessarily comparable to other companies non-GAAP financial measures.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Results of Operations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January 3, 2017, the Company's Board of Directors approved a change in the Company's fiscal year end from May 31 to December 31, effective December 31, 2016. In connection with this change, we previously filed a Transition Report on Form 10-K to report the results of the seven-month transition period from June 1, 2016 to December 31, 2016. In this Annual Report on Form 10-K, the periods presented are the years ended December 31, 2018 and 2017, the seven-month transition period from June 1, 2016 to December 31, 2016 and the year ended May 31, 2016. For comparison purposes, we have also included unaudited data for the year ended December 31, 2016 and for the seven months ended December 31, 2015.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2018 vs. Year ended December 31, 2017</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consolidated statements of operations for the years ended December 31, 2018 and 2017:</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8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3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742,354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700,970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207,874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187,712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Gross profit as a % of Revenue</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185,653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183,552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Operating expenses as a % of Revenue</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22,221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4,160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Income from operations as a % of Revenue</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7,950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4,386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14,271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7,426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1,942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6,845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(2,168)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 net of taxes</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Mistras Group, Inc.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6,836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gridSpan w:val="2"/>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(2,175)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by segment for the years ended December 31, 2018 and 2017 were as follows: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4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4"/>
          </w:tcPr>
          <w:p>
            <w:pPr>
              <w:jc w:val="center"/>
              <w:ind w:left="614"/>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574,619</w:t>
            </w:r>
          </w:p>
        </w:tc>
        <w:tc>
          <w:tcPr>
            <w:tcW w:w="5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543,565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153,448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144,265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(9,139)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742,354</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700,970</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Revenue was $742.4 million for the year ended December 31, 2018, an increase of $41.4 million, or 6%, compared with the year ended December 31, 2017. The increase was driven by the Services segment, which increased by $31.1 million, or 6%, as well as an increase of $9.2 million, or 6% from the International segment. Revenue from the Products and Systems segment was consistent over the respective periods. The Services segment increase was driven by mid-single digit acquisition growth. The International segment increase was driven by low-single digit organic growth as well as low-single digit favorable impact of foreign exchange rates.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Revenues from oil and gas customers comprised 56% and 58% for the years ended December 31, 2018 and 2017, respectively. Revenues from aerospace and defense customers comprised 15% and 13% for the years ended December 31, 2018 and 2017,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by segment for the years ended December 31, 2018 and December 31, 2017 was as follows: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264"/>
        </w:trPr>
        <w:tc>
          <w:tcPr>
            <w:tcW w:w="84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50"/>
        </w:trPr>
        <w:tc>
          <w:tcPr>
            <w:tcW w:w="8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151,974</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139,160</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43"/>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Pr>
          <w:p>
            <w:pPr>
              <w:spacing w:after="0"/>
              <w:rPr>
                <w:sz w:val="21"/>
                <w:szCs w:val="21"/>
                <w:color w:val="auto"/>
              </w:rPr>
            </w:pP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45,464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38,974</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43"/>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300" w:type="dxa"/>
            <w:vAlign w:val="bottom"/>
          </w:tcPr>
          <w:p>
            <w:pPr>
              <w:spacing w:after="0"/>
              <w:rPr>
                <w:sz w:val="21"/>
                <w:szCs w:val="21"/>
                <w:color w:val="auto"/>
              </w:rPr>
            </w:pP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10,560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9,798</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43"/>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30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207,874</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187,712</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i w:val="1"/>
                <w:iCs w:val="1"/>
                <w:color w:val="auto"/>
              </w:rPr>
              <w:t>% of total revenue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Gross profit increased $20.2 million, or 11%, for the year ended December 31, 2018 compared to the year ended December 31, 2017, with a sales increase of 6%. Gross profit margin was 28.0% and 26.8% for the years ended December 31, 2018 and 2017, respectively. Services segment gross profit margins had a year-on-year increase of 80 basis points to 26.4% for the year ended December 31, 2018, which primarily reflected an improved sales mix. International segment gross margins had a year-on-year increase of 260 basis points to 29.6% for the year ended December 31, 2018. This increase was primarily driven by higher utilization of technical labor and overhead, a more favorable sales mix and exiting a poor margin contract from the prior year. Products and Systems segment gross margins improved by 300 basis points for the year ended December 31, 2018 to 45.1%, driven by a more favorable sales mix.</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Income from Operations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table shows a reconciliation of segment income (loss) from operations to income (loss) before special items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ended December 31, 2018 and 2017:</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Income from operations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Pension withdrawal expense</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Bad debt provision for troubled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Reorganization and other costs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Acquisition-related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Income before special items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International:</w:t>
      </w:r>
    </w:p>
    <w:p>
      <w:pPr>
        <w:spacing w:after="0" w:line="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Income from operations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Reorganization and other costs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Acquisition-related (benefit),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Income before special items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Products and Systems:</w:t>
      </w:r>
    </w:p>
    <w:p>
      <w:pPr>
        <w:spacing w:after="0" w:line="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Income (loss) from operations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Impairment charges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Gain on sale of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Reorganization and other costs</w:t>
      </w:r>
    </w:p>
    <w:p>
      <w:pPr>
        <w:spacing w:after="0" w:line="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Income (loss) before special items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214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3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Corporate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from operations (GAAP)</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Litigation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Reorganization and other costs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Acquisition-related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before special items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Total Company:</w:t>
      </w:r>
    </w:p>
    <w:p>
      <w:pPr>
        <w:spacing w:after="0" w:line="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Income from operations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Litigation charges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Pension withdrawal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Gain on sale of subsidiary</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Bad debt provision for troubled customers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Reorganization and other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Acquisition-related expense, net</w:t>
      </w:r>
    </w:p>
    <w:p>
      <w:pPr>
        <w:spacing w:after="0" w:line="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Income before special items (non-GAAP)</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24765</wp:posOffset>
            </wp:positionV>
            <wp:extent cx="18097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p>
      <w:pPr>
        <w:ind w:left="540"/>
        <w:spacing w:after="0"/>
        <w:tabs>
          <w:tab w:leader="none" w:pos="2000" w:val="left"/>
        </w:tabs>
        <w:rPr>
          <w:sz w:val="20"/>
          <w:szCs w:val="20"/>
          <w:color w:val="auto"/>
        </w:rPr>
      </w:pP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24765</wp:posOffset>
            </wp:positionV>
            <wp:extent cx="18097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47,126</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46,677</w:t>
            </w:r>
          </w:p>
        </w:tc>
      </w:tr>
      <w:tr>
        <w:trPr>
          <w:trHeight w:val="270"/>
        </w:trPr>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5,886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1,200</w:t>
            </w:r>
          </w:p>
        </w:tc>
      </w:tr>
      <w:tr>
        <w:trPr>
          <w:trHeight w:val="270"/>
        </w:trPr>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684</w:t>
            </w:r>
          </w:p>
        </w:tc>
      </w:tr>
      <w:tr>
        <w:trPr>
          <w:trHeight w:val="270"/>
        </w:trPr>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w:t>
            </w:r>
          </w:p>
        </w:tc>
      </w:tr>
      <w:tr>
        <w:trPr>
          <w:trHeight w:val="27"/>
        </w:trPr>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54,696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48,953</w:t>
            </w:r>
          </w:p>
        </w:tc>
      </w:tr>
      <w:tr>
        <w:trPr>
          <w:trHeight w:val="27"/>
        </w:trPr>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3"/>
              </w:rPr>
              <w:t>3,953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w:t>
            </w:r>
          </w:p>
        </w:tc>
      </w:tr>
      <w:tr>
        <w:trPr>
          <w:trHeight w:val="270"/>
        </w:trPr>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3"/>
              </w:rPr>
              <w:t>3,966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r>
    </w:tbl>
    <w:p>
      <w:pPr>
        <w:spacing w:after="0" w:line="36" w:lineRule="exact"/>
        <w:rPr>
          <w:sz w:val="20"/>
          <w:szCs w:val="20"/>
          <w:color w:val="auto"/>
        </w:rPr>
      </w:pPr>
    </w:p>
    <w:p>
      <w:pPr>
        <w:ind w:left="2400" w:hanging="1470"/>
        <w:spacing w:after="0"/>
        <w:tabs>
          <w:tab w:leader="none" w:pos="2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(501)</w:t>
      </w:r>
    </w:p>
    <w:p>
      <w:pPr>
        <w:spacing w:after="0" w:line="77" w:lineRule="exact"/>
        <w:rPr>
          <w:sz w:val="20"/>
          <w:szCs w:val="20"/>
          <w:color w:val="auto"/>
        </w:rPr>
      </w:pPr>
    </w:p>
    <w:p>
      <w:pPr>
        <w:ind w:left="860"/>
        <w:spacing w:after="0"/>
        <w:tabs>
          <w:tab w:leader="none" w:pos="2300" w:val="left"/>
        </w:tabs>
        <w:rPr>
          <w:sz w:val="20"/>
          <w:szCs w:val="20"/>
          <w:color w:val="auto"/>
        </w:rPr>
      </w:pPr>
      <w:r>
        <w:rPr>
          <w:rFonts w:ascii="Times New Roman" w:cs="Times New Roman" w:eastAsia="Times New Roman" w:hAnsi="Times New Roman"/>
          <w:sz w:val="18"/>
          <w:szCs w:val="18"/>
          <w:color w:val="auto"/>
        </w:rPr>
        <w:t>7,510</w:t>
      </w:r>
      <w:r>
        <w:rPr>
          <w:sz w:val="20"/>
          <w:szCs w:val="20"/>
          <w:color w:val="auto"/>
        </w:rPr>
        <w:tab/>
      </w:r>
      <w:r>
        <w:rPr>
          <w:rFonts w:ascii="Times New Roman" w:cs="Times New Roman" w:eastAsia="Times New Roman" w:hAnsi="Times New Roman"/>
          <w:sz w:val="18"/>
          <w:szCs w:val="18"/>
          <w:color w:val="auto"/>
        </w:rPr>
        <w:t>4,091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18097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860"/>
        <w:spacing w:after="0"/>
        <w:tabs>
          <w:tab w:leader="none" w:pos="2160" w:val="left"/>
        </w:tabs>
        <w:rPr>
          <w:sz w:val="20"/>
          <w:szCs w:val="20"/>
          <w:color w:val="auto"/>
        </w:rPr>
      </w:pPr>
      <w:r>
        <w:rPr>
          <w:rFonts w:ascii="Times New Roman" w:cs="Times New Roman" w:eastAsia="Times New Roman" w:hAnsi="Times New Roman"/>
          <w:sz w:val="18"/>
          <w:szCs w:val="18"/>
          <w:color w:val="auto"/>
        </w:rPr>
        <w:t>2,368</w:t>
      </w:r>
      <w:r>
        <w:rPr>
          <w:sz w:val="20"/>
          <w:szCs w:val="20"/>
          <w:color w:val="auto"/>
        </w:rPr>
        <w:tab/>
      </w:r>
      <w:r>
        <w:rPr>
          <w:rFonts w:ascii="Times New Roman" w:cs="Times New Roman" w:eastAsia="Times New Roman" w:hAnsi="Times New Roman"/>
          <w:sz w:val="18"/>
          <w:szCs w:val="18"/>
          <w:color w:val="auto"/>
        </w:rPr>
        <w:t>(16,991)</w:t>
      </w:r>
    </w:p>
    <w:p>
      <w:pPr>
        <w:spacing w:after="0" w:line="6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—15,810</w:t>
      </w:r>
    </w:p>
    <w:p>
      <w:pPr>
        <w:spacing w:after="0" w:line="63" w:lineRule="exact"/>
        <w:rPr>
          <w:sz w:val="20"/>
          <w:szCs w:val="20"/>
          <w:color w:val="auto"/>
        </w:rPr>
      </w:pPr>
    </w:p>
    <w:p>
      <w:pPr>
        <w:ind w:left="800"/>
        <w:spacing w:after="0"/>
        <w:tabs>
          <w:tab w:leader="none" w:pos="2540" w:val="left"/>
        </w:tabs>
        <w:rPr>
          <w:sz w:val="20"/>
          <w:szCs w:val="20"/>
          <w:color w:val="auto"/>
        </w:rPr>
      </w:pPr>
      <w:r>
        <w:rPr>
          <w:rFonts w:ascii="Times New Roman" w:cs="Times New Roman" w:eastAsia="Times New Roman" w:hAnsi="Times New Roman"/>
          <w:sz w:val="18"/>
          <w:szCs w:val="18"/>
          <w:color w:val="auto"/>
        </w:rPr>
        <w:t>(2,384)</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2560" w:hanging="1480"/>
        <w:spacing w:after="0"/>
        <w:tabs>
          <w:tab w:leader="none" w:pos="2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w:t>
      </w:r>
    </w:p>
    <w:p>
      <w:pPr>
        <w:spacing w:after="0" w:line="76" w:lineRule="exact"/>
        <w:rPr>
          <w:rFonts w:ascii="Times New Roman" w:cs="Times New Roman" w:eastAsia="Times New Roman" w:hAnsi="Times New Roman"/>
          <w:sz w:val="18"/>
          <w:szCs w:val="18"/>
          <w:color w:val="auto"/>
        </w:rPr>
      </w:pPr>
    </w:p>
    <w:p>
      <w:pPr>
        <w:ind w:left="2260" w:hanging="1180"/>
        <w:spacing w:after="0"/>
        <w:tabs>
          <w:tab w:leader="none" w:pos="2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-144780</wp:posOffset>
            </wp:positionV>
            <wp:extent cx="18097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700"/>
        <w:spacing w:after="0"/>
        <w:tabs>
          <w:tab w:leader="none" w:pos="2160" w:val="left"/>
        </w:tabs>
        <w:rPr>
          <w:sz w:val="20"/>
          <w:szCs w:val="20"/>
          <w:color w:val="auto"/>
        </w:rPr>
      </w:pPr>
      <w:r>
        <w:rPr>
          <w:rFonts w:ascii="Times New Roman" w:cs="Times New Roman" w:eastAsia="Times New Roman" w:hAnsi="Times New Roman"/>
          <w:sz w:val="18"/>
          <w:szCs w:val="18"/>
          <w:color w:val="auto"/>
        </w:rPr>
        <w:t>(31,226)</w:t>
      </w:r>
      <w:r>
        <w:rPr>
          <w:sz w:val="20"/>
          <w:szCs w:val="20"/>
          <w:color w:val="auto"/>
        </w:rPr>
        <w:tab/>
      </w:r>
      <w:r>
        <w:rPr>
          <w:rFonts w:ascii="Times New Roman" w:cs="Times New Roman" w:eastAsia="Times New Roman" w:hAnsi="Times New Roman"/>
          <w:sz w:val="18"/>
          <w:szCs w:val="18"/>
          <w:color w:val="auto"/>
        </w:rPr>
        <w:t>(29,063)</w:t>
      </w:r>
    </w:p>
    <w:p>
      <w:pPr>
        <w:spacing w:after="0" w:line="6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—1,600</w:t>
      </w:r>
    </w:p>
    <w:p>
      <w:pPr>
        <w:spacing w:after="0" w:line="63" w:lineRule="exact"/>
        <w:rPr>
          <w:sz w:val="20"/>
          <w:szCs w:val="20"/>
          <w:color w:val="auto"/>
        </w:rPr>
      </w:pPr>
    </w:p>
    <w:p>
      <w:pPr>
        <w:ind w:left="2460" w:hanging="1470"/>
        <w:spacing w:after="0"/>
        <w:tabs>
          <w:tab w:leader="none" w:pos="2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w:t>
      </w:r>
    </w:p>
    <w:p>
      <w:pPr>
        <w:spacing w:after="0" w:line="63" w:lineRule="exact"/>
        <w:rPr>
          <w:rFonts w:ascii="Times New Roman" w:cs="Times New Roman" w:eastAsia="Times New Roman" w:hAnsi="Times New Roman"/>
          <w:sz w:val="18"/>
          <w:szCs w:val="18"/>
          <w:color w:val="auto"/>
        </w:rPr>
      </w:pPr>
    </w:p>
    <w:p>
      <w:pPr>
        <w:ind w:left="2460" w:hanging="1470"/>
        <w:spacing w:after="0"/>
        <w:tabs>
          <w:tab w:leader="none" w:pos="2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591</w:t>
      </w:r>
    </w:p>
    <w:p>
      <w:pPr>
        <w:spacing w:after="0" w:line="77" w:lineRule="exact"/>
        <w:rPr>
          <w:sz w:val="20"/>
          <w:szCs w:val="20"/>
          <w:color w:val="auto"/>
        </w:rPr>
      </w:pPr>
    </w:p>
    <w:p>
      <w:pPr>
        <w:jc w:val="both"/>
        <w:ind w:left="700"/>
        <w:spacing w:after="0"/>
        <w:tabs>
          <w:tab w:leader="none" w:pos="2160" w:val="left"/>
        </w:tabs>
        <w:rPr>
          <w:sz w:val="20"/>
          <w:szCs w:val="20"/>
          <w:color w:val="auto"/>
        </w:rPr>
      </w:pPr>
      <w:r>
        <w:rPr>
          <w:rFonts w:ascii="Times New Roman" w:cs="Times New Roman" w:eastAsia="Times New Roman" w:hAnsi="Times New Roman"/>
          <w:sz w:val="18"/>
          <w:szCs w:val="18"/>
          <w:color w:val="auto"/>
        </w:rPr>
        <w:t>(30,556)</w:t>
      </w:r>
      <w:r>
        <w:rPr>
          <w:sz w:val="20"/>
          <w:szCs w:val="20"/>
          <w:color w:val="auto"/>
        </w:rPr>
        <w:tab/>
      </w:r>
      <w:r>
        <w:rPr>
          <w:rFonts w:ascii="Times New Roman" w:cs="Times New Roman" w:eastAsia="Times New Roman" w:hAnsi="Times New Roman"/>
          <w:sz w:val="18"/>
          <w:szCs w:val="18"/>
          <w:color w:val="auto"/>
        </w:rPr>
        <w:t>(26,688)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18097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22,221</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4,160</w:t>
            </w:r>
          </w:p>
        </w:tc>
      </w:tr>
      <w:tr>
        <w:trPr>
          <w:trHeight w:val="27"/>
        </w:trPr>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4"/>
        </w:trPr>
        <w:tc>
          <w:tcPr>
            <w:tcW w:w="4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1,600</w:t>
            </w:r>
          </w:p>
        </w:tc>
      </w:tr>
      <w:tr>
        <w:trPr>
          <w:trHeight w:val="270"/>
        </w:trPr>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5,886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15,810</w:t>
            </w:r>
          </w:p>
        </w:tc>
      </w:tr>
      <w:tr>
        <w:trPr>
          <w:trHeight w:val="270"/>
        </w:trPr>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1,200</w:t>
            </w:r>
          </w:p>
        </w:tc>
      </w:tr>
      <w:tr>
        <w:trPr>
          <w:trHeight w:val="270"/>
        </w:trPr>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4,758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1,941</w:t>
            </w:r>
          </w:p>
        </w:tc>
      </w:tr>
      <w:tr>
        <w:trPr>
          <w:trHeight w:val="270"/>
        </w:trPr>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w:t>
            </w:r>
          </w:p>
        </w:tc>
      </w:tr>
      <w:tr>
        <w:trPr>
          <w:trHeight w:val="27"/>
        </w:trPr>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31,663</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25,193</w:t>
            </w:r>
          </w:p>
        </w:tc>
      </w:tr>
      <w:tr>
        <w:trPr>
          <w:trHeight w:val="27"/>
        </w:trPr>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121" w:right="2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Total Company income from operations (GAAP) increased by $18.1 million, or 434% compared to the year ended December 31, 2017. Total Company income before special items (non-GAAP) increased by $6.5 million or 26% compared with the year ended December 31, 2017. Income before special items improved by 70 basis points to 4.3% for the year ended December 31, 2018 from 3.6% for the year ended December 31, 2017.</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Operating expenses (GAAP), as a percentage of revenue, decreased to 25% for the year ended December 31, 2018 compared to 26% for the year ended December 31, 2017. Operating expenses, excluding special items (non-GAAP), as a percentage of revenues, was 24% for the year ended December 31, 2018 compared to 23% for the year ended December 31, 2017. For the GAAP decrease, the chart above highlights the expense items that resulted in a lower operating expense percentage for 2018, in addition to the fact that revenues in 2018 were higher by $41 million. The non-GAAP increase was primarily driven by approximately $6.5 million of additional expenses in 2018 from 2017 acquisitions in our Services segment. In addition, there was approximately $4.0 million of additional Corporate expenses in 2018 compared to 2017 as a result of additional headcount and increase in professional fees. There was an increase of $1.1 million in research and engineering expenses, primarily from our Products segment. The Company incurred approximately $0.7 million more transactional foreign exchange expense as a result of a stronger U.S. dollar.</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workforce of certain of the Company’s subsidiaries is unionized and the terms of employment for these workers are governed by collective bargaining agreements, or CBAs. Under these CBAs, the Company’s subsidiaries are required to contribute to the national pension funds for the unions representing these employees, which are multi-employer pension plans. The Company was notified that a significant project was awarded to another contractor in January 2018, and as a result, one of the Company’s subsidiaries experienced a significant reduction in the number of its employees covered by one of the CBAs. Under certain circumstances, such a reduction in the number of employees participating in multi-employer pension plans pursuant to this CBA could result in a complete or partial withdrawal liability to these multi-employer pension plans under the Employee Retirement Income Security Act of 1974 ("ERISA"). Management has explored options to retain a level of union work that would avoid withdrawal liability to the pension plans, but concluded during the third quarter of 2018 that the subsidiaries probably would not obtain sufficient union work to avoid withdrawal liability. As of September 30, 2018, the Company determined that it is probable that its subsidiary will incur a withdrawal liability related to these multiemployer pension plans and estimated that the total amount of this potential liability is approximately $5.9 million. Accordingly, the Company recorded a charge of $5.9 million during the year ended December 31, 2018 for this potential withdrawal liability.</w:t>
      </w:r>
    </w:p>
    <w:p>
      <w:pPr>
        <w:spacing w:after="0" w:line="19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During the year ended December 31, 2018, the Company recorded approximately $1.2 million, in charges related to labor claims for its Brazilian subsidiary, which are included within Selling, General and Administrative expenses. These claims related to employees in a company acquired by the Brazilian subsidiary in a prior period. The Company believes it is entitled to indemnification from the sellers of the acquired company for most of these charges, but has not recorded the expected recovery of indemnification for these labor claims as the amount and timing of collection is uncertain as of December 31, 2018.</w:t>
      </w:r>
    </w:p>
    <w:p>
      <w:pPr>
        <w:spacing w:after="0" w:line="16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German subsidiary provides employees to customers under temporary staff leasing arrangements. In April 2017, the German Labor Lease Act was passed in Germany limiting the duration of temporary workers to eighteen months, or longer as subsequently agreed with by a customer appropriate authority. Since the passing of the German Labor Lease Act, the Company explored selling its staff leasing services and concluded during the third quarter of 2018 that a sale would not be probable. As a result, the Company decided that it will not renew several of these leasing services contracts when they expire beginning in 2019. Due to the cap on the length of service allowed under the German Labor Lease Act, employees will have to be transitioned off the customer contracts. It is expected that the German subsidiary then will either terminate these employees, creating a severance obligation to the terminated employees, or transition them to the Company's other customers. As of December 31, 2018, the Company had over 200 employees under current staff leasing contracts, which expire through 2021. As of December 31, 2018, the Company estimated it would be required to pay approximately $1.6 million in severance for these employees not otherwise transitioned, and accordingly recorded an accrual for this amount which is included within Selling, General and Administrative expenses for the year ended December 31, 2018.</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Interest expense was $8.0 million and $4.4 million for the years ended December 31, 2018 and December 31, 2017, respectively. The increase was primarily related to increased borrowings on the Company's credit agreement throughout the year, which were primarily attributable to acquisitions completed during 2017 and 2018, and to a lesser extent, from an increase in the base borrowing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80"/>
          </w:cols>
          <w:pgMar w:left="240" w:top="121" w:right="27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income tax rate was approximately 52.0% for the year ended December 31, 2018, compared to (857.9)% for the year ended December 31, 2017.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effective tax rate was primarily driven by tax reform in the United States.</w:t>
      </w:r>
    </w:p>
    <w:p>
      <w:pPr>
        <w:spacing w:after="0" w:line="34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December 22, 2017, the United States enacted fundamental changes to federal tax law following the passage of the Tax Cuts and Jobs Act (the “Tax Act”). The Tax Act is complex and significantly changes the U.S. corporate tax system. Our financial statements for the year ended December 31, 2017 reflected certain effects of the Tax Act which includes a reduction in the corporate tax rate from 35% to 21%, imposition of a tax on unrepatriated foreign earnings (“the transition tax”), and a reduction to deferred tax assets attributable to changes made to executive compensation rules. As a result of the changes to tax laws and tax rates under the Tax Act, we incurred an increase in income tax expense of $1.9 million during the year ended December 31, 2017, which consisted primarily of a $2.3 million decrease in our net deferred tax liabilities due to the reduction in the federal corporate tax rate from 35% to 21%, an increase of $3.9 million in tax expense attributable to the transition tax, and a decrease in deferred tax assets of $0.3 million due to changes made to executive compensation rules. During the year ended December 31, 2018, the company completed the accounting for the effects of the Tax Act on the period ended December 31, 2017, which resulted in income tax expense of $1.7 million. This consisted primarily of an increase of $0.1 million in our net deferred tax liabilities due to the reduction in the federal corporate rate from 35% to 21%, an increase of $1.3 million in tax expense attributable to the transition tax, and a decrease in deferred tax assets of $0.4 million due to changes made to executive compensation. Additionally, as a result of the Tax Act, we incurred an income tax expense of $0.6 million during the year ended December 31, 2018 which consists primarily of an increase of $0.3 million in the tax expense attributable to the global intangible low-taxed income ("GILTI"), an increase of $0.2 million for non-deductible executive compensation, and an increase of $0.1 million for non-deductible fringe benefits.</w:t>
      </w:r>
    </w:p>
    <w:p>
      <w:pPr>
        <w:spacing w:after="0" w:line="11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Income tax expense varies as a function of pre-tax income and the level of non-deductible expenses, such as certain amounts of meals and entertainment expense, valuation allowances, and other permanent differences. It is also affected by discrete items that may occur in any given year, but are not consistent from year to year. Our effective income tax rate may fluctuate over the next few years due to many variables including the amount and future geographic distribution of our pre-tax income, changes resulting from our acquisition strategy, increases or decreases in our permanent differences, and the effects of the Tax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2017 vs. Year ended December 31, 2016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consolidated statements of operations for the years ended December 31, 2017 and 2016:</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64"/>
        </w:trPr>
        <w:tc>
          <w:tcPr>
            <w:tcW w:w="84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2016 (unaudited)</w:t>
            </w:r>
          </w:p>
        </w:tc>
      </w:tr>
      <w:tr>
        <w:trPr>
          <w:trHeight w:val="250"/>
        </w:trPr>
        <w:tc>
          <w:tcPr>
            <w:tcW w:w="8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00" w:type="dxa"/>
            <w:vAlign w:val="bottom"/>
            <w:gridSpan w:val="4"/>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 in thousands)</w:t>
            </w:r>
          </w:p>
        </w:tc>
      </w:tr>
      <w:tr>
        <w:trPr>
          <w:trHeight w:val="255"/>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700,970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684,762</w:t>
            </w: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187,712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194,134</w:t>
            </w: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Gross profit as a %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183,552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168,588</w:t>
            </w: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Operating expenses as a %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4,160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25,546</w:t>
            </w: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Income from operations as a %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4,386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3,075</w:t>
            </w:r>
          </w:p>
        </w:tc>
      </w:tr>
      <w:tr>
        <w:trPr>
          <w:trHeight w:val="27"/>
        </w:trPr>
        <w:tc>
          <w:tcPr>
            <w:tcW w:w="8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22,471</w:t>
            </w: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1,942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8,008</w:t>
            </w:r>
          </w:p>
        </w:tc>
      </w:tr>
      <w:tr>
        <w:trPr>
          <w:trHeight w:val="27"/>
        </w:trPr>
        <w:tc>
          <w:tcPr>
            <w:tcW w:w="8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14,463</w:t>
            </w: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 net of taxes</w:t>
            </w:r>
          </w:p>
        </w:tc>
        <w:tc>
          <w:tcPr>
            <w:tcW w:w="30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8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(loss) income attributable to Mistras Group, Inc.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(2,175)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14,409</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segment for the years ended December 31, 2017 and 2016 were as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24765</wp:posOffset>
            </wp:positionV>
            <wp:extent cx="18008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3" w:lineRule="exact"/>
        <w:rPr>
          <w:sz w:val="20"/>
          <w:szCs w:val="20"/>
          <w:color w:val="auto"/>
        </w:rPr>
      </w:pPr>
    </w:p>
    <w:p>
      <w:pPr>
        <w:ind w:left="9120"/>
        <w:spacing w:after="0"/>
        <w:tabs>
          <w:tab w:leader="none" w:pos="10200" w:val="left"/>
        </w:tabs>
        <w:rPr>
          <w:sz w:val="20"/>
          <w:szCs w:val="20"/>
          <w:color w:val="auto"/>
        </w:rPr>
      </w:pP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2016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24765</wp:posOffset>
            </wp:positionV>
            <wp:extent cx="18008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9"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543,565</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519,378</w:t>
            </w:r>
          </w:p>
        </w:tc>
      </w:tr>
      <w:tr>
        <w:trPr>
          <w:trHeight w:val="27"/>
        </w:trPr>
        <w:tc>
          <w:tcPr>
            <w:tcW w:w="8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144,265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148,761</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23,297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26,049</w:t>
            </w:r>
          </w:p>
        </w:tc>
      </w:tr>
      <w:tr>
        <w:trPr>
          <w:trHeight w:val="27"/>
        </w:trPr>
        <w:tc>
          <w:tcPr>
            <w:tcW w:w="8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(9,426)</w:t>
            </w:r>
          </w:p>
        </w:tc>
      </w:tr>
      <w:tr>
        <w:trPr>
          <w:trHeight w:val="237"/>
        </w:trPr>
        <w:tc>
          <w:tcPr>
            <w:tcW w:w="85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700,970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684,762</w:t>
            </w:r>
          </w:p>
        </w:tc>
      </w:tr>
      <w:tr>
        <w:trPr>
          <w:trHeight w:val="27"/>
        </w:trPr>
        <w:tc>
          <w:tcPr>
            <w:tcW w:w="85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Revenue was $701.0 million for the year ended December 31, 2017, an increase of $16.2 million, or 2%, compared with the year ended December 31, 2016. The increase was driven by the Services segment, which increased by $24.2 million, or 5%, partially offset by a decrease of $4.5 million, or 3% from the International segment and the Products and Systems segment, which decreased $2.8 million, or 11%. The Services segment increase was driven by mid-single digit acquisition growth. The International segment decrease was driven by a mid-single digit organic decline, offset by low single digit favorable impact of foreign exchange rates. The Products and Systems segment decrease was driven by lower sales volume.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from oil and gas customers comprised 58% for the year ended December 31, 2017, compared to 57% for the year ended December 31,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from aerospace customers comprised 13% for the years ended December 31, 2017 and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by segment for the years ended December 31, 2017 and December 31, 2016 was as follows:</w:t>
      </w:r>
    </w:p>
    <w:p>
      <w:pPr>
        <w:spacing w:after="0" w:line="200" w:lineRule="exact"/>
        <w:rPr>
          <w:sz w:val="20"/>
          <w:szCs w:val="20"/>
          <w:color w:val="auto"/>
        </w:rPr>
      </w:pPr>
    </w:p>
    <w:p>
      <w:pPr>
        <w:spacing w:after="0" w:line="230"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24765</wp:posOffset>
            </wp:positionV>
            <wp:extent cx="19037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03" w:lineRule="exact"/>
        <w:rPr>
          <w:sz w:val="20"/>
          <w:szCs w:val="20"/>
          <w:color w:val="auto"/>
        </w:rPr>
      </w:pPr>
    </w:p>
    <w:p>
      <w:pPr>
        <w:ind w:left="9000"/>
        <w:spacing w:after="0"/>
        <w:tabs>
          <w:tab w:leader="none" w:pos="10160" w:val="left"/>
        </w:tabs>
        <w:rPr>
          <w:sz w:val="20"/>
          <w:szCs w:val="20"/>
          <w:color w:val="auto"/>
        </w:rPr>
      </w:pP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2016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24765</wp:posOffset>
            </wp:positionV>
            <wp:extent cx="19037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89"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139,160</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133,532</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43"/>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38,974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48,372</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43"/>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9,798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11,956</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43"/>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4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187,712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194,134</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i w:val="1"/>
                <w:iCs w:val="1"/>
                <w:color w:val="auto"/>
              </w:rPr>
              <w:t>% of total revenue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2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Gross profit decreased $6.4 million, or 3%, for the year ended December 31, 2017 compared to the year ended December 31, 2016, despite a sales increase of 2%. Gross profit margin was 26.8% and 28.4% for the years ended December 31, 2017 and 2016, respectively. International segment gross margins had a year-on-year decline of 550 basis points to 27.0% for the year ended December 31, 2017. This decline was primarily driven by lower revenues in the Company's German subsidiary, as well as poor margins on a large contract and lower utilization of technical labor in the United Kingdom. Products and Systems segment gross margins declined by 380 basis points for the year ended December 31, 2017 to 42.1%, driven by lower sales volumes and a less favorable sales mix. Services segment gross profit margins were consistent with the prior year.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Income from Operations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table shows a reconciliation of segment income (loss) from operations to income (loss) before special items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ended December 31, 2017 and 2016:</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64"/>
        </w:trPr>
        <w:tc>
          <w:tcPr>
            <w:tcW w:w="85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2016 (unaudited)</w:t>
            </w:r>
          </w:p>
        </w:tc>
      </w:tr>
      <w:tr>
        <w:trPr>
          <w:trHeight w:val="196"/>
        </w:trPr>
        <w:tc>
          <w:tcPr>
            <w:tcW w:w="8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gridSpan w:val="4"/>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 in thousands)</w:t>
            </w: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46,677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37,788</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charges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6,320</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Bad debt provision for a customer bankruptcy</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Severance costs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write-offs and lease terminations</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Acquisition-related (benefit)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special items (non-GAAP)</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48,953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43,953</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507"/>
        </w:trPr>
        <w:tc>
          <w:tcPr>
            <w:tcW w:w="85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12,908</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Severance costs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1,184</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write-offs and lease terminations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1,042</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Acquisition-related (benefit) expense, net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special items (non-GAAP)</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4,091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15,092</w:t>
            </w:r>
          </w:p>
        </w:tc>
      </w:tr>
      <w:tr>
        <w:trPr>
          <w:trHeight w:val="318"/>
        </w:trPr>
        <w:tc>
          <w:tcPr>
            <w:tcW w:w="85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Products and Systems: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operations (GAAP)</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15,810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Severance costs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before special items (non-GAAP)</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318"/>
        </w:trPr>
        <w:tc>
          <w:tcPr>
            <w:tcW w:w="85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 and Eliminations: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operations (GAAP)</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(24,970)</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charges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Severance costs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Acquisition-related expense (benefit), net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269</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before special items (non-GAAP)</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(24,568)</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18"/>
        </w:trPr>
        <w:tc>
          <w:tcPr>
            <w:tcW w:w="85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25,546</w:t>
            </w: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0"/>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 charges</w:t>
            </w:r>
          </w:p>
        </w:tc>
        <w:tc>
          <w:tcPr>
            <w:tcW w:w="2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6,320</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15,810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Bad debt provision for a customer bankruptcy</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Severance costs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1,425</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write-offs and lease terminations</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1,042</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Acquisition-related (benefit)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special items (non-GAAP)</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25,193</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34,328</w:t>
            </w: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Company income from operations (GAAP) decreased by $21.4 million, or 84% compared to the year ended December 31, 2016. Total Company income before special items (non-GAAP) decreased by $9.1 million or 27% compared with the year</w:t>
      </w:r>
    </w:p>
    <w:p>
      <w:pPr>
        <w:sectPr>
          <w:pgSz w:w="11900" w:h="16838" w:orient="portrait"/>
          <w:cols w:equalWidth="0" w:num="1">
            <w:col w:w="11420"/>
          </w:cols>
          <w:pgMar w:left="240" w:top="121"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ended December 31, 2016. Income before special items declined by 140 basis points to 3.6% for the year ended December 31, 2017 from 5.0% for the year ended December 31, 2016.</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Total operating expenses increased by $15.0 million, or 9% for the year ended December 31, 2017, driven primarily by the $15.8 million impairment charges for the Products and Systems segment (See Notes 8 and 9 in the notes to consolidated financial statements in Item 8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Interest expense was $4.4 million and $3.1 million for the years ended December 31, 2017 and December 31, 2016. The increase was primarily related to increased borrowings on the Company's revolving line of credit.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income tax rate was approximately (858)% for the year ended December 31, 2017, compared to 36% for the year ended December 31,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effective tax rate was driven by tax reform in the United States.</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December 22, 2017, the United States enacted fundamental changes to federal tax law following the passage of the Tax Cuts and Jobs Act (the “Tax Act”). The Tax Act is complex and significantly changes the U.S. corporate tax system. Our financial statements for the year ended December 31, 2017 reflect certain effects of the Tax Act which includes a reduction in the corporate tax rate from 35% to 21%, imposition of a tax on unrepatriated foreign earnings (“the transition tax”), and a reduction to deferred tax assets attributable to changes made to executive compensation rules. As a result of the changes to tax laws and tax rates under the Tax Act, we incurred an increase in income tax expense of $1.9 million during the year ended December 31, 2017, which consisted primarily of a $2.3 million decrease in our net deferred tax liabilities due to the reduction in the federal corporate tax rate from 35% to 21%, an increase of $3.9 million in tax expense attributable to the transition tax, and a decrease in the realizability of deferred tax assets of $0.3 million due to changes made to executive compensation rules pursuant to the Tax Act.</w:t>
      </w:r>
    </w:p>
    <w:p>
      <w:pPr>
        <w:spacing w:after="0" w:line="18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Income tax expense varies as a function of pre-tax income and the level of non-deductible expenses, such as certain amounts of meals and entertainment expense, valuation allowances, and other permanent differences. It is also affected by discrete items that may occur in any given year, but are not consistent from year to year. Our effective income tax rate may fluctuate over the next few years due to many variables including the amount and future geographic distribution of our pre-tax income, changes resulting from our acquisition strategy, increases or decreases in our permanent differences, and the effects of the Tax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Transition period ended December 31, 2016 vs. Transition period ended December 31, 2015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consolidated statements of operations for the transition periods ended December 31, 2016 and 2015:</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20" w:type="dxa"/>
            <w:vAlign w:val="bottom"/>
          </w:tcPr>
          <w:p>
            <w:pPr>
              <w:spacing w:after="0"/>
              <w:rPr>
                <w:sz w:val="16"/>
                <w:szCs w:val="16"/>
                <w:color w:val="auto"/>
              </w:rPr>
            </w:pPr>
          </w:p>
        </w:tc>
        <w:tc>
          <w:tcPr>
            <w:tcW w:w="30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Transition period ended December 31,</w:t>
            </w:r>
          </w:p>
        </w:tc>
      </w:tr>
      <w:tr>
        <w:trPr>
          <w:trHeight w:val="264"/>
        </w:trPr>
        <w:tc>
          <w:tcPr>
            <w:tcW w:w="84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2015 (unaudited)</w:t>
            </w:r>
          </w:p>
        </w:tc>
      </w:tr>
      <w:tr>
        <w:trPr>
          <w:trHeight w:val="250"/>
        </w:trPr>
        <w:tc>
          <w:tcPr>
            <w:tcW w:w="8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60" w:type="dxa"/>
            <w:vAlign w:val="bottom"/>
            <w:gridSpan w:val="4"/>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 in thousands)</w:t>
            </w:r>
          </w:p>
        </w:tc>
      </w:tr>
      <w:tr>
        <w:trPr>
          <w:trHeight w:val="255"/>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404,161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427,913</w:t>
            </w: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117,004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123,190</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Gross profit as a %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99,471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88,092</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Operating expenses as a %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4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17,533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35,098</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Income from operations as a %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3,672</w:t>
            </w:r>
          </w:p>
        </w:tc>
      </w:tr>
      <w:tr>
        <w:trPr>
          <w:trHeight w:val="27"/>
        </w:trPr>
        <w:tc>
          <w:tcPr>
            <w:tcW w:w="8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15,481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31,426</w:t>
            </w: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5,870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11,627</w:t>
            </w:r>
          </w:p>
        </w:tc>
      </w:tr>
      <w:tr>
        <w:trPr>
          <w:trHeight w:val="27"/>
        </w:trPr>
        <w:tc>
          <w:tcPr>
            <w:tcW w:w="8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9,611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19,799</w:t>
            </w: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 net of taxes</w:t>
            </w:r>
          </w:p>
        </w:tc>
        <w:tc>
          <w:tcPr>
            <w:tcW w:w="34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8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Mistras Group, Inc.</w:t>
            </w: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9,568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19,814</w:t>
            </w:r>
          </w:p>
        </w:tc>
      </w:tr>
      <w:tr>
        <w:trPr>
          <w:trHeight w:val="20"/>
        </w:trPr>
        <w:tc>
          <w:tcPr>
            <w:tcW w:w="8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segment for the transition periods ended December 31, 2016 and 2015 were as follows:</w:t>
      </w:r>
    </w:p>
    <w:p>
      <w:pPr>
        <w:spacing w:after="0" w:line="381"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For the Transition period</w:t>
      </w:r>
    </w:p>
    <w:p>
      <w:pPr>
        <w:spacing w:after="0" w:line="6"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13335</wp:posOffset>
            </wp:positionV>
            <wp:extent cx="18008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5" w:lineRule="exact"/>
        <w:rPr>
          <w:sz w:val="20"/>
          <w:szCs w:val="20"/>
          <w:color w:val="auto"/>
        </w:rPr>
      </w:pPr>
    </w:p>
    <w:p>
      <w:pPr>
        <w:ind w:left="9120"/>
        <w:spacing w:after="0"/>
        <w:tabs>
          <w:tab w:leader="none" w:pos="10200"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24765</wp:posOffset>
            </wp:positionV>
            <wp:extent cx="18008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9"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293,218</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327,118</w:t>
            </w:r>
          </w:p>
        </w:tc>
      </w:tr>
      <w:tr>
        <w:trPr>
          <w:trHeight w:val="27"/>
        </w:trPr>
        <w:tc>
          <w:tcPr>
            <w:tcW w:w="8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104,013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87,411</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14,541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18,786</w:t>
            </w:r>
          </w:p>
        </w:tc>
      </w:tr>
      <w:tr>
        <w:trPr>
          <w:trHeight w:val="27"/>
        </w:trPr>
        <w:tc>
          <w:tcPr>
            <w:tcW w:w="8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r>
      <w:tr>
        <w:trPr>
          <w:trHeight w:val="237"/>
        </w:trPr>
        <w:tc>
          <w:tcPr>
            <w:tcW w:w="85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404,161</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427,913</w:t>
            </w:r>
          </w:p>
        </w:tc>
      </w:tr>
      <w:tr>
        <w:trPr>
          <w:trHeight w:val="27"/>
        </w:trPr>
        <w:tc>
          <w:tcPr>
            <w:tcW w:w="85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Revenue was $404.2 million for the transition period ended December 31, 2016, a decrease of $23.8 million, or 6% compared with the transition period ended December 31, 2015. The decrease was driven by the Services segment, which decreased by $33.9 million, or 10% and the Products and Systems segment, which decreased by $4.2 million, or 23%, partially offset by an increase of $16.6 million, or 19% from the International segment. The Services segment decrease was driven by low double digit organic decline, offset by a small amount of acquisition growth. The Products and Systems segment decrease was driven by lower sales volume. The International segment increase was driven by organic growth, offset partially by an unfavorable impact of foreign exchange rates.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from oil and gas customers comprised 55% for the transition period ended December 31, 2016.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by segment for the transition periods ended December 31, 2016 and December 31, 2015 was as follows:</w:t>
      </w:r>
    </w:p>
    <w:p>
      <w:pPr>
        <w:spacing w:after="0" w:line="232"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For the Transition period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24765</wp:posOffset>
            </wp:positionV>
            <wp:extent cx="19037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03" w:lineRule="exact"/>
        <w:rPr>
          <w:sz w:val="20"/>
          <w:szCs w:val="20"/>
          <w:color w:val="auto"/>
        </w:rPr>
      </w:pPr>
    </w:p>
    <w:p>
      <w:pPr>
        <w:ind w:left="9000"/>
        <w:spacing w:after="0"/>
        <w:tabs>
          <w:tab w:leader="none" w:pos="10160"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24765</wp:posOffset>
            </wp:positionV>
            <wp:extent cx="19037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89"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4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75,784</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87,514</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4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4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34,210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26,762</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4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4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6,920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8,986</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4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4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80" w:type="dxa"/>
            <w:vAlign w:val="bottom"/>
            <w:tcBorders>
              <w:bottom w:val="single" w:sz="8" w:color="CCEEFF"/>
            </w:tcBorders>
            <w:shd w:val="clear" w:color="auto" w:fill="CCEEFF"/>
          </w:tcPr>
          <w:p>
            <w:pPr>
              <w:spacing w:after="0"/>
              <w:rPr>
                <w:sz w:val="22"/>
                <w:szCs w:val="22"/>
                <w:color w:val="auto"/>
              </w:rPr>
            </w:pPr>
          </w:p>
        </w:tc>
        <w:tc>
          <w:tcPr>
            <w:tcW w:w="49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117,004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123,190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i w:val="1"/>
                <w:iCs w:val="1"/>
                <w:color w:val="auto"/>
              </w:rPr>
              <w:t>% of total revenue</w:t>
            </w:r>
          </w:p>
        </w:tc>
        <w:tc>
          <w:tcPr>
            <w:tcW w:w="4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80" w:type="dxa"/>
            <w:vAlign w:val="bottom"/>
            <w:vMerge w:val="continue"/>
          </w:tcPr>
          <w:p>
            <w:pPr>
              <w:spacing w:after="0"/>
              <w:rPr>
                <w:sz w:val="19"/>
                <w:szCs w:val="19"/>
                <w:color w:val="auto"/>
              </w:rPr>
            </w:pPr>
          </w:p>
        </w:tc>
        <w:tc>
          <w:tcPr>
            <w:tcW w:w="4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486"/>
        </w:trPr>
        <w:tc>
          <w:tcPr>
            <w:tcW w:w="3880" w:type="dxa"/>
            <w:vAlign w:val="bottom"/>
          </w:tcPr>
          <w:p>
            <w:pPr>
              <w:spacing w:after="0"/>
              <w:rPr>
                <w:sz w:val="24"/>
                <w:szCs w:val="24"/>
                <w:color w:val="auto"/>
              </w:rPr>
            </w:pPr>
          </w:p>
        </w:tc>
        <w:tc>
          <w:tcPr>
            <w:tcW w:w="4540" w:type="dxa"/>
            <w:vAlign w:val="bottom"/>
          </w:tcPr>
          <w:p>
            <w:pPr>
              <w:jc w:val="right"/>
              <w:ind w:right="2530"/>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decreased $6.2 million, or 5% for the transition period ended December 31, 2016 compared to the transition period ended December 31,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percentage of revenues, gross profit improved by 10 basis points compared with the prior year to 28.9%.</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decrease in gross profit was primarily attributable to revenue declines in the Services segment of $11.7 million or 13% and in the Products and Systems segment of $2.1 million or 23%, offset in part by the International segment's improvement of $7.4 million or 28%. International gross profit margins improved to 32.9% of revenues in the transition period ended December 31, 2016 compared with 30.6% of revenues in the transition period ended December 31, 2015. The 230 basis point increase was due to improvement across the Company's largest country locations, driven by organic growth, improvements in technical labor utilization, sales mix and overhead utilization. Services segment gross profit margins decreased to 25.8% of revenues in the transition period ended December 31, 2016 compared with 26.8% of revenues in the transition period ended December 31, 2015. The 100 basis point decrease was primarily driven by lower sales volume and a less favorable sales mix. Products and Systems segment gross margins decreased by 20 basis points to 47.6% of revenues.</w:t>
      </w:r>
    </w:p>
    <w:p>
      <w:pPr>
        <w:spacing w:after="0" w:line="18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Income from Operations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table shows a reconciliation of the segment income from operations to income before for the transition 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December 31, 2016 and 2015:</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121" w:right="25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26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transition period ended December</w:t>
            </w:r>
          </w:p>
        </w:tc>
      </w:tr>
      <w:tr>
        <w:trPr>
          <w:trHeight w:val="195"/>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31,</w:t>
            </w:r>
          </w:p>
        </w:tc>
        <w:tc>
          <w:tcPr>
            <w:tcW w:w="740" w:type="dxa"/>
            <w:vAlign w:val="bottom"/>
            <w:tcBorders>
              <w:bottom w:val="single" w:sz="8" w:color="auto"/>
            </w:tcBorders>
          </w:tcPr>
          <w:p>
            <w:pPr>
              <w:spacing w:after="0"/>
              <w:rPr>
                <w:sz w:val="16"/>
                <w:szCs w:val="16"/>
                <w:color w:val="auto"/>
              </w:rPr>
            </w:pPr>
          </w:p>
        </w:tc>
      </w:tr>
      <w:tr>
        <w:trPr>
          <w:trHeight w:val="264"/>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2015 (unaudited)</w:t>
            </w:r>
          </w:p>
        </w:tc>
      </w:tr>
      <w:tr>
        <w:trPr>
          <w:trHeight w:val="196"/>
        </w:trPr>
        <w:tc>
          <w:tcPr>
            <w:tcW w:w="8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740" w:type="dxa"/>
            <w:vAlign w:val="bottom"/>
          </w:tcPr>
          <w:p>
            <w:pPr>
              <w:spacing w:after="0"/>
              <w:rPr>
                <w:sz w:val="17"/>
                <w:szCs w:val="17"/>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22,411</w:t>
            </w:r>
          </w:p>
        </w:tc>
        <w:tc>
          <w:tcPr>
            <w:tcW w:w="660" w:type="dxa"/>
            <w:vAlign w:val="bottom"/>
            <w:gridSpan w:val="3"/>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37,175</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Severance costs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Acquisition-related expense (benefit), net</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special items (non-GAAP)</w:t>
            </w: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22,724</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36,770</w:t>
            </w:r>
          </w:p>
        </w:tc>
      </w:tr>
      <w:tr>
        <w:trPr>
          <w:trHeight w:val="318"/>
        </w:trPr>
        <w:tc>
          <w:tcPr>
            <w:tcW w:w="88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6,888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Severance costs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write-offs and lease terminations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Acquisition-related expense (benefit), net</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special items (non-GAAP)</w:t>
            </w: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6,606</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318"/>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Products and Systems:</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income from operations (GAAP)</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2,613</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Severance costs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income before special items (non-GAAP)</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2,630</w:t>
            </w:r>
          </w:p>
        </w:tc>
      </w:tr>
      <w:tr>
        <w:trPr>
          <w:trHeight w:val="324"/>
        </w:trPr>
        <w:tc>
          <w:tcPr>
            <w:tcW w:w="8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 and Eliminations: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operations (GAAP)</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Severance costs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Acquisition-related expense (benefit), net</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before special items (non-GAAP)</w:t>
            </w: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(14,857)</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(11,487)</w:t>
            </w:r>
          </w:p>
        </w:tc>
      </w:tr>
      <w:tr>
        <w:trPr>
          <w:trHeight w:val="318"/>
        </w:trPr>
        <w:tc>
          <w:tcPr>
            <w:tcW w:w="88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304"/>
        </w:trPr>
        <w:tc>
          <w:tcPr>
            <w:tcW w:w="8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17,533</w:t>
            </w:r>
          </w:p>
        </w:tc>
        <w:tc>
          <w:tcPr>
            <w:tcW w:w="66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35,098</w:t>
            </w:r>
          </w:p>
        </w:tc>
      </w:tr>
      <w:tr>
        <w:trPr>
          <w:trHeight w:val="237"/>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Severance costs</w:t>
            </w: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write-offs and lease terminations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Acquisition-related expense (benefit), net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64"/>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special items (non-GAAP)</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19,769</w:t>
            </w:r>
          </w:p>
        </w:tc>
        <w:tc>
          <w:tcPr>
            <w:tcW w:w="660" w:type="dxa"/>
            <w:vAlign w:val="bottom"/>
            <w:gridSpan w:val="3"/>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34,519</w:t>
            </w:r>
          </w:p>
        </w:tc>
      </w:tr>
      <w:tr>
        <w:trPr>
          <w:trHeight w:val="20"/>
        </w:trPr>
        <w:tc>
          <w:tcPr>
            <w:tcW w:w="8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Total Company income from operations (GAAP) decreased by $17.6 million, or 50% compared to the transition period ended December 31, 2015. Total Company income before special items (non-GAAP) decreased by $14.8 million or 43% compared with the transition period ended December 31, 2015. Income before special items declined by 320 basis points to 4.9% of revenues for the transition period ended December 31, 2016.</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Total operating expenses increased by $11.4 million, or 13% in the transition period ended December 31, 2016 compared to the transition period ended December 31, 2015. The increase included approximately $5 million of expenses that were primarily associated with the acceleration of certain costs to align with our new fiscal year, and other charges which included severance and the write-off of an intangible asset.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Interest expense was $2.1 million and $3.7 million for the transition periods ended December 31, 2016 and December 31, 2015, respectively. The decrease was primarily related to the repayment of seller notes related to acquisitions.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effective income tax rate was 38% for the transition period ended December 31, 2016 compared to 37% for the transition period ended December 31, 2015. The higher effective tax rate was driven by the impact of permanent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has funded its operations from cash provided from operations, bank borrowings and capital lease financings. Management believes that the Company's existing cash and cash equivalents, anticipated cash flows from operating activities, and available borrowings under our credit agreement will be more than sufficient to meet anticipated cash needs over the next 12 months. The Company generated operating cash flow of $41.7 million for the year ended December 31, 2018, $55.8 million for the year ended December 31, 2017, $63.2 million for the year ended December 31, 2016 and $30.3 million for the transition period ended December 31, 2016. The Company generated operating cash flow of $68.1 million in fiscal 2016. Capital expenditures for the purchase of property, plant and equipment and of intangible assets was $21.1 million, $20.6 million, $15.9 million, $9.8 million and $16.2 million for the years ended December 31, 2018, 2017 and 2016, the transition period ended December 31, 2016 and fiscal 2016,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Table</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2018, 2017 and 2016, the transition period ended December 31, 2016 and fiscal 2016:</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 Transition</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0" w:type="dxa"/>
            <w:vAlign w:val="bottom"/>
            <w:gridSpan w:val="7"/>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7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period ended December</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0" w:type="dxa"/>
            <w:vAlign w:val="bottom"/>
            <w:gridSpan w:val="7"/>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31,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May 31,</w:t>
            </w:r>
          </w:p>
        </w:tc>
        <w:tc>
          <w:tcPr>
            <w:tcW w:w="0" w:type="dxa"/>
            <w:vAlign w:val="bottom"/>
          </w:tcPr>
          <w:p>
            <w:pPr>
              <w:spacing w:after="0"/>
              <w:rPr>
                <w:sz w:val="1"/>
                <w:szCs w:val="1"/>
                <w:color w:val="auto"/>
              </w:rPr>
            </w:pPr>
          </w:p>
        </w:tc>
      </w:tr>
      <w:tr>
        <w:trPr>
          <w:trHeight w:val="259"/>
        </w:trPr>
        <w:tc>
          <w:tcPr>
            <w:tcW w:w="424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41,664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55,799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63,211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30,259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68,124</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(155,450)</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113,969</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53,045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3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9,555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10,633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for the year ended December 31, 2018 was $41.7 million, a decline of $14 million from the prior year. The decrease was primarily attributable to movements in working capital, including the timing of collections on accounts receivable.</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for the year ended December 31, 2017 was $55.8 million, a decline of $8 million from the prior year. The decrease was primarily attributable to a lower level of net income, exclusive of the $15.8 million impairment charge during 2017.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operating activities for the transition period ended December 31, 2016 was $30.3 million.</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in fiscal 2016 improved by $18 million or 37% over the prior fiscal year. This improvement was primarily driven by the Company's $16 million improvement in net income, as adjusted for working capital items and certain non-cash items, most notably the $6 million legal settlement, as well as from reducing Days Sales Outstanding by 2 days.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2018 was $155.5 million, principally due to $135.7 million of acquisitions, net of dispositions, and $21.1 million purchases of property, plant and equipment and intangible assets.</w:t>
      </w:r>
    </w:p>
    <w:p>
      <w:pPr>
        <w:spacing w:after="0" w:line="16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2017 was $102.8 million, principally due to $83.4 million of acquisitions and $20.6 million purchases of property, plant and equipment and intangible assets. Net cash used in investing activities for the year ended December 31, 2016 was $22.4 million, principally due to $15.9 million purchases of property, plant and equipment and intangible assets as well as $8.3 million of acquisitions.</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transition period ended December 31, 2016 was $17.4 million, principally due to $9.8 million purchases of property, plant and equipment and intangible assets and $8.3 million of acquisitions.</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$16.8 million in fiscal 2016, principally due to $16.2 million purchases of property, plant and equipment and intangible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2018 was $114.0 million, derived from our net borrowings for the year of $125.2 million, which were primarily used to fund acquisitions, offset by $6.2 million of net repayments of other debt and capital lease obligations and $2.3 million of contingent consideration payments.</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2017 was $53.0 million, derived from our net borrowings for the year of $71.5 million, which were primarily used to fund acquisitions, offset principally by $15.9 million of treasury stock purchases. Net cash used in financing activities for the year ended December 31, 2016 was $30.0 million, driven primarily by $17.3 million of net repayments of debt and $9.0 million of treasury stock purchases.</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transition period ended December 31, 2016 was $12.9 million, driven primarily by $9 million of treasury stock purchases and $2 million of net repayments of debt.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 in fiscal 2016 of $40 million consisted primarily of net repayments of debt totaling $36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Balance and Credit Facility Borrowings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December 31, 2018, the Company had cash and cash equivalents totaling $25.5 million, of which $24.9 million is outside of the United States, and available borrowing capacity of up to $112.9 million under its credit agreement (as defined below). Borrowings of $281.7 million and letters of credit of $5.4 million were outstanding under the credit agreement at December 31, 2018. We finance our operations primarily through our existing cash balances, cash collected from operations, bank borrowings and capital lease financing. We believe these sources are sufficient to fund our operations for the foreseeable future.</w:t>
      </w:r>
    </w:p>
    <w:p>
      <w:pPr>
        <w:spacing w:after="0" w:line="1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December 13, 2018, the Company entered into a Fifth Amended and Restated Credit Agreement (“Credit Agreement”). The Credit Agreement increased the Company’s revolving line of credit from $250 million to $300 million and provides that under certain circumstances the line of credit can be increased to $450 million. In addition, the Credit Agreement provided the Company with a $100 million senior secured term loan A facility. The Company increased its borrowing capacity under the Credit Agreement primarily to fund an acquisition in December 2018. Both the revolving line of credit and the term loan A facility under the Credit Agreement have a maturity date of December 12, 2023. The Company may continue to borrow up to $100 million in non-U.S. Dollar currencies and use up to $20 million of the credit limit for the issuance of letters of credit.</w:t>
      </w:r>
    </w:p>
    <w:p>
      <w:pPr>
        <w:spacing w:after="0" w:line="1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Loans under the Credit Agreement bear interest at LIBOR plus an applicable LIBOR margin ranging from 1% to 2%, or a base rate less a margin of 1.25% to 0.375%, at the option of the Company, based upon the Company’s Funded Debt Leverage Ratio. Funded Debt Leverage Ratio is generally the ratio of (1) all outstanding indebtedness for borrowed money and other interest-bearing indebtedness as of the date of determination to (2) EBITDA (which is (a) net income, less (b) income (or plus loss) from discontinued operations and extraordinary items, plus (c) income tax expenses, plus (d) interest expense, plus</w:t>
      </w:r>
    </w:p>
    <w:p>
      <w:pPr>
        <w:spacing w:after="0" w:line="3" w:lineRule="exact"/>
        <w:rPr>
          <w:sz w:val="20"/>
          <w:szCs w:val="20"/>
          <w:color w:val="auto"/>
        </w:rPr>
      </w:pPr>
    </w:p>
    <w:p>
      <w:pPr>
        <w:ind w:firstLine="8"/>
        <w:spacing w:after="0" w:line="254" w:lineRule="auto"/>
        <w:tabs>
          <w:tab w:leader="none" w:pos="24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depletion, and amortization (including non-cash loss on retirement of assets), plus (f) stock compensation expense, less (g) cash expense related to stock compensation, plus (h) certain amounts of EBITDA of acquired business for the prior twelve months, plus (i) certain expenses related to the closing of the Credit Agreement, plus (j) non-cash expenses which do not (in the current or any future period) represent a cash item (excluding non-cash gains which increase net income), plus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121" w:right="25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40" w:firstLine="8"/>
        <w:spacing w:after="0" w:line="255" w:lineRule="auto"/>
        <w:tabs>
          <w:tab w:leader="none" w:pos="2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charges (not to exceed $10 million in the four consecutive quarters immediately preceding the date of determination) for items such as severance, lease termination charges, asset write-offs and litigation settlements paid, and multi-employer pension plan withdrawal liabilities, all determined for the period of four consecutive fiscal quarters immediately preceding the date of determination of EBITDA. The Company has the benefit of the lowest margin if its Funded Debt Leverage Ratio is equal to or less than 1.0 to 1, and the margin increases as the ratio increases, to the maximum margin if the ratio is greater than 3.25 to 1. The Company will also bear additional costs for market disruption, regulatory changes effecting the lenders’ funding costs, and default pricing of an additional 2% interest rate margin on any amounts not paid when due. Amounts borrowed under the Credit Agreement are secured by liens on substantially all of the assets of the Company and is guaranteed by some of our subsidiaries.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Credit Agreement contains financial covenants requiring that the Company maintain a Funded Debt Leverage Ratio of no greater than 4.25 to 1 through December 31, 2018, reducing to a maximum permitted ratio of 3.50 to 1 as of March 31, 2020 and all quarterly periods thereafter, and a Fixed Charge Coverage Ratio of at least 1.25 to 1. Fixed Charge Coverage Ratio means the ratio, as of any date of determination, of (a) (i) EBITDA for the 12 month period immediately preceding the date of determination, taken together as one accounting period, less (ii) the aggregate amount of all capital expenditures made during the period, less (iii) taxes paid in cash during the period, less (iv) Restricted Payments paid in cash during the period, -to- (b) the sum of (i) all interest, premium payments, debt discount, fees, charges and related expenses of us and our subsidiaries in connection with borrowed money (including capitalized interest) or in connection with the deferred purchase price of assets, in each case, to the extent treated as interest in accordance with U.S. generally accepted accounting principles ("GAAP") and to the extent paid in cash during the period, (ii) the aggregate principal amount of all redemptions or similar acquisitions for value of outstanding debt for borrowed money or regularly scheduled principal payments made during the period, but excluding any such payments to the extent refinanced through the incurrence of additional Indebtedness otherwise expressly permitted under the Credit Agreement, and (iii) payments made during the period under all leases that have been or should be, in accordance with GAAP as in effect for our 2017 audited financial statement, recorded as capitalized leases. Beginning in 2020, the Company can elect to increase the maximum Funded Debt Leverage Ratio to 4.0 to 1 for four fiscal quarters immediately following the fiscal quarter in which the Company acquires another business, with the maximum permitted ratio reducing back to 3.5 to 1 in the fifth fiscal quarter following such acquisition. The Company can make this election twice during the term of the Credit Agreement.</w:t>
      </w:r>
    </w:p>
    <w:p>
      <w:pPr>
        <w:spacing w:after="0" w:line="19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Credit Agreement also limits the Company’s ability to, among other things, create liens, make investments, incur more indebtedness, merge or consolidate, make dispositions of property, pay dividends and make distributions to stockholders or repurchase our stock, enter into a new line of business, enter into transactions with affiliates and enter into burdensome agreements. 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8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December 31, 2018, the Company was in compliance with the terms of the Credit Agreement, and has undertaken to continuously monitor compliance with these covenants.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Outlook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Sources of Cash</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expect our future sources of cash to include cash flow generated from our operating activities and borrowings under our Credit Agreement. Our revolving credit facility is available for cash advances required for working capital and for letters of credit to support our operations. Acquisitions are funded through available cash and borrowings under the Credit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Uses of Cash</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expect our future uses of cash will primarily be for acquisitions, international expansion, stock repurchases, purchases or manufacture of field testing equipment to support growth, additional investments in technology and software products and the replacement of existing assets and equipment used in our operations. We often make purchases to support new sources of revenues, particularly in our Services segment. In addition, we will need to fund a certain amount of replacement equipment, including our fleet vehicles. We historically spend approximately 2% to 3% of our total revenues on capital expenditures, excluding acquisitions, and expect to fund these expenditures through a combination of cash and lease financing. Our cash</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capital expenditures, excluding acquisitions, for the year ended December 31, 2018 and 2017, the transition period ended December 31, 2016 and for fiscal 2016 were approximately 3%, 3%, 2% and 2% of revenues, respectively.</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future acquisitions may also require capital. We acquired one company during the year ended December 31, 2018 and three companies during the year ended December 31, 2017 for an aggregate cash outlay of $227 million. In some cases, additional equipment will be needed to upgrade the capabilities of these acquired companies. In addition, our future acquisition and capital spending may increase as we pursue growth opportunities. Other investments in infrastructure, training and software may also be required to match our growth, but we plan to continue using a disciplined approach to building our business. In addition, we will use cash to fund our operating leases, capital leases, long-term debt repayments and various other obligations as they arise.</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also expect to use cash to support our working capital requirements for our operations, particularly in the event of further growth and due to the impacts of seasonality on our business. Our future working capital requirements will depend on many factors, including the rate of our revenue growth, our introduction of new solutions and enhancements to existing solutions and our expansion of sales and marketing and product development activities. To the extent that our cash and cash equivalents and future cash flows from operating activities are insufficient to fund our future activities, we may need to raise additional funds through bank credit arrangements, public or private equity financings, or debt financings. We also may need to raise additional funds in the event we determine in the future to effect one or more acquisitions of businesses, technologies or products that will complement our existing operations. In the event additional funding is required, we may not be able to obtain bank credit arrangements or effect an equity or debt financing on acceptable terms.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generally do not enter into long-term minimum purchase commitments. Our principal commitments, in addition to those related to our long-term debt discussed below, consist of obligations under facility leases for office space and equipment leases and contingent consideration obligations in connection with our acquisitions.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outstanding contractual obligations as of December 31, 2018:</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9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95"/>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290,620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6,831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11,030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255,043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2,451</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Capital lease obligations (2)</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13,987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3,489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45,762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10,939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10,667</w:t>
            </w:r>
          </w:p>
        </w:tc>
        <w:tc>
          <w:tcPr>
            <w:tcW w:w="0" w:type="dxa"/>
            <w:vAlign w:val="bottom"/>
          </w:tcPr>
          <w:p>
            <w:pPr>
              <w:spacing w:after="0"/>
              <w:rPr>
                <w:sz w:val="1"/>
                <w:szCs w:val="1"/>
                <w:color w:val="auto"/>
              </w:rPr>
            </w:pPr>
          </w:p>
        </w:tc>
      </w:tr>
      <w:tr>
        <w:trPr>
          <w:trHeight w:val="225"/>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obligations (3)</w:t>
            </w:r>
          </w:p>
        </w:tc>
        <w:tc>
          <w:tcPr>
            <w:tcW w:w="28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commitments (4)</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2,145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354,879</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24,143</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19,446</w:t>
            </w:r>
          </w:p>
        </w:tc>
        <w:tc>
          <w:tcPr>
            <w:tcW w:w="120" w:type="dxa"/>
            <w:vAlign w:val="bottom"/>
          </w:tcPr>
          <w:p>
            <w:pPr>
              <w:spacing w:after="0"/>
              <w:rPr>
                <w:sz w:val="21"/>
                <w:szCs w:val="21"/>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19,979</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17,331</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260,089</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13,891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8890</wp:posOffset>
            </wp:positionV>
            <wp:extent cx="55740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-127635</wp:posOffset>
            </wp:positionV>
            <wp:extent cx="55740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5" w:lineRule="exact"/>
        <w:rPr>
          <w:sz w:val="20"/>
          <w:szCs w:val="20"/>
          <w:color w:val="auto"/>
        </w:rPr>
      </w:pPr>
    </w:p>
    <w:p>
      <w:pPr>
        <w:ind w:left="340" w:right="18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primarily of the principal portion of borrowings from our senior credit facility and seller notes payable in connection with our acquisitions and includes the current portion outstanding.</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estimated cash interest to be paid over the remaining terms of the leases.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payments deemed reasonably likely to occur in connection with our acquisitions.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remaining portion of a three-year cumulative agreement to purchase products from the buyer associated with the sale of a subsidiary.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2018 and 2017, the transition period ended December 31, 2016 as well as fiscal 2016,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2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generally accepted accounting principles requires that we make estimates and assumptions that affect the reported amounts of assets and liabilities and disclosure of contingent assets and liabilities at the date of financial statements and the reported amounts of revenues and expenses during the reporting period. The accounting policies that we believe require more significant estimates and assumptions include: revenue recognition, long-lived assets and goodwill. We base our estimates and assumptions on historical experience, known or expected trends and various other assumptions that we believe to be reasonable. As future events and their effects cannot be determined with precision, actual results could differ significantly from these estimates, which may cause our future results to be significantly affected.</w:t>
      </w:r>
    </w:p>
    <w:p>
      <w:pPr>
        <w:spacing w:after="0" w:line="1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believe that the following critical accounting policies comprise the more significant estimates and assumptions used in the preparation of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 xml:space="preserve">The majority of the Company's revenues are derived from providing services on a time and material basis and are short-term in nature. The Company accounts for revenue in accordance with ASC Topic 606, </w:t>
      </w:r>
      <w:r>
        <w:rPr>
          <w:rFonts w:ascii="Times New Roman" w:cs="Times New Roman" w:eastAsia="Times New Roman" w:hAnsi="Times New Roman"/>
          <w:sz w:val="18"/>
          <w:szCs w:val="18"/>
          <w:i w:val="1"/>
          <w:iCs w:val="1"/>
          <w:color w:val="auto"/>
        </w:rPr>
        <w:t>Revenue from Contracts with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in ASC Topic 606. A contract’s transaction price is allocated to each distinct performance obligation and recognized as revenue when, or as, the performance obligation is satisfied. The majority of our contracts have a single performance obligation as the promise to transfer the individual goods or services is not separately identifiable from other promises in the contracts and is, therefore, not distinct. The Company provides highly integrated and bundled inspection services to its customers. Some of our contracts have multiple performance obligations, most commonly due to the contract providing both goods and services. For contracts with multiple performance obligations, the Company allocates the contract’s transaction price to each performance obligation using our best estimate of the standalone selling price of each distinct good or service in the contract. The primary method used to estimate standalone selling price is a relative selling price based on price lists.</w:t>
      </w:r>
    </w:p>
    <w:p>
      <w:pPr>
        <w:spacing w:after="0" w:line="18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Contract modifications are not routine in the performance of our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17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performance obligations are satisfied over time as work progresses or at a point in time. The majority of our revenue recognized over time as work progresses is related to our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Revenue is recognized on a cost-to-cost method tracked on an input basis.</w:t>
      </w:r>
    </w:p>
    <w:p>
      <w:pPr>
        <w:spacing w:after="0" w:line="18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majority of our revenue recognized at a point in time is related to product sales when the customer obtains control of the asset, which is generally upon shipment to the customer. Contract costs include labor, material and overhead.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any significant remaining performance obligations to be satisfied within one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3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The majority of our revenues are short-term in nature. The Company has many Master Service Agreements (MSAs) that specify an overall framework and terms of contract when the Company and customers agree upon services or products to be provided. The actual contracting to provide services or furnish products are triggered by a work order, purchase order, or some similar document issued pursuant to a MSA which sets forth the scope of services and/or identifies the products to be provided. From time-to-time, the Company may enter into long-term contracts, which can range from several months to several years. Revenue on such long-term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our project managers, engineers and financial professionals. Factors that are considered in estimating the work to be completed include the availability of materials, the effect of any delays in our project performance and the recoverability of any claims. Whenever</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121" w:right="25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revisions of estimates, contract costs and/or contract values indicate that the contract costs will exceed estimated revenues, thus creating a loss, a provision for the total estimated loss is recorded in that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perform a review of long-lived assets (or asset groups) for impairment when events or changes in circumstances indicate the carrying value of such assets may not be recoverable. If an indication of impairment is present, we compare the estimated undiscounted future cash flows to be generated by the asset (or asset group) to its carrying amount. If the undiscounted future cash flows are less than the carrying amount of the asset (or asset group), we record an impairment loss equal to the excess of the asset’s carrying amount over its fair value. We estimate fair value based on valuation techniques such as a discounted cash flow analysis or a comparison to fair values of similar assets. As of December 31, 2018 and December 31, 2017, we had $93.9 million and $87.1 million in net property, plant and equipment, respectively, and $111.4 million and $63.7 million in intangible assets, net, respectively. During the third quarter of 2017, there was a triggering event in the Products and Systems segment that resulted in a $2.6 million impairment charge of long-lived assets. (See Note 9 in the notes to consolidated financial statements in Item 8 of this Annual Report for further details) During the transition period ended December 31, 2016, $0.8 million of specifically identified assets were written off.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Goodwill represents the excess purchase price of acquired businesses over the fair values attributed to underlying net tangible assets and identifiable intangible assets. We test goodwill for impairment at a “reporting unit” level (which for the Company is represented by (i) our Services segment, (ii) our Products and Systems segment, and (iii) the European component and (iv) Brazilian component of our International segment). Our annual impairment test is conducted on the first day of our fourth quarter, which is October 1. Goodwill is also tested for impairment whenever an event occurs or circumstances change that would more likely than not reduce the fair value of a reporting unit below its carrying amount. During the third quarter of 2017, there was a triggering event in the Products and Systems segment that resulted in a $13.2 million goodwill impairment charge. See Note 8 in the notes to consolidated financial statements in Item 8 of this Annual Report for further details.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the fair value of a reporting unit is less than its carrying value, this is an indicator that the goodwill assigned to that reporting unit may be impaired. As a result of the Company adopting ASU 2017-04, impairment will be recorded in the amount that fair value is less than carrying value, as the ASU eliminated step two of goodwill impairment process. The Company considers the income and market approaches to estimating the fair value of our reporting units, which requires significant judgment in evaluation of economic and industry trends, estimated future cash flows, discount rates and other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We allocate the purchase price of acquired businesses to their identifiable tangible assets and liabilities as well as identifiable intangible assets, such as customer relationships, technology, non-compete agreements and trade names. Allocations are based on estimated fair values of assets and liabilities, which reflects assumptions that would be made by typical market participants if they were to buy or sell each asset on an individual asset basis. Certain estimates and judgments are required in the application of the fair value techniques, including estimates of the respective acquisitions' future performance and related cash flows, selection of a discount rate and economic lives, and use of Level 3 measurements as defined in Accounting Standards Update ("ASC") 820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Value Measurements and Disclosure. </w:t>
      </w:r>
      <w:r>
        <w:rPr>
          <w:rFonts w:ascii="Times New Roman" w:cs="Times New Roman" w:eastAsia="Times New Roman" w:hAnsi="Times New Roman"/>
          <w:sz w:val="18"/>
          <w:szCs w:val="18"/>
          <w:color w:val="auto"/>
        </w:rPr>
        <w:t>Deferred taxes are recorded for any differences between the assigned values and tax bases of assets and liabilities.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engage third-party valuation experts to assist in determining the fair values for both identifiable tangible and intangible assets. The judgments made in determining the estimated fair value assigned to each class of assets acquired and liabilities assumed, as well as asset lives, could materially impact our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808"/>
        </w:rPr>
        <w:t>For information about recent accounting pronouncements, see Note 1 to the consolidated financial statements.</w:t>
      </w:r>
    </w:p>
    <w:p>
      <w:pPr>
        <w:spacing w:after="0" w:line="2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Company’s investment portfolio primarily includes cash equivalents for which the market values are not significantly affected by changes in interest rates. Our interest rate risk results primarily from our variable rate indebtedness under our credit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facility, which is influenced by movements in short-term rates. Borrowings under our $300.0 million revolving credit facility as well as our $100.0 million senior secured term loan A facility are based on an LIBOR, plus an additional margin based on our Funded Debt Leverage Ratio. Based on the amount of variable rate debt, $181.7 million at December 31, 2018, an increase in interest rates by one hundred basis points from our current rate would increase annual interest expense by approximately $2.8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foreign currency exposure related to our operations in foreign locations. This foreign currency exposure, particularly the Euro, British Pound Sterling, Brazilian Real, Canadian Dollar and the Indian Rupee, arises primarily from the translation of our foreign subsidiaries’ financial statements into U.S. Dollars. For example, a portion of our annual sales and operating costs are denominated in British Pound Sterling and we have exposure related to sales and operating costs increasing or decreasing based on changes in currency exchange rates. If the U.S. Dollar increases in value against these foreign currencies, the value in U.S. Dollars of the assets and liabilities originally recorded in these foreign currencies will decrease. Conversely, if the U.S. Dollar decreases in value against these foreign currencies, the value in U.S. Dollars of the assets and liabilities originally recorded in these foreign currencies will increase. Thus, increases and decreases in the value of the U.S. Dollar relative to these foreign currencies have a direct impact on the value in U.S. Dollars of our foreign currency denominated assets and liabilities, even if the value of these items has not changed in their original currency. Translation adjustments for these movements are recorded as a separate component of Accumulated Other Comprehensive Income in Shareholder Equity. We do not currently enter into forward exchange contracts to hedge exposures denominated in foreign currencies. An unfavorable 10% change (strengthening) in the average U.S. Dollar exchange rates for the year ended December 31, 2018 would cause a decrease in consolidated operating income of approximately $0.5 million and a favorable 10% change (weakening) would cause an increase of approximately $0.6 million. We may consider entering into hedging or forward exchange contracts in the future, as sales in international currencies increase due to growth in our International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do not have material exposure to market risk with respect to investments, as our investments consist primarily of highly liquid investments purchased with a remaining maturity of three months or less. We do not use derivative financial instruments for speculative or trading purposes; however, this does not preclude our adoption of specific hedging strategies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 and Changing Prices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of operations and financial condition have not been significantly affected by inflation and changing prices.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of Directors and Stockholders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Mistras Group, Inc.:</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Mistras Group, Inc. and subsidiaries (the Company) as of December 31, 2018 and 2017, the related consolidated statements of income (loss), comprehensive income (loss), equity, and cash flows for each of the years in the two-year period ended December 31, 2018, the seven month transition period ended December 31, 2016, and the year ended May 31, 2016, and the related notes (collectively, the consolidated financial statements). We also have audited the Company’s internal control over financial reporting as of December 31, 2018, based on criteria established in Internal Control - Integrated Framework (2013) issued by the Committee of Sponsoring Organizations of the Treadway Commission.</w:t>
      </w:r>
    </w:p>
    <w:p>
      <w:pPr>
        <w:spacing w:after="0" w:line="14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In our opinion, the consolidated financial statements referred to above present fairly, in all material respects, the financial position of the Company as of December 31, 2018 and 2017, and the results of its operations and its cash flows for each of the years in the two-year period ended December 31, 2018, the seven month transition period ended December 31, 2016, and the year ended May 31, 2016, in conformity with U.S. generally accepted accounting principles. Also in our opinion, the Company maintained, in all material respects, effective internal control over financial reporting as of December 31, 2018 based on criteria established in Internal Control - Integrated Framework (2013) issued by the Committee of Sponsoring Organizations of the Treadway Commission.</w:t>
      </w:r>
    </w:p>
    <w:p>
      <w:pPr>
        <w:spacing w:after="0" w:line="14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The Company acquired Onstream Holdings, Inc. during 2018, and management excluded from its assessment of the effectiveness of the Company’s internal control over financial reporting as of December 31, 2018, Onstream Holdings, Inc.’s internal control over financial reporting associated with total assets of 2.1% and total revenues of 0.1% included in the consolidated financial statements of the Company as of and for the year ended December 31, 2018. Our audit of internal control over financial reporting of the Company also excluded an evaluation of the internal control over financial reporting of Onstream Holdings, Inc.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8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8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9"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7"/>
          <w:szCs w:val="17"/>
          <w:color w:val="auto"/>
        </w:rPr>
        <w:t>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Short Hills, New Jersey</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2019</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40"/>
          </w:cols>
          <w:pgMar w:left="240" w:top="121" w:right="31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25,544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27,541</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148,324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138,080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13,053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10,503</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15,870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18,884</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202,791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195,008</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93,895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87,143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111,395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63,739</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279,259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203,438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1,606</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4,767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3,507</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694,037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554,441</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84"/>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13,863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10,362</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73,895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65,561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2,358</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capital lease obligations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3,922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5,875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1,958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6,069</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100,471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90,225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283,787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164,520</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Obligations under capital leases, net of current portion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9,075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8,738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23,148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8,803</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6,482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11,363</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422,963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283,649</w:t>
            </w:r>
          </w:p>
        </w:tc>
      </w:tr>
      <w:tr>
        <w:trPr>
          <w:trHeight w:val="297"/>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97"/>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10,000,000 shares authorized</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$0.01 par value, 200,000,000 shares authorized, 28,562,608 and 28,294,968 shares issued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282</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226,616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222,425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71,553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64,717</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(16,805)</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Mistras Group, Inc. 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270,897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270,619</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173</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Equity</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271,074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270,792</w:t>
            </w:r>
          </w:p>
        </w:tc>
      </w:tr>
      <w:tr>
        <w:trPr>
          <w:trHeight w:val="25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694,037</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554,441</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1"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1" w:right="239" w:bottom="1440" w:gutter="0" w:footer="0" w:header="0"/>
          <w:type w:val="continuous"/>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transition</w:t>
            </w:r>
          </w:p>
        </w:tc>
        <w:tc>
          <w:tcPr>
            <w:tcW w:w="120" w:type="dxa"/>
            <w:vAlign w:val="bottom"/>
          </w:tcPr>
          <w:p>
            <w:pPr>
              <w:spacing w:after="0"/>
              <w:rPr>
                <w:sz w:val="13"/>
                <w:szCs w:val="13"/>
                <w:color w:val="auto"/>
              </w:rPr>
            </w:pPr>
          </w:p>
        </w:tc>
        <w:tc>
          <w:tcPr>
            <w:tcW w:w="900" w:type="dxa"/>
            <w:vAlign w:val="bottom"/>
            <w:vMerge w:val="restart"/>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2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period ended</w:t>
            </w: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ended May 31,</w:t>
            </w: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69"/>
        </w:trPr>
        <w:tc>
          <w:tcPr>
            <w:tcW w:w="59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742,354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700,970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404,161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719,181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512,024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492,238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274,298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494,911</w:t>
            </w: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22,456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21,020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12,859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21,262</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207,874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187,712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117,004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203,008</w:t>
            </w: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166,352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153,025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91,058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141,229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charges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withdrawal expense</w:t>
            </w:r>
          </w:p>
        </w:tc>
        <w:tc>
          <w:tcPr>
            <w:tcW w:w="2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subsidiary</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engineering</w:t>
            </w:r>
          </w:p>
        </w:tc>
        <w:tc>
          <w:tcPr>
            <w:tcW w:w="2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2,523</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11,212</w:t>
            </w: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Acquisition-related expense (benefit), net</w:t>
            </w:r>
          </w:p>
        </w:tc>
        <w:tc>
          <w:tcPr>
            <w:tcW w:w="2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charges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6,320</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22,221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4,160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17,533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43,177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4,386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2,052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4,762</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(loss) before provision for income taxes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14,271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15,481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38,415</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5,870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13,765</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6,845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9,611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24,650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 net of taxes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97"/>
        </w:trPr>
        <w:tc>
          <w:tcPr>
            <w:tcW w:w="59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 attributable to Mistras Group, Inc.</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6,836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9,568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24,654</w:t>
            </w:r>
          </w:p>
        </w:tc>
        <w:tc>
          <w:tcPr>
            <w:tcW w:w="0" w:type="dxa"/>
            <w:vAlign w:val="bottom"/>
          </w:tcPr>
          <w:p>
            <w:pPr>
              <w:spacing w:after="0"/>
              <w:rPr>
                <w:sz w:val="1"/>
                <w:szCs w:val="1"/>
                <w:color w:val="auto"/>
              </w:rPr>
            </w:pPr>
          </w:p>
        </w:tc>
      </w:tr>
      <w:tr>
        <w:trPr>
          <w:trHeight w:val="237"/>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(loss) per common share</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0.82</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28,406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28,422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28,989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28,856</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29,427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28,422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30,125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29,891</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transition</w:t>
            </w:r>
          </w:p>
        </w:tc>
        <w:tc>
          <w:tcPr>
            <w:tcW w:w="140" w:type="dxa"/>
            <w:vAlign w:val="bottom"/>
          </w:tcPr>
          <w:p>
            <w:pPr>
              <w:spacing w:after="0"/>
              <w:rPr>
                <w:sz w:val="13"/>
                <w:szCs w:val="13"/>
                <w:color w:val="auto"/>
              </w:rPr>
            </w:pPr>
          </w:p>
        </w:tc>
        <w:tc>
          <w:tcPr>
            <w:tcW w:w="98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period ended</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ended May 31,</w:t>
            </w: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6,845</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9,611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24,650</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(10,752)</w:t>
            </w:r>
          </w:p>
        </w:tc>
        <w:tc>
          <w:tcPr>
            <w:tcW w:w="3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12,919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25,664</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40" w:type="dxa"/>
            <w:vAlign w:val="bottom"/>
          </w:tcPr>
          <w:p>
            <w:pPr>
              <w:spacing w:after="0"/>
              <w:rPr>
                <w:sz w:val="21"/>
                <w:szCs w:val="21"/>
                <w:color w:val="auto"/>
              </w:rPr>
            </w:pPr>
          </w:p>
        </w:tc>
        <w:tc>
          <w:tcPr>
            <w:tcW w:w="11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 attributable to</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5"/>
        </w:trPr>
        <w:tc>
          <w:tcPr>
            <w:tcW w:w="478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Comprehensive (loss) income attributable to Mistras</w:t>
            </w:r>
          </w:p>
        </w:tc>
        <w:tc>
          <w:tcPr>
            <w:tcW w:w="24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38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10,748</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25,669</w:t>
            </w:r>
          </w:p>
        </w:tc>
        <w:tc>
          <w:tcPr>
            <w:tcW w:w="0" w:type="dxa"/>
            <w:vAlign w:val="bottom"/>
          </w:tcPr>
          <w:p>
            <w:pPr>
              <w:spacing w:after="0"/>
              <w:rPr>
                <w:sz w:val="1"/>
                <w:szCs w:val="1"/>
                <w:color w:val="auto"/>
              </w:rPr>
            </w:pPr>
          </w:p>
        </w:tc>
      </w:tr>
      <w:tr>
        <w:trPr>
          <w:trHeight w:val="246"/>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Group, Inc.</w:t>
            </w:r>
          </w:p>
        </w:tc>
        <w:tc>
          <w:tcPr>
            <w:tcW w:w="2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7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219"/>
          </w:cols>
          <w:pgMar w:left="240" w:top="121" w:right="1440"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1660" w:type="dxa"/>
            <w:vAlign w:val="bottom"/>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520" w:type="dxa"/>
            <w:vAlign w:val="bottom"/>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Mistras Group,</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7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vMerge w:val="restart"/>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4"/>
                <w:szCs w:val="4"/>
                <w:color w:val="auto"/>
              </w:rPr>
            </w:pPr>
          </w:p>
        </w:tc>
        <w:tc>
          <w:tcPr>
            <w:tcW w:w="1100" w:type="dxa"/>
            <w:vAlign w:val="bottom"/>
            <w:gridSpan w:val="2"/>
            <w:vMerge w:val="restart"/>
          </w:tcPr>
          <w:p>
            <w:pPr>
              <w:jc w:val="center"/>
              <w:ind w:right="220"/>
              <w:spacing w:after="0" w:line="115"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20" w:type="dxa"/>
            <w:vAlign w:val="bottom"/>
          </w:tcPr>
          <w:p>
            <w:pPr>
              <w:spacing w:after="0"/>
              <w:rPr>
                <w:sz w:val="4"/>
                <w:szCs w:val="4"/>
                <w:color w:val="auto"/>
              </w:rPr>
            </w:pPr>
          </w:p>
        </w:tc>
        <w:tc>
          <w:tcPr>
            <w:tcW w:w="1120" w:type="dxa"/>
            <w:vAlign w:val="bottom"/>
            <w:gridSpan w:val="2"/>
            <w:vMerge w:val="restart"/>
          </w:tcPr>
          <w:p>
            <w:pPr>
              <w:jc w:val="center"/>
              <w:ind w:right="220"/>
              <w:spacing w:after="0" w:line="115" w:lineRule="exact"/>
              <w:rPr>
                <w:sz w:val="20"/>
                <w:szCs w:val="20"/>
                <w:color w:val="auto"/>
              </w:rPr>
            </w:pPr>
            <w:r>
              <w:rPr>
                <w:rFonts w:ascii="Times New Roman" w:cs="Times New Roman" w:eastAsia="Times New Roman" w:hAnsi="Times New Roman"/>
                <w:sz w:val="13"/>
                <w:szCs w:val="13"/>
                <w:b w:val="1"/>
                <w:bCs w:val="1"/>
                <w:color w:val="auto"/>
              </w:rPr>
              <w:t>Inc.</w:t>
            </w: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1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12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7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income (loss)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6"/>
              </w:rPr>
              <w:t>Total Equity</w:t>
            </w:r>
          </w:p>
        </w:tc>
        <w:tc>
          <w:tcPr>
            <w:tcW w:w="0" w:type="dxa"/>
            <w:vAlign w:val="bottom"/>
          </w:tcPr>
          <w:p>
            <w:pPr>
              <w:spacing w:after="0"/>
              <w:rPr>
                <w:sz w:val="1"/>
                <w:szCs w:val="1"/>
                <w:color w:val="auto"/>
              </w:rPr>
            </w:pPr>
          </w:p>
        </w:tc>
      </w:tr>
      <w:tr>
        <w:trPr>
          <w:trHeight w:val="242"/>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at May 31, 2015</w:t>
            </w: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28,703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287</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208,064</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57,581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(21,113)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244,819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193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245,012</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income</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24,654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24,654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24,650</w:t>
            </w:r>
          </w:p>
        </w:tc>
        <w:tc>
          <w:tcPr>
            <w:tcW w:w="0" w:type="dxa"/>
            <w:vAlign w:val="bottom"/>
          </w:tcPr>
          <w:p>
            <w:pPr>
              <w:spacing w:after="0"/>
              <w:rPr>
                <w:sz w:val="1"/>
                <w:szCs w:val="1"/>
                <w:color w:val="auto"/>
              </w:rPr>
            </w:pPr>
          </w:p>
        </w:tc>
      </w:tr>
      <w:tr>
        <w:trPr>
          <w:trHeight w:val="144"/>
        </w:trPr>
        <w:tc>
          <w:tcPr>
            <w:tcW w:w="172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Other comprehensive income,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of tax</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950</w:t>
            </w:r>
          </w:p>
        </w:tc>
        <w:tc>
          <w:tcPr>
            <w:tcW w:w="0" w:type="dxa"/>
            <w:vAlign w:val="bottom"/>
          </w:tcPr>
          <w:p>
            <w:pPr>
              <w:spacing w:after="0"/>
              <w:rPr>
                <w:sz w:val="1"/>
                <w:szCs w:val="1"/>
                <w:color w:val="auto"/>
              </w:rPr>
            </w:pPr>
          </w:p>
        </w:tc>
      </w:tr>
      <w:tr>
        <w:trPr>
          <w:trHeight w:val="278"/>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Share-based payments</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6,394</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6,394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6,394</w:t>
            </w:r>
          </w:p>
        </w:tc>
        <w:tc>
          <w:tcPr>
            <w:tcW w:w="0" w:type="dxa"/>
            <w:vAlign w:val="bottom"/>
          </w:tcPr>
          <w:p>
            <w:pPr>
              <w:spacing w:after="0"/>
              <w:rPr>
                <w:sz w:val="1"/>
                <w:szCs w:val="1"/>
                <w:color w:val="auto"/>
              </w:rPr>
            </w:pPr>
          </w:p>
        </w:tc>
      </w:tr>
      <w:tr>
        <w:trPr>
          <w:trHeight w:val="144"/>
        </w:trPr>
        <w:tc>
          <w:tcPr>
            <w:tcW w:w="172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Net settlement on vesting of</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restricted stock units</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182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(1,093)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(1,091)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(1,091)</w:t>
            </w:r>
          </w:p>
        </w:tc>
        <w:tc>
          <w:tcPr>
            <w:tcW w:w="0" w:type="dxa"/>
            <w:vAlign w:val="bottom"/>
          </w:tcPr>
          <w:p>
            <w:pPr>
              <w:spacing w:after="0"/>
              <w:rPr>
                <w:sz w:val="1"/>
                <w:szCs w:val="1"/>
                <w:color w:val="auto"/>
              </w:rPr>
            </w:pPr>
          </w:p>
        </w:tc>
      </w:tr>
      <w:tr>
        <w:trPr>
          <w:trHeight w:val="152"/>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Excess tax benefit from share-</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based payment compensation</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0" w:type="dxa"/>
            <w:vAlign w:val="bottom"/>
          </w:tcPr>
          <w:p>
            <w:pPr>
              <w:spacing w:after="0"/>
              <w:rPr>
                <w:sz w:val="1"/>
                <w:szCs w:val="1"/>
                <w:color w:val="auto"/>
              </w:rPr>
            </w:pPr>
          </w:p>
        </w:tc>
      </w:tr>
      <w:tr>
        <w:trPr>
          <w:trHeight w:val="264"/>
        </w:trPr>
        <w:tc>
          <w:tcPr>
            <w:tcW w:w="1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7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55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542</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543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543</w:t>
            </w:r>
          </w:p>
        </w:tc>
        <w:tc>
          <w:tcPr>
            <w:tcW w:w="0" w:type="dxa"/>
            <w:vAlign w:val="bottom"/>
          </w:tcPr>
          <w:p>
            <w:pPr>
              <w:spacing w:after="0"/>
              <w:rPr>
                <w:sz w:val="1"/>
                <w:szCs w:val="1"/>
                <w:color w:val="auto"/>
              </w:rPr>
            </w:pPr>
          </w:p>
        </w:tc>
      </w:tr>
      <w:tr>
        <w:trPr>
          <w:trHeight w:val="242"/>
        </w:trPr>
        <w:tc>
          <w:tcPr>
            <w:tcW w:w="1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at May 31, 2016</w:t>
            </w: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28,940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290</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213,737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82,235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276,163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276,288</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income</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8"/>
                <w:szCs w:val="18"/>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9,568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9,568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9,611</w:t>
            </w:r>
          </w:p>
        </w:tc>
        <w:tc>
          <w:tcPr>
            <w:tcW w:w="0" w:type="dxa"/>
            <w:vAlign w:val="bottom"/>
          </w:tcPr>
          <w:p>
            <w:pPr>
              <w:spacing w:after="0"/>
              <w:rPr>
                <w:sz w:val="1"/>
                <w:szCs w:val="1"/>
                <w:color w:val="auto"/>
              </w:rPr>
            </w:pPr>
          </w:p>
        </w:tc>
      </w:tr>
      <w:tr>
        <w:trPr>
          <w:trHeight w:val="152"/>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Other comprehensive loss, net</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of tax</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(9,625)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(9,631)</w:t>
            </w:r>
          </w:p>
        </w:tc>
        <w:tc>
          <w:tcPr>
            <w:tcW w:w="0" w:type="dxa"/>
            <w:vAlign w:val="bottom"/>
          </w:tcPr>
          <w:p>
            <w:pPr>
              <w:spacing w:after="0"/>
              <w:rPr>
                <w:sz w:val="1"/>
                <w:szCs w:val="1"/>
                <w:color w:val="auto"/>
              </w:rPr>
            </w:pPr>
          </w:p>
        </w:tc>
      </w:tr>
      <w:tr>
        <w:trPr>
          <w:trHeight w:val="262"/>
        </w:trPr>
        <w:tc>
          <w:tcPr>
            <w:tcW w:w="1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Share-based payments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4,627</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4,627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4,627</w:t>
            </w:r>
          </w:p>
        </w:tc>
        <w:tc>
          <w:tcPr>
            <w:tcW w:w="0" w:type="dxa"/>
            <w:vAlign w:val="bottom"/>
          </w:tcPr>
          <w:p>
            <w:pPr>
              <w:spacing w:after="0"/>
              <w:rPr>
                <w:sz w:val="1"/>
                <w:szCs w:val="1"/>
                <w:color w:val="auto"/>
              </w:rPr>
            </w:pPr>
          </w:p>
        </w:tc>
      </w:tr>
      <w:tr>
        <w:trPr>
          <w:trHeight w:val="152"/>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settlement on vesting of</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restricted stock units</w:t>
            </w: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212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(2,325)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(2,323)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(2,323)</w:t>
            </w:r>
          </w:p>
        </w:tc>
        <w:tc>
          <w:tcPr>
            <w:tcW w:w="0" w:type="dxa"/>
            <w:vAlign w:val="bottom"/>
          </w:tcPr>
          <w:p>
            <w:pPr>
              <w:spacing w:after="0"/>
              <w:rPr>
                <w:sz w:val="1"/>
                <w:szCs w:val="1"/>
                <w:color w:val="auto"/>
              </w:rPr>
            </w:pPr>
          </w:p>
        </w:tc>
      </w:tr>
      <w:tr>
        <w:trPr>
          <w:trHeight w:val="144"/>
        </w:trPr>
        <w:tc>
          <w:tcPr>
            <w:tcW w:w="172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Excess tax benefit from share-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based payment compensation</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568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568</w:t>
            </w:r>
          </w:p>
        </w:tc>
        <w:tc>
          <w:tcPr>
            <w:tcW w:w="0" w:type="dxa"/>
            <w:vAlign w:val="bottom"/>
          </w:tcPr>
          <w:p>
            <w:pPr>
              <w:spacing w:after="0"/>
              <w:rPr>
                <w:sz w:val="1"/>
                <w:szCs w:val="1"/>
                <w:color w:val="auto"/>
              </w:rPr>
            </w:pPr>
          </w:p>
        </w:tc>
      </w:tr>
      <w:tr>
        <w:trPr>
          <w:trHeight w:val="278"/>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Purchase of treasury stock</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(420)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(9,000)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(9,000)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(9,000)</w:t>
            </w:r>
          </w:p>
        </w:tc>
        <w:tc>
          <w:tcPr>
            <w:tcW w:w="0" w:type="dxa"/>
            <w:vAlign w:val="bottom"/>
          </w:tcPr>
          <w:p>
            <w:pPr>
              <w:spacing w:after="0"/>
              <w:rPr>
                <w:sz w:val="1"/>
                <w:szCs w:val="1"/>
                <w:color w:val="auto"/>
              </w:rPr>
            </w:pPr>
          </w:p>
        </w:tc>
      </w:tr>
      <w:tr>
        <w:trPr>
          <w:trHeight w:val="264"/>
        </w:trPr>
        <w:tc>
          <w:tcPr>
            <w:tcW w:w="1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604</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604</w:t>
            </w:r>
          </w:p>
        </w:tc>
        <w:tc>
          <w:tcPr>
            <w:tcW w:w="0" w:type="dxa"/>
            <w:vAlign w:val="bottom"/>
          </w:tcPr>
          <w:p>
            <w:pPr>
              <w:spacing w:after="0"/>
              <w:rPr>
                <w:sz w:val="1"/>
                <w:szCs w:val="1"/>
                <w:color w:val="auto"/>
              </w:rPr>
            </w:pPr>
          </w:p>
        </w:tc>
      </w:tr>
      <w:tr>
        <w:trPr>
          <w:trHeight w:val="242"/>
        </w:trPr>
        <w:tc>
          <w:tcPr>
            <w:tcW w:w="1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w w:val="99"/>
              </w:rPr>
              <w:t>Balance at December 31, 2016</w:t>
            </w:r>
          </w:p>
        </w:tc>
        <w:tc>
          <w:tcPr>
            <w:tcW w:w="7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29,217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292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217,211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91,803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270,582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270,744</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loss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(2,175)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(2,175)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(2,168)</w:t>
            </w:r>
          </w:p>
        </w:tc>
        <w:tc>
          <w:tcPr>
            <w:tcW w:w="0" w:type="dxa"/>
            <w:vAlign w:val="bottom"/>
          </w:tcPr>
          <w:p>
            <w:pPr>
              <w:spacing w:after="0"/>
              <w:rPr>
                <w:sz w:val="1"/>
                <w:szCs w:val="1"/>
                <w:color w:val="auto"/>
              </w:rPr>
            </w:pPr>
          </w:p>
        </w:tc>
      </w:tr>
      <w:tr>
        <w:trPr>
          <w:trHeight w:val="152"/>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of tax</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12,919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12,919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12,923</w:t>
            </w:r>
          </w:p>
        </w:tc>
        <w:tc>
          <w:tcPr>
            <w:tcW w:w="0" w:type="dxa"/>
            <w:vAlign w:val="bottom"/>
          </w:tcPr>
          <w:p>
            <w:pPr>
              <w:spacing w:after="0"/>
              <w:rPr>
                <w:sz w:val="1"/>
                <w:szCs w:val="1"/>
                <w:color w:val="auto"/>
              </w:rPr>
            </w:pPr>
          </w:p>
        </w:tc>
      </w:tr>
      <w:tr>
        <w:trPr>
          <w:trHeight w:val="262"/>
        </w:trPr>
        <w:tc>
          <w:tcPr>
            <w:tcW w:w="1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Share-based payments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6,588</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6,588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6,588</w:t>
            </w:r>
          </w:p>
        </w:tc>
        <w:tc>
          <w:tcPr>
            <w:tcW w:w="0" w:type="dxa"/>
            <w:vAlign w:val="bottom"/>
          </w:tcPr>
          <w:p>
            <w:pPr>
              <w:spacing w:after="0"/>
              <w:rPr>
                <w:sz w:val="1"/>
                <w:szCs w:val="1"/>
                <w:color w:val="auto"/>
              </w:rPr>
            </w:pPr>
          </w:p>
        </w:tc>
      </w:tr>
      <w:tr>
        <w:trPr>
          <w:trHeight w:val="152"/>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settlement on vesting of</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restricted stock units</w:t>
            </w: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187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(1,649)</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(1,647)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(1,647)</w:t>
            </w:r>
          </w:p>
        </w:tc>
        <w:tc>
          <w:tcPr>
            <w:tcW w:w="0" w:type="dxa"/>
            <w:vAlign w:val="bottom"/>
          </w:tcPr>
          <w:p>
            <w:pPr>
              <w:spacing w:after="0"/>
              <w:rPr>
                <w:sz w:val="1"/>
                <w:szCs w:val="1"/>
                <w:color w:val="auto"/>
              </w:rPr>
            </w:pPr>
          </w:p>
        </w:tc>
      </w:tr>
      <w:tr>
        <w:trPr>
          <w:trHeight w:val="262"/>
        </w:trPr>
        <w:tc>
          <w:tcPr>
            <w:tcW w:w="1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Retirement of treasury stock</w:t>
            </w: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1,146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24,923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5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(24,911)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8"/>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Purchase of treasury stock</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(726)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(15,923)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(15,923)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(15,923)</w:t>
            </w:r>
          </w:p>
        </w:tc>
        <w:tc>
          <w:tcPr>
            <w:tcW w:w="0" w:type="dxa"/>
            <w:vAlign w:val="bottom"/>
          </w:tcPr>
          <w:p>
            <w:pPr>
              <w:spacing w:after="0"/>
              <w:rPr>
                <w:sz w:val="1"/>
                <w:szCs w:val="1"/>
                <w:color w:val="auto"/>
              </w:rPr>
            </w:pPr>
          </w:p>
        </w:tc>
      </w:tr>
      <w:tr>
        <w:trPr>
          <w:trHeight w:val="264"/>
        </w:trPr>
        <w:tc>
          <w:tcPr>
            <w:tcW w:w="1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7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275</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275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275</w:t>
            </w:r>
          </w:p>
        </w:tc>
        <w:tc>
          <w:tcPr>
            <w:tcW w:w="0" w:type="dxa"/>
            <w:vAlign w:val="bottom"/>
          </w:tcPr>
          <w:p>
            <w:pPr>
              <w:spacing w:after="0"/>
              <w:rPr>
                <w:sz w:val="1"/>
                <w:szCs w:val="1"/>
                <w:color w:val="auto"/>
              </w:rPr>
            </w:pPr>
          </w:p>
        </w:tc>
      </w:tr>
      <w:tr>
        <w:trPr>
          <w:trHeight w:val="242"/>
        </w:trPr>
        <w:tc>
          <w:tcPr>
            <w:tcW w:w="1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w w:val="99"/>
              </w:rPr>
              <w:t>Balance at December 31, 2017</w:t>
            </w: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28,295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282</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222,425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64,717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270,619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270,792</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income</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8"/>
                <w:szCs w:val="18"/>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6,836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6,836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6,845</w:t>
            </w:r>
          </w:p>
        </w:tc>
        <w:tc>
          <w:tcPr>
            <w:tcW w:w="0" w:type="dxa"/>
            <w:vAlign w:val="bottom"/>
          </w:tcPr>
          <w:p>
            <w:pPr>
              <w:spacing w:after="0"/>
              <w:rPr>
                <w:sz w:val="1"/>
                <w:szCs w:val="1"/>
                <w:color w:val="auto"/>
              </w:rPr>
            </w:pPr>
          </w:p>
        </w:tc>
      </w:tr>
      <w:tr>
        <w:trPr>
          <w:trHeight w:val="152"/>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of tax</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(10,752)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(10,752)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(10,757)</w:t>
            </w:r>
          </w:p>
        </w:tc>
        <w:tc>
          <w:tcPr>
            <w:tcW w:w="0" w:type="dxa"/>
            <w:vAlign w:val="bottom"/>
          </w:tcPr>
          <w:p>
            <w:pPr>
              <w:spacing w:after="0"/>
              <w:rPr>
                <w:sz w:val="1"/>
                <w:szCs w:val="1"/>
                <w:color w:val="auto"/>
              </w:rPr>
            </w:pPr>
          </w:p>
        </w:tc>
      </w:tr>
      <w:tr>
        <w:trPr>
          <w:trHeight w:val="262"/>
        </w:trPr>
        <w:tc>
          <w:tcPr>
            <w:tcW w:w="1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Share-based payments</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243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6,106</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6,109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6,109</w:t>
            </w:r>
          </w:p>
        </w:tc>
        <w:tc>
          <w:tcPr>
            <w:tcW w:w="0" w:type="dxa"/>
            <w:vAlign w:val="bottom"/>
          </w:tcPr>
          <w:p>
            <w:pPr>
              <w:spacing w:after="0"/>
              <w:rPr>
                <w:sz w:val="1"/>
                <w:szCs w:val="1"/>
                <w:color w:val="auto"/>
              </w:rPr>
            </w:pPr>
          </w:p>
        </w:tc>
      </w:tr>
      <w:tr>
        <w:trPr>
          <w:trHeight w:val="152"/>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settlement on vesting of</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restricted stock units</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(2,188)</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(2,188)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(2,188)</w:t>
            </w:r>
          </w:p>
        </w:tc>
        <w:tc>
          <w:tcPr>
            <w:tcW w:w="0" w:type="dxa"/>
            <w:vAlign w:val="bottom"/>
          </w:tcPr>
          <w:p>
            <w:pPr>
              <w:spacing w:after="0"/>
              <w:rPr>
                <w:sz w:val="1"/>
                <w:szCs w:val="1"/>
                <w:color w:val="auto"/>
              </w:rPr>
            </w:pPr>
          </w:p>
        </w:tc>
      </w:tr>
      <w:tr>
        <w:trPr>
          <w:trHeight w:val="264"/>
        </w:trPr>
        <w:tc>
          <w:tcPr>
            <w:tcW w:w="1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7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273</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273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273</w:t>
            </w:r>
          </w:p>
        </w:tc>
        <w:tc>
          <w:tcPr>
            <w:tcW w:w="0" w:type="dxa"/>
            <w:vAlign w:val="bottom"/>
          </w:tcPr>
          <w:p>
            <w:pPr>
              <w:spacing w:after="0"/>
              <w:rPr>
                <w:sz w:val="1"/>
                <w:szCs w:val="1"/>
                <w:color w:val="auto"/>
              </w:rPr>
            </w:pPr>
          </w:p>
        </w:tc>
      </w:tr>
      <w:tr>
        <w:trPr>
          <w:trHeight w:val="242"/>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w w:val="99"/>
              </w:rPr>
              <w:t>Balance at December 31, 2018</w:t>
            </w: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28,563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285</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226,616</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71,553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(27,557)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270,897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271,074</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4140" w:type="dxa"/>
            <w:vAlign w:val="bottom"/>
            <w:gridSpan w:val="10"/>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Mistras Group, Inc. and Subsidiaries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4140" w:type="dxa"/>
            <w:vAlign w:val="bottom"/>
            <w:gridSpan w:val="10"/>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5"/>
          </w:tcPr>
          <w:p>
            <w:pPr>
              <w:jc w:val="center"/>
              <w:ind w:left="16"/>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4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transition</w:t>
            </w:r>
          </w:p>
        </w:tc>
        <w:tc>
          <w:tcPr>
            <w:tcW w:w="100" w:type="dxa"/>
            <w:vAlign w:val="bottom"/>
          </w:tcPr>
          <w:p>
            <w:pPr>
              <w:spacing w:after="0"/>
              <w:rPr>
                <w:sz w:val="24"/>
                <w:szCs w:val="24"/>
                <w:color w:val="auto"/>
              </w:rPr>
            </w:pPr>
          </w:p>
        </w:tc>
        <w:tc>
          <w:tcPr>
            <w:tcW w:w="90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period ended</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ended May 31,</w:t>
            </w:r>
          </w:p>
        </w:tc>
        <w:tc>
          <w:tcPr>
            <w:tcW w:w="0" w:type="dxa"/>
            <w:vAlign w:val="bottom"/>
          </w:tcPr>
          <w:p>
            <w:pPr>
              <w:spacing w:after="0"/>
              <w:rPr>
                <w:sz w:val="1"/>
                <w:szCs w:val="1"/>
                <w:color w:val="auto"/>
              </w:rPr>
            </w:pPr>
          </w:p>
        </w:tc>
      </w:tr>
      <w:tr>
        <w:trPr>
          <w:trHeight w:val="264"/>
        </w:trPr>
        <w:tc>
          <w:tcPr>
            <w:tcW w:w="406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69"/>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income (loss)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6,845</w:t>
            </w:r>
          </w:p>
        </w:tc>
        <w:tc>
          <w:tcPr>
            <w:tcW w:w="120" w:type="dxa"/>
            <w:vAlign w:val="bottom"/>
          </w:tcPr>
          <w:p>
            <w:pPr>
              <w:spacing w:after="0"/>
              <w:rPr>
                <w:sz w:val="22"/>
                <w:szCs w:val="22"/>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(2,168)</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9,611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24,650</w:t>
            </w:r>
          </w:p>
        </w:tc>
        <w:tc>
          <w:tcPr>
            <w:tcW w:w="0" w:type="dxa"/>
            <w:vAlign w:val="bottom"/>
          </w:tcPr>
          <w:p>
            <w:pPr>
              <w:spacing w:after="0"/>
              <w:rPr>
                <w:sz w:val="1"/>
                <w:szCs w:val="1"/>
                <w:color w:val="auto"/>
              </w:rPr>
            </w:pPr>
          </w:p>
        </w:tc>
      </w:tr>
      <w:tr>
        <w:trPr>
          <w:trHeight w:val="152"/>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Adjustments to reconcile net income (loss) to net cash provided by operating</w:t>
            </w: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activities</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4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34,413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31,383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19,199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32,474</w:t>
            </w:r>
          </w:p>
        </w:tc>
        <w:tc>
          <w:tcPr>
            <w:tcW w:w="0" w:type="dxa"/>
            <w:vAlign w:val="bottom"/>
          </w:tcPr>
          <w:p>
            <w:pPr>
              <w:spacing w:after="0"/>
              <w:rPr>
                <w:sz w:val="1"/>
                <w:szCs w:val="1"/>
                <w:color w:val="auto"/>
              </w:rPr>
            </w:pPr>
          </w:p>
        </w:tc>
      </w:tr>
      <w:tr>
        <w:trPr>
          <w:trHeight w:val="278"/>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Deferred income taxes</w:t>
            </w: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1,859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(4,854)</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240</w:t>
            </w:r>
          </w:p>
        </w:tc>
        <w:tc>
          <w:tcPr>
            <w:tcW w:w="0" w:type="dxa"/>
            <w:vAlign w:val="bottom"/>
          </w:tcPr>
          <w:p>
            <w:pPr>
              <w:spacing w:after="0"/>
              <w:rPr>
                <w:sz w:val="1"/>
                <w:szCs w:val="1"/>
                <w:color w:val="auto"/>
              </w:rPr>
            </w:pPr>
          </w:p>
        </w:tc>
      </w:tr>
      <w:tr>
        <w:trPr>
          <w:trHeight w:val="262"/>
        </w:trPr>
        <w:tc>
          <w:tcPr>
            <w:tcW w:w="4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6,107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6,574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4,559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6,514</w:t>
            </w:r>
          </w:p>
        </w:tc>
        <w:tc>
          <w:tcPr>
            <w:tcW w:w="0" w:type="dxa"/>
            <w:vAlign w:val="bottom"/>
          </w:tcPr>
          <w:p>
            <w:pPr>
              <w:spacing w:after="0"/>
              <w:rPr>
                <w:sz w:val="1"/>
                <w:szCs w:val="1"/>
                <w:color w:val="auto"/>
              </w:rPr>
            </w:pPr>
          </w:p>
        </w:tc>
      </w:tr>
      <w:tr>
        <w:trPr>
          <w:trHeight w:val="278"/>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Impairment charges</w:t>
            </w: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15,810</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2"/>
        </w:trPr>
        <w:tc>
          <w:tcPr>
            <w:tcW w:w="4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Bad debt provision for troubled customers</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650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1,200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8"/>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Gain on sale of subsidiary</w:t>
            </w: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2"/>
        </w:trPr>
        <w:tc>
          <w:tcPr>
            <w:tcW w:w="4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Fair value adjustments to contingent consideration</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262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(2,066)</w:t>
            </w:r>
          </w:p>
        </w:tc>
        <w:tc>
          <w:tcPr>
            <w:tcW w:w="0" w:type="dxa"/>
            <w:vAlign w:val="bottom"/>
          </w:tcPr>
          <w:p>
            <w:pPr>
              <w:spacing w:after="0"/>
              <w:rPr>
                <w:sz w:val="1"/>
                <w:szCs w:val="1"/>
                <w:color w:val="auto"/>
              </w:rPr>
            </w:pPr>
          </w:p>
        </w:tc>
      </w:tr>
      <w:tr>
        <w:trPr>
          <w:trHeight w:val="278"/>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1,773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79</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559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(1,052)</w:t>
            </w:r>
          </w:p>
        </w:tc>
        <w:tc>
          <w:tcPr>
            <w:tcW w:w="0" w:type="dxa"/>
            <w:vAlign w:val="bottom"/>
          </w:tcPr>
          <w:p>
            <w:pPr>
              <w:spacing w:after="0"/>
              <w:rPr>
                <w:sz w:val="1"/>
                <w:szCs w:val="1"/>
                <w:color w:val="auto"/>
              </w:rPr>
            </w:pPr>
          </w:p>
        </w:tc>
      </w:tr>
      <w:tr>
        <w:trPr>
          <w:trHeight w:val="262"/>
        </w:trPr>
        <w:tc>
          <w:tcPr>
            <w:tcW w:w="4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Changes in operating assets and liabilities, net of effect of acquisitions</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receivable</w:t>
            </w: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2,490</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4,123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(4,999)</w:t>
            </w:r>
          </w:p>
        </w:tc>
        <w:tc>
          <w:tcPr>
            <w:tcW w:w="0" w:type="dxa"/>
            <w:vAlign w:val="bottom"/>
          </w:tcPr>
          <w:p>
            <w:pPr>
              <w:spacing w:after="0"/>
              <w:rPr>
                <w:sz w:val="1"/>
                <w:szCs w:val="1"/>
                <w:color w:val="auto"/>
              </w:rPr>
            </w:pPr>
          </w:p>
        </w:tc>
      </w:tr>
      <w:tr>
        <w:trPr>
          <w:trHeight w:val="262"/>
        </w:trPr>
        <w:tc>
          <w:tcPr>
            <w:tcW w:w="4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Inventories</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628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1,595</w:t>
            </w:r>
          </w:p>
        </w:tc>
        <w:tc>
          <w:tcPr>
            <w:tcW w:w="0" w:type="dxa"/>
            <w:vAlign w:val="bottom"/>
          </w:tcPr>
          <w:p>
            <w:pPr>
              <w:spacing w:after="0"/>
              <w:rPr>
                <w:sz w:val="1"/>
                <w:szCs w:val="1"/>
                <w:color w:val="auto"/>
              </w:rPr>
            </w:pPr>
          </w:p>
        </w:tc>
      </w:tr>
      <w:tr>
        <w:trPr>
          <w:trHeight w:val="278"/>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1,400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(1,904)</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(1,812)</w:t>
            </w:r>
          </w:p>
        </w:tc>
        <w:tc>
          <w:tcPr>
            <w:tcW w:w="0" w:type="dxa"/>
            <w:vAlign w:val="bottom"/>
          </w:tcPr>
          <w:p>
            <w:pPr>
              <w:spacing w:after="0"/>
              <w:rPr>
                <w:sz w:val="1"/>
                <w:szCs w:val="1"/>
                <w:color w:val="auto"/>
              </w:rPr>
            </w:pPr>
          </w:p>
        </w:tc>
      </w:tr>
      <w:tr>
        <w:trPr>
          <w:trHeight w:val="262"/>
        </w:trPr>
        <w:tc>
          <w:tcPr>
            <w:tcW w:w="4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2,948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2,574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254</w:t>
            </w:r>
          </w:p>
        </w:tc>
        <w:tc>
          <w:tcPr>
            <w:tcW w:w="0" w:type="dxa"/>
            <w:vAlign w:val="bottom"/>
          </w:tcPr>
          <w:p>
            <w:pPr>
              <w:spacing w:after="0"/>
              <w:rPr>
                <w:sz w:val="1"/>
                <w:szCs w:val="1"/>
                <w:color w:val="auto"/>
              </w:rPr>
            </w:pPr>
          </w:p>
        </w:tc>
      </w:tr>
      <w:tr>
        <w:trPr>
          <w:trHeight w:val="278"/>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5,663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4,188</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10,187</w:t>
            </w:r>
          </w:p>
        </w:tc>
        <w:tc>
          <w:tcPr>
            <w:tcW w:w="0" w:type="dxa"/>
            <w:vAlign w:val="bottom"/>
          </w:tcPr>
          <w:p>
            <w:pPr>
              <w:spacing w:after="0"/>
              <w:rPr>
                <w:sz w:val="1"/>
                <w:szCs w:val="1"/>
                <w:color w:val="auto"/>
              </w:rPr>
            </w:pPr>
          </w:p>
        </w:tc>
      </w:tr>
      <w:tr>
        <w:trPr>
          <w:trHeight w:val="264"/>
        </w:trPr>
        <w:tc>
          <w:tcPr>
            <w:tcW w:w="4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Income taxes payable</w:t>
            </w:r>
          </w:p>
        </w:tc>
        <w:tc>
          <w:tcPr>
            <w:tcW w:w="3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(3,781)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1,007</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1,913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2,139</w:t>
            </w: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36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41,664</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55,799</w:t>
            </w:r>
          </w:p>
        </w:tc>
        <w:tc>
          <w:tcPr>
            <w:tcW w:w="12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30,259</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68,124</w:t>
            </w:r>
          </w:p>
        </w:tc>
        <w:tc>
          <w:tcPr>
            <w:tcW w:w="0" w:type="dxa"/>
            <w:vAlign w:val="bottom"/>
          </w:tcPr>
          <w:p>
            <w:pPr>
              <w:spacing w:after="0"/>
              <w:rPr>
                <w:sz w:val="1"/>
                <w:szCs w:val="1"/>
                <w:color w:val="auto"/>
              </w:rPr>
            </w:pPr>
          </w:p>
        </w:tc>
      </w:tr>
      <w:tr>
        <w:trPr>
          <w:trHeight w:val="256"/>
        </w:trPr>
        <w:tc>
          <w:tcPr>
            <w:tcW w:w="40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Purchase of property, plant and equipment</w:t>
            </w: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(20,584)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(19,314)</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(14,864)</w:t>
            </w:r>
          </w:p>
        </w:tc>
        <w:tc>
          <w:tcPr>
            <w:tcW w:w="0" w:type="dxa"/>
            <w:vAlign w:val="bottom"/>
          </w:tcPr>
          <w:p>
            <w:pPr>
              <w:spacing w:after="0"/>
              <w:rPr>
                <w:sz w:val="1"/>
                <w:szCs w:val="1"/>
                <w:color w:val="auto"/>
              </w:rPr>
            </w:pPr>
          </w:p>
        </w:tc>
      </w:tr>
      <w:tr>
        <w:trPr>
          <w:trHeight w:val="262"/>
        </w:trPr>
        <w:tc>
          <w:tcPr>
            <w:tcW w:w="4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Purchase of intangible assets</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(1,315)</w:t>
            </w:r>
          </w:p>
        </w:tc>
        <w:tc>
          <w:tcPr>
            <w:tcW w:w="0" w:type="dxa"/>
            <w:vAlign w:val="bottom"/>
          </w:tcPr>
          <w:p>
            <w:pPr>
              <w:spacing w:after="0"/>
              <w:rPr>
                <w:sz w:val="1"/>
                <w:szCs w:val="1"/>
                <w:color w:val="auto"/>
              </w:rPr>
            </w:pPr>
          </w:p>
        </w:tc>
      </w:tr>
      <w:tr>
        <w:trPr>
          <w:trHeight w:val="278"/>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Disposition of business</w:t>
            </w: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4,239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2"/>
        </w:trPr>
        <w:tc>
          <w:tcPr>
            <w:tcW w:w="4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Acquisition of businesses, net of cash acquired</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(139,980)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(83,424)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(1,743)</w:t>
            </w:r>
          </w:p>
        </w:tc>
        <w:tc>
          <w:tcPr>
            <w:tcW w:w="0" w:type="dxa"/>
            <w:vAlign w:val="bottom"/>
          </w:tcPr>
          <w:p>
            <w:pPr>
              <w:spacing w:after="0"/>
              <w:rPr>
                <w:sz w:val="1"/>
                <w:szCs w:val="1"/>
                <w:color w:val="auto"/>
              </w:rPr>
            </w:pPr>
          </w:p>
        </w:tc>
      </w:tr>
      <w:tr>
        <w:trPr>
          <w:trHeight w:val="272"/>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sale of equipment</w:t>
            </w:r>
          </w:p>
        </w:tc>
        <w:tc>
          <w:tcPr>
            <w:tcW w:w="36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1,416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1,196</w:t>
            </w:r>
          </w:p>
        </w:tc>
        <w:tc>
          <w:tcPr>
            <w:tcW w:w="1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678</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1,170</w:t>
            </w: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3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(155,450)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(102,797)</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(17,374)</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(16,752)</w:t>
            </w:r>
          </w:p>
        </w:tc>
        <w:tc>
          <w:tcPr>
            <w:tcW w:w="0" w:type="dxa"/>
            <w:vAlign w:val="bottom"/>
          </w:tcPr>
          <w:p>
            <w:pPr>
              <w:spacing w:after="0"/>
              <w:rPr>
                <w:sz w:val="1"/>
                <w:szCs w:val="1"/>
                <w:color w:val="auto"/>
              </w:rPr>
            </w:pPr>
          </w:p>
        </w:tc>
      </w:tr>
      <w:tr>
        <w:trPr>
          <w:trHeight w:val="270"/>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Repayment of capital lease obligations</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(6,492)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(7,870)</w:t>
            </w:r>
          </w:p>
        </w:tc>
        <w:tc>
          <w:tcPr>
            <w:tcW w:w="0" w:type="dxa"/>
            <w:vAlign w:val="bottom"/>
          </w:tcPr>
          <w:p>
            <w:pPr>
              <w:spacing w:after="0"/>
              <w:rPr>
                <w:sz w:val="1"/>
                <w:szCs w:val="1"/>
                <w:color w:val="auto"/>
              </w:rPr>
            </w:pPr>
          </w:p>
        </w:tc>
      </w:tr>
      <w:tr>
        <w:trPr>
          <w:trHeight w:val="278"/>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borrowings of long-term debt</w:t>
            </w: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2,358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6,653</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386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2,737</w:t>
            </w:r>
          </w:p>
        </w:tc>
        <w:tc>
          <w:tcPr>
            <w:tcW w:w="0" w:type="dxa"/>
            <w:vAlign w:val="bottom"/>
          </w:tcPr>
          <w:p>
            <w:pPr>
              <w:spacing w:after="0"/>
              <w:rPr>
                <w:sz w:val="1"/>
                <w:szCs w:val="1"/>
                <w:color w:val="auto"/>
              </w:rPr>
            </w:pPr>
          </w:p>
        </w:tc>
      </w:tr>
      <w:tr>
        <w:trPr>
          <w:trHeight w:val="262"/>
        </w:trPr>
        <w:tc>
          <w:tcPr>
            <w:tcW w:w="4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Repayment of long-term debt</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(2,101)</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(17,580)</w:t>
            </w:r>
          </w:p>
        </w:tc>
        <w:tc>
          <w:tcPr>
            <w:tcW w:w="0" w:type="dxa"/>
            <w:vAlign w:val="bottom"/>
          </w:tcPr>
          <w:p>
            <w:pPr>
              <w:spacing w:after="0"/>
              <w:rPr>
                <w:sz w:val="1"/>
                <w:szCs w:val="1"/>
                <w:color w:val="auto"/>
              </w:rPr>
            </w:pPr>
          </w:p>
        </w:tc>
      </w:tr>
      <w:tr>
        <w:trPr>
          <w:trHeight w:val="278"/>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revolver</w:t>
            </w: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175,176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124,000</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48,400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55,800</w:t>
            </w:r>
          </w:p>
        </w:tc>
        <w:tc>
          <w:tcPr>
            <w:tcW w:w="0" w:type="dxa"/>
            <w:vAlign w:val="bottom"/>
          </w:tcPr>
          <w:p>
            <w:pPr>
              <w:spacing w:after="0"/>
              <w:rPr>
                <w:sz w:val="1"/>
                <w:szCs w:val="1"/>
                <w:color w:val="auto"/>
              </w:rPr>
            </w:pPr>
          </w:p>
        </w:tc>
      </w:tr>
      <w:tr>
        <w:trPr>
          <w:trHeight w:val="262"/>
        </w:trPr>
        <w:tc>
          <w:tcPr>
            <w:tcW w:w="4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Repayments of revolver</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(49,991)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(50,600)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(69,600)</w:t>
            </w:r>
          </w:p>
        </w:tc>
        <w:tc>
          <w:tcPr>
            <w:tcW w:w="0" w:type="dxa"/>
            <w:vAlign w:val="bottom"/>
          </w:tcPr>
          <w:p>
            <w:pPr>
              <w:spacing w:after="0"/>
              <w:rPr>
                <w:sz w:val="1"/>
                <w:szCs w:val="1"/>
                <w:color w:val="auto"/>
              </w:rPr>
            </w:pPr>
          </w:p>
        </w:tc>
      </w:tr>
      <w:tr>
        <w:trPr>
          <w:trHeight w:val="278"/>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Payments of debt issuance costs</w:t>
            </w: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2"/>
        </w:trPr>
        <w:tc>
          <w:tcPr>
            <w:tcW w:w="4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 of contingent consideration for business acquisitions</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(3,147)</w:t>
            </w:r>
          </w:p>
        </w:tc>
        <w:tc>
          <w:tcPr>
            <w:tcW w:w="0" w:type="dxa"/>
            <w:vAlign w:val="bottom"/>
          </w:tcPr>
          <w:p>
            <w:pPr>
              <w:spacing w:after="0"/>
              <w:rPr>
                <w:sz w:val="1"/>
                <w:szCs w:val="1"/>
                <w:color w:val="auto"/>
              </w:rPr>
            </w:pPr>
          </w:p>
        </w:tc>
      </w:tr>
      <w:tr>
        <w:trPr>
          <w:trHeight w:val="278"/>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(15,923)</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2"/>
        </w:trPr>
        <w:tc>
          <w:tcPr>
            <w:tcW w:w="4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Taxes paid related to net share settlement of share-based awards</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(1,091)</w:t>
            </w:r>
          </w:p>
        </w:tc>
        <w:tc>
          <w:tcPr>
            <w:tcW w:w="0" w:type="dxa"/>
            <w:vAlign w:val="bottom"/>
          </w:tcPr>
          <w:p>
            <w:pPr>
              <w:spacing w:after="0"/>
              <w:rPr>
                <w:sz w:val="1"/>
                <w:szCs w:val="1"/>
                <w:color w:val="auto"/>
              </w:rPr>
            </w:pPr>
          </w:p>
        </w:tc>
      </w:tr>
      <w:tr>
        <w:trPr>
          <w:trHeight w:val="278"/>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Excess tax benefit from share-based compensation</w:t>
            </w: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568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0" w:type="dxa"/>
            <w:vAlign w:val="bottom"/>
          </w:tcPr>
          <w:p>
            <w:pPr>
              <w:spacing w:after="0"/>
              <w:rPr>
                <w:sz w:val="1"/>
                <w:szCs w:val="1"/>
                <w:color w:val="auto"/>
              </w:rPr>
            </w:pPr>
          </w:p>
        </w:tc>
      </w:tr>
      <w:tr>
        <w:trPr>
          <w:trHeight w:val="264"/>
        </w:trPr>
        <w:tc>
          <w:tcPr>
            <w:tcW w:w="4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Proceeds from the exercise of stock options</w:t>
            </w:r>
          </w:p>
        </w:tc>
        <w:tc>
          <w:tcPr>
            <w:tcW w:w="3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273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275</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604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543</w:t>
            </w:r>
          </w:p>
        </w:tc>
        <w:tc>
          <w:tcPr>
            <w:tcW w:w="0" w:type="dxa"/>
            <w:vAlign w:val="bottom"/>
          </w:tcPr>
          <w:p>
            <w:pPr>
              <w:spacing w:after="0"/>
              <w:rPr>
                <w:sz w:val="1"/>
                <w:szCs w:val="1"/>
                <w:color w:val="auto"/>
              </w:rPr>
            </w:pPr>
          </w:p>
        </w:tc>
      </w:tr>
      <w:tr>
        <w:trPr>
          <w:trHeight w:val="250"/>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36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113,969</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53,045</w:t>
            </w:r>
          </w:p>
        </w:tc>
        <w:tc>
          <w:tcPr>
            <w:tcW w:w="12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(12,869)</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(40,378)</w:t>
            </w: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Effect of exchange rate changes on cash and cash equivalents</w:t>
            </w:r>
          </w:p>
        </w:tc>
        <w:tc>
          <w:tcPr>
            <w:tcW w:w="3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2,340</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change in cash and cash equivalents</w:t>
            </w: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8,387</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10,633</w:t>
            </w:r>
          </w:p>
        </w:tc>
        <w:tc>
          <w:tcPr>
            <w:tcW w:w="0" w:type="dxa"/>
            <w:vAlign w:val="bottom"/>
          </w:tcPr>
          <w:p>
            <w:pPr>
              <w:spacing w:after="0"/>
              <w:rPr>
                <w:sz w:val="1"/>
                <w:szCs w:val="1"/>
                <w:color w:val="auto"/>
              </w:rPr>
            </w:pPr>
          </w:p>
        </w:tc>
      </w:tr>
      <w:tr>
        <w:trPr>
          <w:trHeight w:val="262"/>
        </w:trPr>
        <w:tc>
          <w:tcPr>
            <w:tcW w:w="40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Cash and cash equivalents:</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Beginning of period</w:t>
            </w:r>
          </w:p>
        </w:tc>
        <w:tc>
          <w:tcPr>
            <w:tcW w:w="36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27,541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19,154</w:t>
            </w:r>
          </w:p>
        </w:tc>
        <w:tc>
          <w:tcPr>
            <w:tcW w:w="1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21,188</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10,555</w:t>
            </w:r>
          </w:p>
        </w:tc>
        <w:tc>
          <w:tcPr>
            <w:tcW w:w="0" w:type="dxa"/>
            <w:vAlign w:val="bottom"/>
          </w:tcPr>
          <w:p>
            <w:pPr>
              <w:spacing w:after="0"/>
              <w:rPr>
                <w:sz w:val="1"/>
                <w:szCs w:val="1"/>
                <w:color w:val="auto"/>
              </w:rPr>
            </w:pPr>
          </w:p>
        </w:tc>
      </w:tr>
      <w:tr>
        <w:trPr>
          <w:trHeight w:val="250"/>
        </w:trPr>
        <w:tc>
          <w:tcPr>
            <w:tcW w:w="4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End of period</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25,544</w:t>
            </w:r>
          </w:p>
        </w:tc>
        <w:tc>
          <w:tcPr>
            <w:tcW w:w="120" w:type="dxa"/>
            <w:vAlign w:val="bottom"/>
          </w:tcPr>
          <w:p>
            <w:pPr>
              <w:spacing w:after="0"/>
              <w:rPr>
                <w:sz w:val="21"/>
                <w:szCs w:val="21"/>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27,541</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19,154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21,188</w:t>
            </w:r>
          </w:p>
        </w:tc>
        <w:tc>
          <w:tcPr>
            <w:tcW w:w="0" w:type="dxa"/>
            <w:vAlign w:val="bottom"/>
          </w:tcPr>
          <w:p>
            <w:pPr>
              <w:spacing w:after="0"/>
              <w:rPr>
                <w:sz w:val="1"/>
                <w:szCs w:val="1"/>
                <w:color w:val="auto"/>
              </w:rPr>
            </w:pPr>
          </w:p>
        </w:tc>
      </w:tr>
      <w:tr>
        <w:trPr>
          <w:trHeight w:val="270"/>
        </w:trPr>
        <w:tc>
          <w:tcPr>
            <w:tcW w:w="40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Supplemental disclosure of cash paid</w:t>
            </w:r>
          </w:p>
        </w:tc>
        <w:tc>
          <w:tcPr>
            <w:tcW w:w="3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7,751</w:t>
            </w:r>
          </w:p>
        </w:tc>
        <w:tc>
          <w:tcPr>
            <w:tcW w:w="120" w:type="dxa"/>
            <w:vAlign w:val="bottom"/>
          </w:tcPr>
          <w:p>
            <w:pPr>
              <w:spacing w:after="0"/>
              <w:rPr>
                <w:sz w:val="22"/>
                <w:szCs w:val="22"/>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4,264</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2,079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4,151</w:t>
            </w:r>
          </w:p>
        </w:tc>
        <w:tc>
          <w:tcPr>
            <w:tcW w:w="0" w:type="dxa"/>
            <w:vAlign w:val="bottom"/>
          </w:tcPr>
          <w:p>
            <w:pPr>
              <w:spacing w:after="0"/>
              <w:rPr>
                <w:sz w:val="1"/>
                <w:szCs w:val="1"/>
                <w:color w:val="auto"/>
              </w:rPr>
            </w:pPr>
          </w:p>
        </w:tc>
      </w:tr>
      <w:tr>
        <w:trPr>
          <w:trHeight w:val="278"/>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taxes</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10,983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3,063</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8,119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10,686</w:t>
            </w:r>
          </w:p>
        </w:tc>
        <w:tc>
          <w:tcPr>
            <w:tcW w:w="0" w:type="dxa"/>
            <w:vAlign w:val="bottom"/>
          </w:tcPr>
          <w:p>
            <w:pPr>
              <w:spacing w:after="0"/>
              <w:rPr>
                <w:sz w:val="1"/>
                <w:szCs w:val="1"/>
                <w:color w:val="auto"/>
              </w:rPr>
            </w:pPr>
          </w:p>
        </w:tc>
      </w:tr>
      <w:tr>
        <w:trPr>
          <w:trHeight w:val="262"/>
        </w:trPr>
        <w:tc>
          <w:tcPr>
            <w:tcW w:w="40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Noncash investing and financing</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Equipment acquired through capital lease obligations</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4,845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3,185</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1,829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8,248</w:t>
            </w:r>
          </w:p>
        </w:tc>
        <w:tc>
          <w:tcPr>
            <w:tcW w:w="0" w:type="dxa"/>
            <w:vAlign w:val="bottom"/>
          </w:tcPr>
          <w:p>
            <w:pPr>
              <w:spacing w:after="0"/>
              <w:rPr>
                <w:sz w:val="1"/>
                <w:szCs w:val="1"/>
                <w:color w:val="auto"/>
              </w:rPr>
            </w:pPr>
          </w:p>
        </w:tc>
      </w:tr>
      <w:tr>
        <w:trPr>
          <w:trHeight w:val="144"/>
        </w:trPr>
        <w:tc>
          <w:tcPr>
            <w:tcW w:w="406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auto"/>
              </w:rPr>
              <w:t>Issuance of notes payable and other debt obligations primarily related to</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acquisitions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325</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21" w:right="1440" w:bottom="50" w:gutter="0" w:footer="0" w:header="0"/>
        </w:sectPr>
      </w:pPr>
    </w:p>
    <w:p>
      <w:pPr>
        <w:spacing w:after="0" w:line="1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ectPr>
          <w:pgSz w:w="11900" w:h="16838" w:orient="portrait"/>
          <w:cols w:equalWidth="0" w:num="1">
            <w:col w:w="10219"/>
          </w:cols>
          <w:pgMar w:left="240" w:top="121" w:right="1440" w:bottom="50"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9019"/>
          </w:cols>
          <w:pgMar w:left="1440" w:top="121" w:right="1440"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 and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Mistras Group, Inc. and subsidiaries (the Company) is a leading “one source” global provider of technology-enabled asset protection solutions used to evaluate the structural integrity and reliability of critical energy, industrial and public infrastructure. The Company combines industry-leading products and technologies, expertise in mechanical integrity (MI), non-destructive testing (NDT) and mechanical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and avoid catastrophic disasters. The Company serves a global customer base of companies with asset-intensive infrastructure, including companies in the oil and gas, commercial aerospace and defense, fossil and nuclear power, alternative and renewable energy, public infrastructure, chemicals, transportation, primary metals and metalworking, pharmaceutical/biotechnology and food processing industries and research and engineering institutions.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accompanying audited consolidated financial statements include the accounts of Mistras Group, Inc. and its wholly and majority-owned subsidiaries. For subsidiaries in which the Company’s ownership interest is less than 100%, the non-controlling interests are reported in stockholders’ equity in the accompanying consolidated balance sheets. The non-controlling interests in net income, net of tax, is classified separately in the accompanying consolidated statements of income. All significant intercompany accounts and transactions have been eliminated in consolidation.</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January 3, 2017, the Company's Board of Directors approved a change in the Company's fiscal year from May 31 to December 31, effective December 31, 2016. In connection with this change, the Company previously filed a Transition Report on Form 10-K to report the results of the seven-month transition period from June 1, 2016 to December 31, 2016. In this Annual Report, the periods presented are the years ended December 31, 2018 and 2017, the seven-month transition period from June 1, 2016 to December 31, 2016 and the year ended May 31, 2016. The Company has also included unaudited data for the year ended December 31, 2016 and for the seven months ended December 31, 2015 (See Note 21).</w:t>
      </w:r>
    </w:p>
    <w:p>
      <w:pPr>
        <w:spacing w:after="0" w:line="18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fiscal 2016, Mistras Group, Inc.’s and its subsidiaries’ fiscal years ended on May 31 except for the subsidiaries in the International segment, which ended on April 30. Accordingly, the Company’s International segment subsidiaries were consolidated on a one-month lag. Therefore, in the quarter and year of acquisition, results of acquired subsidiaries in the International segment were generally included in consolidated results for one less month than the actual number of months from the acquisition date to the end of the reporting period. Effective December 31, 2016, the Company's International segment is no longer consolidated on a one month lag, and such change for the seven month transition period ended December 31, 2016 was not material.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generally accepted accounting principles (GAAP) requires that the Company make estimates and assumptions that affect the reported amounts of assets, liabilities, revenue and expenses and disclosure of contingent assets and liabilities at the date of financial statements. The Company bases its estimates and assumptions on historical experience, known or expected trends and various other assumptions that it believes to be reasonable. As future events and their effects cannot be determined with precision, actual results could differ significantly from these estimates, which may cause the Company’s future results to be significantly affected.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Accounts receivable are stated net of an allowance for doubtful accounts and sales allowances. Outstanding accounts receivable balances are reviewed periodically, and allowances are provided at such time that management believes it is probable that such balances will not be collected within a reasonable period of time, to the extent reasonably estimable. The Company extends credit to its customers based upon credit evaluations in the normal course of business, primarily with 30-day terms. Bad debts are provided for based on historical experience and management’s evaluation of outstanding accounts receivable. Accounts are written off when they are deemed uncollectible under GAAP accounting standards.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No customer accounted for 10% or more of our revenues for the year ended December 31, 2018. One customer accounted for 11% and 12% of our revenues for the year ended December 31, 2017 and the transition period ended December 31, 2016, which primarily were generated from the Services segment. One customer accounted for 10% of our revenues in fiscal 2016, which primarily were generated from the Services segment.</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and accounts receivable. At times, cash deposits may exceed the limits insured by the Federal Deposit Insurance Corporation. The Company believes it is not exposed to any significant credit risk or risk of nonperformance of financial institutions.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as determined by using the first-in, first-out method, or market. Work in process and finished goods inventory include material, direct labor, variable costs and overhead.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Purchased and Internal-Use Software</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 capitalizes certain costs that are incurred to purchase or to create and implement internal-use software, which includes software coding, installation and testing. Capitalized costs are amortized on a straight-line basis over three years, the estimated useful life of the software.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recorded at cost. Depreciation of property, plant and equipment is computed utilizing the straight-line method over the estimated useful lives of the assets. Amortization of leasehold improvements is computed utilizing the straight-line method over the shorter of the remaining lease term or estimated useful life. Repairs and maintenance costs are expensed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Goodwill represents the excess purchase price of acquired businesses over the fair values attributed to underlying net tangible assets and identifiable intangible assets. The Company tests goodwill for impairment at a “reporting unit” level (which for the Company is represented by (i) our Services segment,</w:t>
      </w:r>
    </w:p>
    <w:p>
      <w:pPr>
        <w:jc w:val="both"/>
        <w:ind w:firstLine="8"/>
        <w:spacing w:after="0" w:line="254" w:lineRule="auto"/>
        <w:tabs>
          <w:tab w:leader="none" w:pos="26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Systems segment, and (iii) the European component and (iv) Brazilian component of our International segment). Our annual impairment test is conducted on the first day of our fourth quarter, which is October 1. Goodwill is also tested for impairment whenever an event occurs or circumstances change that would more likely than not reduce the fair value of a reporting unit below its carrying amount. During the third quarter of 2017, there was a triggering event in the Products and Systems segment that resulted in a $13.2 million goodwill impairment charge. See Note 8 for further details.</w:t>
      </w:r>
    </w:p>
    <w:p>
      <w:pPr>
        <w:spacing w:after="0" w:line="186"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If the fair value of a reporting unit is less than its carrying value, this is an indicator that the goodwill assigned to that reporting unit may be impaired. As a result of the Company adopting ASU 2017-04, impairment will be recorded in the amount that fair value is less than carrying value, as the ASU eliminated step two of the goodwill impairment process. The Company considers the income and market approaches to estimating the fair value of our reporting units, which requires significant judgment in evaluation of economic and industry trends, estimated future cash flows, discount rates and other factors.</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80"/>
          </w:cols>
          <w:pgMar w:left="240" w:top="121" w:right="27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reviews the recoverability of its long-lived assets (or asset groups) on a periodic basis in order to identify indicators of a possible impairment. The assessment for potential impairment is based primarily on the Company’s ability to recover the carrying value of its long-lived assets from expected future undiscounted cash flows. If the total expected future undiscounted cash flows are less than the carrying amount of the assets, a loss is recognized for the difference between fair value (computed based upon the expected future discounted cash flows) and the carrying value of the assets. During the third quarter of 2017, there was a triggering event in the Products and Systems segment that resulted in a $2.6 million impairment charge of long-lived assets. See Note 9 for further details.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Company allocates the purchase price of acquired businesses to their identifiable tangible assets and liabilities as well as identifiable intangible assets, such as customer relationships, technology, non-compete agreements and trade names. Certain estimates and judgments are required in the application of the fair value techniques, including estimates of the respective acquisition's future performance and related cash flows, selection of a discount rate and economic lives, and use of Level 3 measurements as defined in Accounting Standards Update ("ASC") 820 </w:t>
      </w:r>
      <w:r>
        <w:rPr>
          <w:rFonts w:ascii="Times New Roman" w:cs="Times New Roman" w:eastAsia="Times New Roman" w:hAnsi="Times New Roman"/>
          <w:sz w:val="18"/>
          <w:szCs w:val="18"/>
          <w:i w:val="1"/>
          <w:iCs w:val="1"/>
          <w:color w:val="auto"/>
        </w:rPr>
        <w:t>Fair Value Measurements and Disclosure.</w:t>
      </w:r>
      <w:r>
        <w:rPr>
          <w:rFonts w:ascii="Times New Roman" w:cs="Times New Roman" w:eastAsia="Times New Roman" w:hAnsi="Times New Roman"/>
          <w:sz w:val="18"/>
          <w:szCs w:val="18"/>
          <w:color w:val="auto"/>
        </w:rPr>
        <w:t xml:space="preserve"> Deferred taxes are recorded for any differences between the assigned values and tax bases of assets and liabilities.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Engineering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product development costs are expensed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Promotions and Marketing</w:t>
      </w:r>
    </w:p>
    <w:p>
      <w:pPr>
        <w:spacing w:after="0" w:line="229"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 costs for advertising, promotion and marketing programs are expensed as incurred and are included in selling, general and administrative expenses. Advertising expense was approximately $2.1 million, $1.9 million, $1.2 million and $1.8 million for the years ended December 31, 2018 and 2017, the transition period ended December 31, 2016 and fiscal 2016,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other financial current assets and liabilities approximate fair value based on the short-term nature of the items.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financial position and results of operations of the Company’s foreign subsidiaries are measured using their functional currencies, which are their local currencies. Assets and liabilities of foreign subsidiaries are translated into the U.S. Dollar at the exchange rates in effect at the balance sheet date. Income and expenses are translated at the average exchange rate during the period. Translation gains and losses are reported as a component of other comprehensive (loss) income for the period and included in accumulated other comprehensive (loss) income within stockholders’ equity.</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Foreign currency (gains) and losses arising from transactions denominated in currencies other than the functional currency are included in net income, reported in SG&amp;A expenses, and were approximately $1.3 million, $0.6 million, $(0.7) million and $(0.1) million for the years ended December 31, 2018 and 2017, transition period ended December 31, 2016 and fiscal 2016,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 self-insured for certain losses relating to workers’ compensation and health benefit claims. The Company maintains third-party excess insurance coverage for all workers' compensation and health benefit claims in excess of approximately $0.3 million per occurence to reduce its exposure from such claims. Self-insured losses are accrued when it is probable that an uninsured claim has been incurred but not reported and the amount of the loss can be reasonably estimated at the balance sheet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value of services received from employees and directors in exchange for an award of an equity instrument is measured based on the grant-date fair value of the award. Such value is recognized as a non-cash expense on a straight-line basis over the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00"/>
          </w:cols>
          <w:pgMar w:left="240" w:top="121" w:right="25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period the individual provides services, which is typically the vesting period of the award with the exception of awards with graded vesting that contain an internal performance measure where each tranche is recognized on a straight-line basis over its vesting period subject to the probability of meeting the performance requirements and adjusted for the number of shares expected to be earned. As share-based compensation expense is based on awards ultimately expected to vest, the amount of expense is reduced for estimated forfeitures. The cost of these awards is recorded in selling, general and administrative expense in the Company’s consolidated statements of income.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income tax assets and liabilities are recognized for the future tax consequences attributable to differences between the financial statement carrying amounts of existing assets and liabilities and their respective tax bases and tax credit carry-forwards. Deferred income tax assets and liabilities are measured using enacted tax rates expected to apply to taxable income in the years in which those temporary differences are expected to be recovered or settled. The effect on deferred income tax assets and liabilities of a change in tax rates is recognized in income in the period that includes the enactment date. A valuation allowance is provided if it is more likely than not that some or all of a deferred income tax asset will not be realized. Financial accounting standards prescribe a minimum recognition threshold a tax position is required to meet before being recognized in the financial statements. These standards also provide guidance on de-recognition, measurement, and classification of amounts relating to uncertain tax positions, accounting for and disclosure of interest and penalties, accounting in interim periods and disclosures required. Interest and penalties related to unrecognized tax positions are recognized as incurred within “provision for income taxes” in the consolidated statements of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080808"/>
        </w:rPr>
        <w:t xml:space="preserve">In August 2015, the Financial Accounting Standards Board ("FASB") issued Accounting Standards Update ("ASU") 2015-14, </w:t>
      </w:r>
      <w:r>
        <w:rPr>
          <w:rFonts w:ascii="Times New Roman" w:cs="Times New Roman" w:eastAsia="Times New Roman" w:hAnsi="Times New Roman"/>
          <w:sz w:val="18"/>
          <w:szCs w:val="18"/>
          <w:i w:val="1"/>
          <w:iCs w:val="1"/>
          <w:color w:val="080808"/>
        </w:rPr>
        <w:t>Revenue from Contracts with</w:t>
      </w:r>
      <w:r>
        <w:rPr>
          <w:rFonts w:ascii="Times New Roman" w:cs="Times New Roman" w:eastAsia="Times New Roman" w:hAnsi="Times New Roman"/>
          <w:sz w:val="18"/>
          <w:szCs w:val="18"/>
          <w:color w:val="080808"/>
        </w:rPr>
        <w:t xml:space="preserve"> </w:t>
      </w:r>
      <w:r>
        <w:rPr>
          <w:rFonts w:ascii="Times New Roman" w:cs="Times New Roman" w:eastAsia="Times New Roman" w:hAnsi="Times New Roman"/>
          <w:sz w:val="18"/>
          <w:szCs w:val="18"/>
          <w:i w:val="1"/>
          <w:iCs w:val="1"/>
          <w:color w:val="080808"/>
        </w:rPr>
        <w:t xml:space="preserve">Customers (Topic 606): Deferral of the Effective Date, </w:t>
      </w:r>
      <w:r>
        <w:rPr>
          <w:rFonts w:ascii="Times New Roman" w:cs="Times New Roman" w:eastAsia="Times New Roman" w:hAnsi="Times New Roman"/>
          <w:sz w:val="18"/>
          <w:szCs w:val="18"/>
          <w:color w:val="080808"/>
        </w:rPr>
        <w:t>which defers the effective date of ASU 2014-09 for all entities by one year. This update is effective for</w:t>
      </w:r>
      <w:r>
        <w:rPr>
          <w:rFonts w:ascii="Times New Roman" w:cs="Times New Roman" w:eastAsia="Times New Roman" w:hAnsi="Times New Roman"/>
          <w:sz w:val="18"/>
          <w:szCs w:val="18"/>
          <w:i w:val="1"/>
          <w:iCs w:val="1"/>
          <w:color w:val="080808"/>
        </w:rPr>
        <w:t xml:space="preserve"> </w:t>
      </w:r>
      <w:r>
        <w:rPr>
          <w:rFonts w:ascii="Times New Roman" w:cs="Times New Roman" w:eastAsia="Times New Roman" w:hAnsi="Times New Roman"/>
          <w:sz w:val="18"/>
          <w:szCs w:val="18"/>
          <w:color w:val="080808"/>
        </w:rPr>
        <w:t>public business entities for annual reporting periods beginning after December 15, 2017, including interim periods within those reporting periods. Earlier application is permitted only as of annual reporting periods beginning after December 15, 2016, including interim reporting periods within that reporting period. ASU 2014-09 became effective for the Company on January 1, 2018. The ASU permits two methods of adoption: retrospectively to each prior reporting period presented (full retrospective method), or retrospectively with the cumulative effect of initially applying the guidance recognized at the date of initial application (the cumulative catch-up transition method). The ASU also requires expanded disclosures relating to the nature, amount, timing, and uncertainty of revenue and cash flows arising from contracts with customers. Additionally, qualitative and quantitative disclosures are required about customer contracts, significant judgments and changes in judgments, and assets recognized from the costs to obtain or fulfill a contract.</w:t>
      </w:r>
    </w:p>
    <w:p>
      <w:pPr>
        <w:spacing w:after="0" w:line="1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080808"/>
        </w:rPr>
        <w:t>The Company adopted ASU 2014-09 along with the related additional ASUs on Topic 606 on January 1, 2018, utilizing the cumulative catch-up method. The result of adoption is immaterial to the Company's consolidated financial statements, largely because most of our projects are short-term in nature and billed on a time and material basis. The Company utilized a practical expedient that provides for revenue to be recognized in an amount that corresponds directly with the value to the customer of the entity’s performance completed to date. The Company's additional required disclosures under Topic 606 are disclosed in Note 2.</w:t>
      </w:r>
    </w:p>
    <w:p>
      <w:pPr>
        <w:spacing w:after="0" w:line="18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This amendment supersedes previous accounting guidance (Topic 840) and requires all leases, with the exception of leases with a term of 12 months or less, to be recorded on the balance sheet as lease assets and lease liabilities. ASU 2016-02 is effective for fiscal years, and interim periods within those fiscal years beginning after December 15, 2018, with early adoption permitted. The standard requires lessees and lessors to recognize and measure leases at the beginning of the earliest period presented using a modified retrospective approach. In July 2018, the FASB issued ASU 2018-11, </w:t>
      </w:r>
      <w:r>
        <w:rPr>
          <w:rFonts w:ascii="Times New Roman" w:cs="Times New Roman" w:eastAsia="Times New Roman" w:hAnsi="Times New Roman"/>
          <w:sz w:val="18"/>
          <w:szCs w:val="18"/>
          <w:i w:val="1"/>
          <w:iCs w:val="1"/>
          <w:color w:val="auto"/>
        </w:rPr>
        <w:t>Leases (Topic 832), Targeted Improvements</w:t>
      </w:r>
      <w:r>
        <w:rPr>
          <w:rFonts w:ascii="Times New Roman" w:cs="Times New Roman" w:eastAsia="Times New Roman" w:hAnsi="Times New Roman"/>
          <w:sz w:val="18"/>
          <w:szCs w:val="18"/>
          <w:color w:val="auto"/>
        </w:rPr>
        <w:t>. The amendments in this update provide an optional transition method to the modified retrospective method that was part of the initial ASC 842 guidance. The optional transition method allows entities to apply the leasing standard as of January 1, 2019 and recognize a cumulative-effect adjustment to the opening balance of retained earnings. ASC 842 also requires expanded financial statement disclosures on leasing activities. These changes will become effective for the Company on January 1, 2019.</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Company’s cross-functional team has determined the scope of arrangements that will be subject to this standard and continues to evaluate the impact of Topic 842 and its impacts on the Company’s business processes, systems and internal controls. The Company’s lease portfolio primarily includes buildings, machinery and equipment, vehicles and computer equipment. In adopting ASC 842, the new standard provides for several optional practical expedients in transition. The Company will adopt ASC 842 using the following practical expedients: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optional transition method set forth in ASU 2018-11 in connection with the adoption of ASC 842 on January 1, 2019.</w:t>
      </w:r>
    </w:p>
    <w:p>
      <w:pPr>
        <w:spacing w:after="0" w:line="27"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“package of practical expedients,” which permits the Company not to reassess under the new standard prior conclusions on lease identification, lease classification and initial direct costs.</w:t>
      </w:r>
    </w:p>
    <w:p>
      <w:pPr>
        <w:ind w:left="660" w:right="520" w:hanging="328"/>
        <w:spacing w:after="0" w:line="26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practical expedient not to separate lease and non-lease components within the lease and account for all lease components as a single lease component.</w:t>
      </w:r>
    </w:p>
    <w:p>
      <w:pPr>
        <w:spacing w:after="0" w:line="180"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 Company has estimated the impact of a right-to-use asset and liability on the consolidated balance sheet related to operating leases of between $35 million and $40 million, while the accounting for capital leases will remain unchanged. The adoption of ASC 842 is not expected to result in significant impacts to our statements of income or cash flows.</w:t>
      </w:r>
    </w:p>
    <w:p>
      <w:pPr>
        <w:spacing w:after="0" w:line="17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Statement of Cash Flows (Topic 230).</w:t>
      </w:r>
      <w:r>
        <w:rPr>
          <w:rFonts w:ascii="Times New Roman" w:cs="Times New Roman" w:eastAsia="Times New Roman" w:hAnsi="Times New Roman"/>
          <w:sz w:val="18"/>
          <w:szCs w:val="18"/>
          <w:color w:val="auto"/>
        </w:rPr>
        <w:t xml:space="preserve"> This amendment provides guidance on the presentation and classification of specific cash flow items to improve consistency within the statement of cash flows. ASU 2016-15 is effective for fiscal years, and interim periods within those fiscal years beginning after December 15, 2017, with early adoption permitted. The Company adopted ASU 2016-15 in the first quarter of 2018, which did not have a material impact on the Company's consolidated financial statements and related disclosures.</w:t>
      </w:r>
    </w:p>
    <w:p>
      <w:pPr>
        <w:spacing w:after="0" w:line="18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Intangibles-Goodwill and Other (Topic 350).</w:t>
      </w:r>
      <w:r>
        <w:rPr>
          <w:rFonts w:ascii="Times New Roman" w:cs="Times New Roman" w:eastAsia="Times New Roman" w:hAnsi="Times New Roman"/>
          <w:sz w:val="18"/>
          <w:szCs w:val="18"/>
          <w:color w:val="auto"/>
        </w:rPr>
        <w:t xml:space="preserve"> This amendment eliminates Step Two of the goodwill impairment test. Under the amendments in this update, entities should perform the annual goodwill impairment test by comparing the carrying value of their reporting units to their fair value. An entity should record an impairment charge for the amount by which the carrying amount exceeds the reporting unit’s fair value. Tax deductibility of goodwill should be considered in evaluating any reporting unit's impairment loss to be taken. ASU 2017-04 is effective for fiscal years beginning after December 15, 2019, with early adoption permitted. The Company early adopted ASU 2017-04 in the third quarter of 2017 for its consolidated financial statements and related disclosures.</w:t>
      </w:r>
    </w:p>
    <w:p>
      <w:pPr>
        <w:spacing w:after="0" w:line="18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In May 2017, the FASB issued ASU 2017-09, </w:t>
      </w:r>
      <w:r>
        <w:rPr>
          <w:rFonts w:ascii="Times New Roman" w:cs="Times New Roman" w:eastAsia="Times New Roman" w:hAnsi="Times New Roman"/>
          <w:sz w:val="18"/>
          <w:szCs w:val="18"/>
          <w:i w:val="1"/>
          <w:iCs w:val="1"/>
          <w:color w:val="auto"/>
        </w:rPr>
        <w:t>Compensation-Stock Compensation (Topic 718) Scope of Modification Accounting.</w:t>
      </w:r>
      <w:r>
        <w:rPr>
          <w:rFonts w:ascii="Times New Roman" w:cs="Times New Roman" w:eastAsia="Times New Roman" w:hAnsi="Times New Roman"/>
          <w:sz w:val="18"/>
          <w:szCs w:val="18"/>
          <w:color w:val="auto"/>
        </w:rPr>
        <w:t xml:space="preserve"> This amendment provides guidance concerning which changes to the terms or conditions of a share-based payment require an entity to apply modification accounting. Certain changes to stock awards, notably administrative changes, do not require modification accounting. There are three specific criteria that need to be met in order to prove that modification accounting is not required. ASU 2017-09 is effective for fiscal years, and interim periods within those fiscal years, beginning after December 15, 2017, with early adoption permitted. The Company adopted ASU 2017-09 in the first quarter of 2018, which did not have any impact on the Company's consolidated financial statements and related disclosures.</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December 2017, the SEC staff issued SAB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 As of December 31, 2018, the Company has completed the accounting for the tax effects of all of the provisions of the Tax Act. (See Note 14 for further details.)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the Company's revenues are derived from providing services on a time and material basis and are short-term in</w:t>
      </w:r>
    </w:p>
    <w:p>
      <w:pPr>
        <w:spacing w:after="0" w:line="27"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 xml:space="preserve">nature. The Company accounts for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which was adopted on January 1, 2018, using the cumulative catch-up transition method. The adoption of ASC Topic 606 did not impact the Company's consolidated financial statements, other than the new disclosure requirements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in ASC Topic 606. A contract’s transaction price is allocated to each distinct performance obligation and recognized as revenue when, or as, the performance obligation is satisfied. The majority of our contracts have a single performance obligation as the promise to transfer the individual goods or services is not separately identifiable from other promises in the contracts and is, therefore, not distinct. The Company provides highly integrated and bundled inspection services to its customers. Some of our contracts have multiple performance obligations, most commonly due to the contract providing both goods and services. For contracts with multiple performance obligations, the Company allocates the contract’s transaction price to each</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121" w:right="25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performance obligation using our best estimate of the standalone selling price of each distinct good or service in the contract. The primary method used to estimate standalone selling price is a relative selling price based on price lists.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Contract modifications are not routine in the performance of our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17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performance obligations are satisfied over time as work progresses or at a point in time. The majority of our revenue recognized over time as work progresses is related to our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Revenue is recognized on a cost-to-cost method tracked on an input basis.</w:t>
      </w:r>
    </w:p>
    <w:p>
      <w:pPr>
        <w:spacing w:after="0" w:line="18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majority of our revenue recognized at a point in time is related to product sales when the customer obtains control of the asset, which is generally upon shipment to the customer. Contract costs include labor, material and overhead.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any significant remaining performance obligations to be satisfied within one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majority of our revenues are short-term in nature. The Company has many Master Service Agreements (MSAs) that specify an overall framework and terms of contract when the Company and customers agree upon services or products to be provided. The actual contracting to provide services or furnish products are triggered by a work order, purchase order, or some similar document issued pursuant to a MSA which sets forth the scope of services and/or identifies the products to be provided. From time-to-time, the Company may enter into long-term contracts, which can range from several months to several years. Revenue on such long-term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our project managers, engineers and financial professionals. Factors that are considered in estimating the work to be completed include the availability of materials, the effect of any delays in our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series of tables present our disaggregated 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industry was as follows:</w:t>
      </w:r>
    </w:p>
    <w:p>
      <w:pPr>
        <w:spacing w:after="0" w:line="383"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2018</w:t>
            </w:r>
          </w:p>
        </w:tc>
        <w:tc>
          <w:tcPr>
            <w:tcW w:w="18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6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Corp/Elim</w:t>
            </w:r>
          </w:p>
        </w:tc>
        <w:tc>
          <w:tcPr>
            <w:tcW w:w="26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&amp; Gas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418,112</w:t>
            </w: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&amp; Defense</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107,708</w:t>
            </w:r>
          </w:p>
        </w:tc>
      </w:tr>
      <w:tr>
        <w:trPr>
          <w:trHeight w:val="27"/>
        </w:trPr>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89,900</w:t>
            </w: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44,113</w:t>
            </w:r>
          </w:p>
        </w:tc>
      </w:tr>
      <w:tr>
        <w:trPr>
          <w:trHeight w:val="27"/>
        </w:trPr>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Process Industries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36,046</w:t>
            </w: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25,561</w:t>
            </w:r>
          </w:p>
        </w:tc>
      </w:tr>
      <w:tr>
        <w:trPr>
          <w:trHeight w:val="27"/>
        </w:trPr>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20,914</w:t>
            </w:r>
          </w:p>
        </w:tc>
      </w:tr>
      <w:tr>
        <w:trPr>
          <w:trHeight w:val="257"/>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574,619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153,448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742,354</w:t>
            </w:r>
          </w:p>
        </w:tc>
      </w:tr>
      <w:tr>
        <w:trPr>
          <w:trHeight w:val="20"/>
        </w:trPr>
        <w:tc>
          <w:tcPr>
            <w:tcW w:w="3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per key geographic location was as follows: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60"/>
          </w:cols>
          <w:pgMar w:left="240" w:top="121" w:right="29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4220" w:type="dxa"/>
            <w:vAlign w:val="bottom"/>
            <w:gridSpan w:val="3"/>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Table of Contents</w:t>
              </w:r>
            </w:hyperlink>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642"/>
        </w:trPr>
        <w:tc>
          <w:tcPr>
            <w:tcW w:w="1140" w:type="dxa"/>
            <w:vAlign w:val="bottom"/>
          </w:tcPr>
          <w:p>
            <w:pPr>
              <w:spacing w:after="0"/>
              <w:rPr>
                <w:sz w:val="24"/>
                <w:szCs w:val="24"/>
                <w:color w:val="auto"/>
              </w:rPr>
            </w:pP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2018</w:t>
            </w:r>
          </w:p>
        </w:tc>
        <w:tc>
          <w:tcPr>
            <w:tcW w:w="18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6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4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Corp/Elim</w:t>
            </w:r>
          </w:p>
        </w:tc>
        <w:tc>
          <w:tcPr>
            <w:tcW w:w="260" w:type="dxa"/>
            <w:vAlign w:val="bottom"/>
          </w:tcPr>
          <w:p>
            <w:pPr>
              <w:spacing w:after="0"/>
              <w:rPr>
                <w:sz w:val="24"/>
                <w:szCs w:val="24"/>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1140" w:type="dxa"/>
            <w:vAlign w:val="bottom"/>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1140" w:type="dxa"/>
            <w:vAlign w:val="bottom"/>
          </w:tcPr>
          <w:p>
            <w:pPr>
              <w:spacing w:after="0"/>
              <w:rPr>
                <w:sz w:val="21"/>
                <w:szCs w:val="21"/>
                <w:color w:val="auto"/>
              </w:rPr>
            </w:pP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487,414</w:t>
            </w:r>
          </w:p>
        </w:tc>
      </w:tr>
      <w:tr>
        <w:trPr>
          <w:trHeight w:val="243"/>
        </w:trPr>
        <w:tc>
          <w:tcPr>
            <w:tcW w:w="1140" w:type="dxa"/>
            <w:vAlign w:val="bottom"/>
          </w:tcPr>
          <w:p>
            <w:pPr>
              <w:spacing w:after="0"/>
              <w:rPr>
                <w:sz w:val="21"/>
                <w:szCs w:val="21"/>
                <w:color w:val="auto"/>
              </w:rPr>
            </w:pP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98,248</w:t>
            </w:r>
          </w:p>
        </w:tc>
      </w:tr>
      <w:tr>
        <w:trPr>
          <w:trHeight w:val="27"/>
        </w:trPr>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140" w:type="dxa"/>
            <w:vAlign w:val="bottom"/>
          </w:tcPr>
          <w:p>
            <w:pPr>
              <w:spacing w:after="0"/>
              <w:rPr>
                <w:sz w:val="21"/>
                <w:szCs w:val="21"/>
                <w:color w:val="auto"/>
              </w:rPr>
            </w:pP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143,312</w:t>
            </w:r>
          </w:p>
        </w:tc>
      </w:tr>
      <w:tr>
        <w:trPr>
          <w:trHeight w:val="243"/>
        </w:trPr>
        <w:tc>
          <w:tcPr>
            <w:tcW w:w="1140" w:type="dxa"/>
            <w:vAlign w:val="bottom"/>
          </w:tcPr>
          <w:p>
            <w:pPr>
              <w:spacing w:after="0"/>
              <w:rPr>
                <w:sz w:val="21"/>
                <w:szCs w:val="21"/>
                <w:color w:val="auto"/>
              </w:rPr>
            </w:pP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13,380</w:t>
            </w:r>
          </w:p>
        </w:tc>
      </w:tr>
      <w:tr>
        <w:trPr>
          <w:trHeight w:val="27"/>
        </w:trPr>
        <w:tc>
          <w:tcPr>
            <w:tcW w:w="1140" w:type="dxa"/>
            <w:vAlign w:val="bottom"/>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1140" w:type="dxa"/>
            <w:vAlign w:val="bottom"/>
          </w:tcPr>
          <w:p>
            <w:pPr>
              <w:spacing w:after="0"/>
              <w:rPr>
                <w:sz w:val="22"/>
                <w:szCs w:val="22"/>
                <w:color w:val="auto"/>
              </w:rPr>
            </w:pP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574,619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742,354</w:t>
            </w: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(contract liabilities) on the consolidated balance sheet.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receives advances or deposits from our customers before revenue is recognized, resulting in contract liabilities. These assets and liabilities are aggregated on an individual contract basis and reported on the consolidated balance sheet at the end of each reporting period.</w:t>
      </w:r>
    </w:p>
    <w:p>
      <w:pPr>
        <w:spacing w:after="0" w:line="19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Revenue recognized in 2018, that was included in the contract liability balance at the beginning of the year was $5.3 million. Changes in the contract asset and liability balances during the year ended December 31, 2018, were not impacted by any other factors. The Company has elected to utilize a practical expedient to expense incremental costs incurred related to obtaining a contract.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attributable to common shareholders by the weighted average number of shares outstanding during the period. Diluted earnings per share is computed by dividing net income attributable to common shareholders by the sum of (1) the weighted average number of shares of common stock outstanding during the period, and (2) the dilutive effect of assumed conversion of equity awards using the treasury stock method. With respect to the number of weighted average shares outstanding (denominator), diluted shares reflects: (i) only the exercise of options to acquire common stock to the extent that the options’ exercise prices are less than the average market price of common shares during the period and (ii) the pro forma vesting of restricted stock units.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computations of basic and diluted earnings per share: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transition</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period ended</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6"/>
                <w:szCs w:val="16"/>
                <w:color w:val="auto"/>
              </w:rPr>
            </w:pPr>
          </w:p>
        </w:tc>
        <w:tc>
          <w:tcPr>
            <w:tcW w:w="108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0" w:type="dxa"/>
            <w:vAlign w:val="bottom"/>
          </w:tcPr>
          <w:p>
            <w:pPr>
              <w:spacing w:after="0"/>
              <w:rPr>
                <w:sz w:val="1"/>
                <w:szCs w:val="1"/>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0" w:type="dxa"/>
            <w:vAlign w:val="bottom"/>
          </w:tcPr>
          <w:p>
            <w:pPr>
              <w:spacing w:after="0"/>
              <w:rPr>
                <w:sz w:val="1"/>
                <w:szCs w:val="1"/>
                <w:color w:val="auto"/>
              </w:rPr>
            </w:pPr>
          </w:p>
        </w:tc>
      </w:tr>
      <w:tr>
        <w:trPr>
          <w:trHeight w:val="249"/>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Mistras Group, Inc.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9,568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24,654</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28,406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28,422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28,989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28,856</w:t>
            </w:r>
          </w:p>
        </w:tc>
        <w:tc>
          <w:tcPr>
            <w:tcW w:w="0" w:type="dxa"/>
            <w:vAlign w:val="bottom"/>
          </w:tcPr>
          <w:p>
            <w:pPr>
              <w:spacing w:after="0"/>
              <w:rPr>
                <w:sz w:val="1"/>
                <w:szCs w:val="1"/>
                <w:color w:val="auto"/>
              </w:rPr>
            </w:pPr>
          </w:p>
        </w:tc>
      </w:tr>
      <w:tr>
        <w:trPr>
          <w:trHeight w:val="297"/>
        </w:trPr>
        <w:tc>
          <w:tcPr>
            <w:tcW w:w="5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84"/>
        </w:trPr>
        <w:tc>
          <w:tcPr>
            <w:tcW w:w="55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Mistras Group, Inc.</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6,836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9,568</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24,654</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28,406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28,422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28,989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28,856</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effect of stock options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43"/>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restricted stock units outstanding</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29,427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28,422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30,125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29,891</w:t>
            </w:r>
          </w:p>
        </w:tc>
        <w:tc>
          <w:tcPr>
            <w:tcW w:w="0" w:type="dxa"/>
            <w:vAlign w:val="bottom"/>
          </w:tcPr>
          <w:p>
            <w:pPr>
              <w:spacing w:after="0"/>
              <w:rPr>
                <w:sz w:val="1"/>
                <w:szCs w:val="1"/>
                <w:color w:val="auto"/>
              </w:rPr>
            </w:pPr>
          </w:p>
        </w:tc>
      </w:tr>
      <w:tr>
        <w:trPr>
          <w:trHeight w:val="257"/>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0.82</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5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08" w:right="25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potential common shares were excluded from the computation of diluted earnings per share, as the effect would have been anti-dilutive:</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transition period</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640" w:type="dxa"/>
            <w:vAlign w:val="bottom"/>
            <w:gridSpan w:val="4"/>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34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060" w:type="dxa"/>
            <w:vAlign w:val="bottom"/>
          </w:tcPr>
          <w:p>
            <w:pPr>
              <w:spacing w:after="0"/>
              <w:rPr>
                <w:sz w:val="16"/>
                <w:szCs w:val="16"/>
                <w:color w:val="auto"/>
              </w:rPr>
            </w:pPr>
          </w:p>
        </w:tc>
        <w:tc>
          <w:tcPr>
            <w:tcW w:w="2640" w:type="dxa"/>
            <w:vAlign w:val="bottom"/>
            <w:tcBorders>
              <w:bottom w:val="single" w:sz="8" w:color="auto"/>
            </w:tcBorders>
            <w:gridSpan w:val="4"/>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ended May 31,</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Potential common stock attributable to stock options outstanding</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810</w:t>
            </w:r>
          </w:p>
        </w:tc>
        <w:tc>
          <w:tcPr>
            <w:tcW w:w="3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(1 )</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5"/>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Potential common stock attributable to restricted stock units (RSUs) and</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performance stock units (PSUs) outstanding</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353</w:t>
            </w:r>
          </w:p>
        </w:tc>
        <w:tc>
          <w:tcPr>
            <w:tcW w:w="3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(2 )</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1,163</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- 805 shares related to stock options were excluded from the calculation of diluted EPS due to the net loss for the period.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- 351 shares related to RSUs and PSUs were excluded from the calculation of diluted EPS due to the net loss for the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 of the following:</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50"/>
        </w:trPr>
        <w:tc>
          <w:tcPr>
            <w:tcW w:w="85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152,511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141,952</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148,324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138,080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Company had $16.1 million and $14.4 million of unbilled revenues accrued as of December 31, 2018 and December 31, 2017, respectively, which is included within the trade accounts receivable balance above. Unbilled revenues as of December 31, 2018 are expected to be billed in the first quarter of 2019.</w:t>
      </w:r>
    </w:p>
    <w:p>
      <w:pPr>
        <w:spacing w:after="0" w:line="16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 of December 31, 2018, the Company’s Services Division had $5.6 million of accounts receivables due from one customer for services provided in North America. This customer has been having cash flow issues recently attributable to a working capital deterioration and the accounts receivable balance was beginning to age as of December 31, 2018. After the end of 2018, the customer expressed to the Company its desire to establish a payment plan that would pay in full all amounts due to the Company before the end of 2019. The Company has established a reserve of approximately 12% of the receivable balance based upon available information about the customer, the timing and likelihood of expected payments, and the Company’s historical reserve experience. The Company will continue to monitor the account and assess any change in circumstances, including any failure to meet the payment plan which may result in the need for additional reserves.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50"/>
        </w:trPr>
        <w:tc>
          <w:tcPr>
            <w:tcW w:w="85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6,975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5,105</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progress</w:t>
            </w: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1,192</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2,746</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Consumable supplies</w:t>
            </w: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1,460</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13,053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10,503</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 net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6"/>
                <w:szCs w:val="16"/>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50"/>
        </w:trPr>
        <w:tc>
          <w:tcPr>
            <w:tcW w:w="7900" w:type="dxa"/>
            <w:vAlign w:val="bottom"/>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64"/>
        </w:trPr>
        <w:tc>
          <w:tcPr>
            <w:tcW w:w="7900" w:type="dxa"/>
            <w:vAlign w:val="bottom"/>
          </w:tcPr>
          <w:p>
            <w:pPr>
              <w:spacing w:after="0"/>
              <w:rPr>
                <w:sz w:val="22"/>
                <w:szCs w:val="22"/>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2,414</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24,338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24,003</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16,170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14,230</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208,245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191,721</w:t>
            </w:r>
          </w:p>
        </w:tc>
      </w:tr>
      <w:tr>
        <w:trPr>
          <w:trHeight w:val="27"/>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251,433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232,368</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(145,225)</w:t>
            </w:r>
          </w:p>
        </w:tc>
      </w:tr>
      <w:tr>
        <w:trPr>
          <w:trHeight w:val="27"/>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93,895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87,143</w:t>
            </w:r>
          </w:p>
        </w:tc>
      </w:tr>
      <w:tr>
        <w:trPr>
          <w:trHeight w:val="20"/>
        </w:trPr>
        <w:tc>
          <w:tcPr>
            <w:tcW w:w="7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Depreciation expense was approximately $24.2 million, $22.4 million, $14.0 million and $22.9 million for the years ended December 31, 2018 and 2017, the transition period ended December 31, 2016 and fiscal 2016,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Acquisitions and Dispositions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2018, the Company completed one acquisition that performs inline inspection services, with headquarters in Canada and a location in the U.S. The acquired company primarily provides services to the midstream area within the oil and gas industry. In this acquisition, the Company acquired 100% of the equity interests of the Canadian and U.S. entities in exchange for aggregate consideration of $143.1 million in cash.</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2017, the Company completed three acquisitions, one that performs mechanical services at height, located in Canada, a company located in the U.S. that primarily performs chemical and specialty process services and a company in the U.S. that performs a wide variety of non-destructive testing services. Both U.S. companies primarily provide services to the aerospace industry. In these acquisitions, the Company acquired 100% of the equity interests of the entity based in Canada and one of the entities based in the U.S. in exchange for aggregate consideration of $79.5 million in cash, contingent consideration up to $2.4 million to be earned based upon the acquired business achieving specific performance metrics over the initial three years of operations from the acquisition date and $0.2 million for working capital adjustments that were finalized during 2018. The Company acquired the assets of one of the U.S. based entities noted above in exchange for aggregate consideration of $4.5 million in cash and contingent consideration up to $3.5 million to be earned based upon the acquired business achieving specific performance metrics over the initial three years of operations from the acquisition date.</w:t>
      </w:r>
    </w:p>
    <w:p>
      <w:pPr>
        <w:spacing w:after="0" w:line="18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accounted for these transactions in accordance with the acquisition method of accounting for business combinations. Assets and liabilities of the acquired businesses were included in the consolidated balance sheet as of December 31, 2018 and December 31, 2017 based on their respective estimated fair value on the date of acquisition as determined in a purchase price allocation, using available information and making assumptions management believes are reasonable. The Company is still in the process of completing its valuation of the assets, both tangible and intangible, and liabilities acquired for the acquisition completed during the year ended December 31, 2018. Goodwill of $83.2 million primarily relates to expected synergies and assembled workforce, which is not deductible for tax purposes. Other intangible assets, primarily related to technology, customer relationships and covenants not to compete, were $59.6 million. The results of operations of each of the acquisitions completed during the years ended December 31, 2018 and 2017 are included in each respective operating segment’s results of operations from the date of acquisition. The following table summarizes the estimated fair value of the assets acquired and liabilities assumed, the Company's allocation of purchase price and any subsequent adjustments made during the years ended December 31, 2018 and 2017:</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10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5"/>
        </w:trPr>
        <w:tc>
          <w:tcPr>
            <w:tcW w:w="7580" w:type="dxa"/>
            <w:vAlign w:val="bottom"/>
          </w:tcPr>
          <w:p>
            <w:pPr>
              <w:spacing w:after="0"/>
              <w:rPr>
                <w:sz w:val="16"/>
                <w:szCs w:val="16"/>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249"/>
        </w:trPr>
        <w:tc>
          <w:tcPr>
            <w:tcW w:w="7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Number of entities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7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7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143,139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83,963</w:t>
            </w:r>
          </w:p>
        </w:tc>
      </w:tr>
      <w:tr>
        <w:trPr>
          <w:trHeight w:val="243"/>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Working capital adjustments</w:t>
            </w:r>
          </w:p>
        </w:tc>
        <w:tc>
          <w:tcPr>
            <w:tcW w:w="2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w:t>
            </w:r>
          </w:p>
        </w:tc>
      </w:tr>
      <w:tr>
        <w:trPr>
          <w:trHeight w:val="27"/>
        </w:trPr>
        <w:tc>
          <w:tcPr>
            <w:tcW w:w="7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3,407</w:t>
            </w:r>
          </w:p>
        </w:tc>
      </w:tr>
      <w:tr>
        <w:trPr>
          <w:trHeight w:val="27"/>
        </w:trPr>
        <w:tc>
          <w:tcPr>
            <w:tcW w:w="7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Consideration paid</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143,139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87,520</w:t>
            </w:r>
          </w:p>
        </w:tc>
      </w:tr>
      <w:tr>
        <w:trPr>
          <w:trHeight w:val="20"/>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11"/>
        </w:trPr>
        <w:tc>
          <w:tcPr>
            <w:tcW w:w="7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7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net assets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7,165</w:t>
            </w:r>
          </w:p>
        </w:tc>
      </w:tr>
      <w:tr>
        <w:trPr>
          <w:trHeight w:val="243"/>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and 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r>
      <w:tr>
        <w:trPr>
          <w:trHeight w:val="243"/>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11,115</w:t>
            </w:r>
          </w:p>
        </w:tc>
      </w:tr>
      <w:tr>
        <w:trPr>
          <w:trHeight w:val="27"/>
        </w:trPr>
        <w:tc>
          <w:tcPr>
            <w:tcW w:w="7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r>
      <w:tr>
        <w:trPr>
          <w:trHeight w:val="243"/>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59,558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31,671</w:t>
            </w:r>
          </w:p>
        </w:tc>
      </w:tr>
      <w:tr>
        <w:trPr>
          <w:trHeight w:val="27"/>
        </w:trPr>
        <w:tc>
          <w:tcPr>
            <w:tcW w:w="7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83,163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41,695</w:t>
            </w:r>
          </w:p>
        </w:tc>
      </w:tr>
      <w:tr>
        <w:trPr>
          <w:trHeight w:val="257"/>
        </w:trPr>
        <w:tc>
          <w:tcPr>
            <w:tcW w:w="7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assets acquired</w:t>
            </w: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143,139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87,520</w:t>
            </w:r>
          </w:p>
        </w:tc>
      </w:tr>
      <w:tr>
        <w:trPr>
          <w:trHeight w:val="20"/>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amortization period for intangible assets acquired ranges from two to fourteen years. The Company recorded $83.2 million and $41.7 million of goodwill in connection with its acquisitions for the years ended December 31, 2018 and 2017, respectively, reflecting the strategic fit and revenue and earnings growth potential of these businesses.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the period subsequent to the closing of the transaction, revenue included in the consolidated statement of income for the year ended December 31, 2018 from the business acquired in 2018 was approximately $0.3 million and is included in the Services segment from the date of acquisition. Aggregate loss from operations included in the consolidated statement of income for the year ended December 31, 2018 from this acquisition for the period subsequent to the closing of the transaction was $2.0 million, inclusive of $1.3 million of acquisition-related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fourth quarter of 2017, the Company began the process of marketing one of its subsidiaries in the Products and Systems segment for sale. During the third quarter of 2018, substantially all of the assets and liabilities of the aforementioned</w:t>
      </w:r>
    </w:p>
    <w:p>
      <w:pPr>
        <w:ind w:right="160"/>
        <w:spacing w:after="0" w:line="252" w:lineRule="auto"/>
        <w:rPr>
          <w:sz w:val="20"/>
          <w:szCs w:val="20"/>
          <w:color w:val="auto"/>
        </w:rPr>
      </w:pPr>
      <w:r>
        <w:rPr>
          <w:rFonts w:ascii="Times New Roman" w:cs="Times New Roman" w:eastAsia="Times New Roman" w:hAnsi="Times New Roman"/>
          <w:sz w:val="18"/>
          <w:szCs w:val="18"/>
          <w:color w:val="auto"/>
        </w:rPr>
        <w:t>subsidiary were sold for approximately $4.3 million, inclusive of a $0.5 million post-closing adjustment that was paid December 2018. For the year ended December 31, 2018, the Company recognized a gain of approximately $2.4 million related to the sale, which is included in its own line on the consolidated income statement. The sale also included a three-year agreement to purchase products from the buyer, with a cumulative commitment of $2.3 million, of which $2.1 million is remaining as of December 31, 2018. The agreement is based on third party pricing and the Company's planned purchase requirements over the next three years to meet the minimum purchases, and as a result, the Company concluded that the timing of the gain was appropriate for the year ended December 31, 2018.</w:t>
      </w:r>
    </w:p>
    <w:p>
      <w:pPr>
        <w:spacing w:after="0" w:line="19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determined that the classification of being held for sale has been met as of December 31, 2017. For the year ended December 31, 2017, this subsidiary represented 0.6% of consolidated revenues and loss from operations was $3.5 million, inclusive of a $2.6 million impairment charge for long-lived assets (See Note 9). In the aggregate, the assets and liabilities of this subsidiary represent 0.4% and 0.2% of consolidated assets and liabilities, respectively, and are included in their natural classifications on the consolidated balance sheet as of December 31,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expense</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course of its acquisition activities, the Company incurs costs in connection with due diligence, professional fees, and other expenses. Additionally, the Company adjusts the fair value of acquisition-related contingent consideration liabilities on a quarterly basis. These amounts are recorded as acquisition-related (benefit) expense, net, on the consolidated statements of</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80"/>
          </w:cols>
          <w:pgMar w:left="240" w:top="121" w:right="27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and were as follows for the years ended December 31, 2018 and 2017, the transition period ended December 31, 2016 and fiscal 2016:</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Transition</w:t>
            </w:r>
          </w:p>
        </w:tc>
        <w:tc>
          <w:tcPr>
            <w:tcW w:w="140" w:type="dxa"/>
            <w:vAlign w:val="bottom"/>
          </w:tcPr>
          <w:p>
            <w:pPr>
              <w:spacing w:after="0"/>
              <w:rPr>
                <w:sz w:val="13"/>
                <w:szCs w:val="13"/>
                <w:color w:val="auto"/>
              </w:rPr>
            </w:pPr>
          </w:p>
        </w:tc>
        <w:tc>
          <w:tcPr>
            <w:tcW w:w="134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Period ended</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6"/>
                <w:szCs w:val="16"/>
                <w:color w:val="auto"/>
              </w:rPr>
            </w:pPr>
          </w:p>
        </w:tc>
        <w:tc>
          <w:tcPr>
            <w:tcW w:w="13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0" w:type="dxa"/>
            <w:vAlign w:val="bottom"/>
          </w:tcPr>
          <w:p>
            <w:pPr>
              <w:spacing w:after="0"/>
              <w:rPr>
                <w:sz w:val="1"/>
                <w:szCs w:val="1"/>
                <w:color w:val="auto"/>
              </w:rPr>
            </w:pP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diligence, professional fees and other transaction costs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1,248</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fair value of contingent consideration liabilities</w:t>
            </w:r>
          </w:p>
        </w:tc>
        <w:tc>
          <w:tcPr>
            <w:tcW w:w="22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(716)</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Acquisition-related (benefit) expense,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532</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contingent consideration liabilities are recorded on the balance sheet in accrued expenses and other liabilities.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2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unaudited pro forma financial information for the years ended December 31, 2018 and 2017 as if the acquisition of Onstream had occurred on January 1, 2017. (Information in thousands, except per share data).</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64"/>
        </w:trPr>
        <w:tc>
          <w:tcPr>
            <w:tcW w:w="88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770,222</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727,821</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6,602</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4"/>
        </w:trPr>
        <w:tc>
          <w:tcPr>
            <w:tcW w:w="8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per common share: basic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0.23</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per common share: diluted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0.22</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7"/>
        </w:trPr>
        <w:tc>
          <w:tcPr>
            <w:tcW w:w="8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unaudited pro forma financial information was prepared using the acquisition method of accounting and was based on the historical financial information of Mistras and Onstream. The supplemental pro forma financial information reflects primarily the following pro forma adjustments:</w:t>
      </w:r>
    </w:p>
    <w:p>
      <w:pPr>
        <w:spacing w:after="0" w:line="162" w:lineRule="exact"/>
        <w:rPr>
          <w:sz w:val="20"/>
          <w:szCs w:val="20"/>
          <w:color w:val="auto"/>
        </w:rPr>
      </w:pPr>
    </w:p>
    <w:p>
      <w:pPr>
        <w:ind w:left="660" w:right="12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financial information assumes that the acquisition related transaction fees and costs for Onstream were removed from the year ended December 31, 2018 and were assumed to have been incurred prior to acquisition;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interest expense resulting from the issuance of debt to finance the consideration exchanged for the acquisition.</w:t>
      </w:r>
    </w:p>
    <w:p>
      <w:pPr>
        <w:spacing w:after="0" w:line="225"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depreciation and amortization expense due to (1) the amortization of identifiable intangibles with a definitive life using the straight-line method over a weighted average useful life of 12.6 years, and (2) increase in depreciation resulting from the step-up of property, plant and equipment depreciated on a straight-line basis over their useful life of 5 years; and</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were tax effected at an effective tax rate of 26% as of December 31, 2018 and 31% as of December 31, 2017.</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results do not reflect any operating efficiencies or potential cost savings that may result from the combined operations of Mistras and Onstream. Accordingly, these unaudited pro forma results are presented for illustrative purposes and are not intended to represent or be indicative of the actual results of operations of the combined company that would have been achieved.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segment is shown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4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Products and Systems</w:t>
            </w:r>
          </w:p>
        </w:tc>
        <w:tc>
          <w:tcPr>
            <w:tcW w:w="36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2"/>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123,392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33,351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13,197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169,940</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acquired during the year</w:t>
            </w:r>
          </w:p>
        </w:tc>
        <w:tc>
          <w:tcPr>
            <w:tcW w:w="30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41,695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41,695</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Impairment charge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(13,197)</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preliminary purchase price allocations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4,286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5,211</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165,801</w:t>
            </w:r>
          </w:p>
        </w:tc>
        <w:tc>
          <w:tcPr>
            <w:tcW w:w="1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37,637</w:t>
            </w:r>
          </w:p>
        </w:tc>
        <w:tc>
          <w:tcPr>
            <w:tcW w:w="10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203,438</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acquired during the year</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83,163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83,163</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preliminary purchase price allocations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w:t>
            </w:r>
          </w:p>
        </w:tc>
      </w:tr>
      <w:tr>
        <w:trPr>
          <w:trHeight w:val="25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243,476</w:t>
            </w: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35,783</w:t>
            </w:r>
          </w:p>
        </w:tc>
        <w:tc>
          <w:tcPr>
            <w:tcW w:w="10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279,259</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the second quarter of 2017, there were pending Products and Systems contract bids which management assessed as having a reasonable chance of success. During the third quarter of 2017, these contract bids were not awarded to the Company. As a result of this missed opportunity, the annual forecasting process was accelerated, resulting in lower expected future operating profits and cash flows. As such, during the third quarter of 2017, there were indicators that the carrying amount of the goodwill for the Products and Systems reporting unit may not have been recoverable due to the decline in the projected future cash flows.</w:t>
      </w:r>
    </w:p>
    <w:p>
      <w:pPr>
        <w:spacing w:after="0" w:line="18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Due to the above, the Company performed an analysis to determine any impairment of goodwill as well as long-lived assets (see Note 9). For the goodwill analysis, the Company used income and market approaches to estimate the fair value of the reporting unit, which required significant judgment in evaluation of economic and industry trends, estimated future cash flows, discount rates and other factors, and compared that fair value to the carrying value, and determined that the fair value of the reporting unit was less than the carrying value. The Company recorded an impairment charge of $13.2 million, based on the difference between the fair value and the carrying value of the reporting unit, which resulted in an impairment of the entire amount of goodwill for the Products and Systems reporting unit.</w:t>
      </w:r>
    </w:p>
    <w:p>
      <w:pPr>
        <w:spacing w:after="0" w:line="18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The Company performed an impairment test of its remaining reporting units as of October 1, 2018 and concluded that there was no impairment. </w:t>
      </w:r>
      <w:r>
        <w:rPr>
          <w:rFonts w:ascii="Times New Roman" w:cs="Times New Roman" w:eastAsia="Times New Roman" w:hAnsi="Times New Roman"/>
          <w:sz w:val="19"/>
          <w:szCs w:val="19"/>
          <w:color w:val="auto"/>
        </w:rPr>
        <w:t>F</w:t>
      </w:r>
      <w:r>
        <w:rPr>
          <w:rFonts w:ascii="Times New Roman" w:cs="Times New Roman" w:eastAsia="Times New Roman" w:hAnsi="Times New Roman"/>
          <w:sz w:val="18"/>
          <w:szCs w:val="18"/>
          <w:color w:val="auto"/>
        </w:rPr>
        <w:t>or the year ended December 31, 2018, the Company reviewed goodwill for impairment on a reporting unit basis. As of December 31, 2018, the Company did not identify any changes in circumstances that would indicate the remaining carrying value of goodwill may not be recoverable.</w:t>
      </w:r>
    </w:p>
    <w:p>
      <w:pPr>
        <w:spacing w:after="0" w:line="16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Company's cumulative goodwill impairment as of December 31, 2018 and December 31, 2017 was $23.1 million, of which $13.2 million related to the Products and Systems segment and $9.9 million related to the International segment.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and accumulated amortization of intangible assets were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40" w:type="dxa"/>
            <w:vAlign w:val="bottom"/>
          </w:tcPr>
          <w:p>
            <w:pPr>
              <w:spacing w:after="0"/>
              <w:rPr>
                <w:sz w:val="12"/>
                <w:szCs w:val="12"/>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220" w:type="dxa"/>
            <w:vAlign w:val="bottom"/>
          </w:tcPr>
          <w:p>
            <w:pPr>
              <w:spacing w:after="0"/>
              <w:rPr>
                <w:sz w:val="12"/>
                <w:szCs w:val="12"/>
                <w:color w:val="auto"/>
              </w:rPr>
            </w:pPr>
          </w:p>
        </w:tc>
        <w:tc>
          <w:tcPr>
            <w:tcW w:w="10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40" w:type="dxa"/>
            <w:vAlign w:val="bottom"/>
          </w:tcPr>
          <w:p>
            <w:pPr>
              <w:spacing w:after="0"/>
              <w:rPr>
                <w:sz w:val="12"/>
                <w:szCs w:val="12"/>
                <w:color w:val="auto"/>
              </w:rPr>
            </w:pPr>
          </w:p>
        </w:tc>
        <w:tc>
          <w:tcPr>
            <w:tcW w:w="8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208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4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49"/>
        </w:trPr>
        <w:tc>
          <w:tcPr>
            <w:tcW w:w="2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8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112,624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51,631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113,299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55,022</w:t>
            </w: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Software/Technology</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67,240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53,921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19,523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24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2,979</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Covenants not to compete</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12,593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12,510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2,072</w:t>
            </w: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10,317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4,075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10,109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3,666</w:t>
            </w: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202,774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111,395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155,441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63,739</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Amortization expense for the years ended December 31, 2018 and 2017, the transition period ended December 31, 2016 and the year ended May 31, 2016 was approximately $10.2 million, $9.0 million, $5.2 million and $9.6 million, respectively, including amortization of software/technology for these periods of $1.4 million, $1.2 million, $0.5 million and $1.0 million, respectively.</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described in Note 8, in 2017 the Company performed an analysis to determine whether there was any impairment of long-lived assets for the Products and Systems reporting unit. The Company used income and market approaches to estimate the fair value of the long-lived assets, which requires significant judgment in evaluation of the useful lives of the assets, economic and industry trends, estimated future cash flows, discount rates, and other factors. The result of the analysis was an impairment of $2.4 million to software/technology, $0.2 million to customer relationships and less than $0.1 million to other intangibles, which are included in the impairment charges line on the consolidated statements of income for the year ended December 31, 2017.</w:t>
      </w:r>
    </w:p>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Amortization expense in each of the five years and thereafter subsequent to December 31, 2018 related to the Company’s intangible assets is expected to be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Expected</w:t>
            </w:r>
          </w:p>
        </w:tc>
      </w:tr>
      <w:tr>
        <w:trPr>
          <w:trHeight w:val="149"/>
        </w:trPr>
        <w:tc>
          <w:tcPr>
            <w:tcW w:w="9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95"/>
        </w:trPr>
        <w:tc>
          <w:tcPr>
            <w:tcW w:w="9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69"/>
        </w:trPr>
        <w:tc>
          <w:tcPr>
            <w:tcW w:w="9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13,735</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12,368</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11,292</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10,722</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9,946</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53,332</w:t>
            </w:r>
          </w:p>
        </w:tc>
      </w:tr>
      <w:tr>
        <w:trPr>
          <w:trHeight w:val="27"/>
        </w:trPr>
        <w:tc>
          <w:tcPr>
            <w:tcW w:w="9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111,395</w:t>
            </w:r>
          </w:p>
        </w:tc>
      </w:tr>
      <w:tr>
        <w:trPr>
          <w:trHeight w:val="20"/>
        </w:trPr>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4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salaries, wages and related employee benefits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29,959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27,185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3,430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workers' compensation and health benefits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5,086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5,181</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6,338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Legal settlement accrual</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Pension accrual</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5,585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accrued expenses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26,532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21,827</w:t>
            </w:r>
          </w:p>
        </w:tc>
        <w:tc>
          <w:tcPr>
            <w:tcW w:w="0" w:type="dxa"/>
            <w:vAlign w:val="bottom"/>
          </w:tcPr>
          <w:p>
            <w:pPr>
              <w:spacing w:after="0"/>
              <w:rPr>
                <w:sz w:val="1"/>
                <w:szCs w:val="1"/>
                <w:color w:val="auto"/>
              </w:rPr>
            </w:pPr>
          </w:p>
        </w:tc>
      </w:tr>
      <w:tr>
        <w:trPr>
          <w:trHeight w:val="25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73,895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65,561</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Long-Term Debt</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9"/>
        </w:trPr>
        <w:tc>
          <w:tcPr>
            <w:tcW w:w="8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4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credit facility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181,656</w:t>
            </w:r>
          </w:p>
        </w:tc>
        <w:tc>
          <w:tcPr>
            <w:tcW w:w="4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156,948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secured term loan, net of debt issuance costs of $0.1 million</w:t>
            </w:r>
          </w:p>
        </w:tc>
        <w:tc>
          <w:tcPr>
            <w:tcW w:w="3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99,897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9,702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290,620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166,878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portion</w:t>
            </w:r>
          </w:p>
        </w:tc>
        <w:tc>
          <w:tcPr>
            <w:tcW w:w="3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283,787</w:t>
            </w:r>
          </w:p>
        </w:tc>
        <w:tc>
          <w:tcPr>
            <w:tcW w:w="4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164,520</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Credit Facility</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December 13, 2018, the Company entered into a Fifth Amended and Restated Credit Agreement (“Credit Agreement”). The Credit Agreement increased the Company’s revolving line of credit from $250 million to $300 million and provides that under certain circumstances the line of credit can be increased to $450 million. In addition, the Credit Agreement provided the Company with a $100 million senior secured term loan A facility. Both the revolving line of credit and the term loan A facility under the Credit Agreement have a maturity date of December 12, 2023. The Company may continue to borrow up to $100 million in non-U.S. Dollar currencies and use up to $20 million of the credit limit for the issuance of letters of credit. At December 31, 2018, the Company had borrowings of $281.7 million and letters of credit of $5.4 million were outstanding under the Credit Agreement. The Company has capitalized costs of $1.1 million associated with debt modifications as of December 31, 2018, included in other long-term assets within the accompanying consolidated balance sheet.</w:t>
      </w:r>
    </w:p>
    <w:p>
      <w:pPr>
        <w:spacing w:after="0" w:line="18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Loans under the Credit Agreement bear interest at LIBOR plus an applicable LIBOR margin ranging from 1% to 2%, or a base rate less a margin of 1.25% to 0.375%, at the option of the Company, based upon the Company’s Funded Debt Leverage Ratio. Funded Debt Leverage Ratio is generally the ratio of (1) all outstanding indebtedness for borrowed money and other interest-bearing indebtedness as of the date of determination to (2) EBITDA (which is (a) net income, less (b) income (or plus loss) from discontinued operations and extraordinary items, plus (c) income tax expenses, plus (d) interest expense, plus</w:t>
      </w:r>
    </w:p>
    <w:p>
      <w:pPr>
        <w:spacing w:after="0" w:line="3" w:lineRule="exact"/>
        <w:rPr>
          <w:sz w:val="20"/>
          <w:szCs w:val="20"/>
          <w:color w:val="auto"/>
        </w:rPr>
      </w:pPr>
    </w:p>
    <w:p>
      <w:pPr>
        <w:ind w:right="20" w:firstLine="8"/>
        <w:spacing w:after="0" w:line="251" w:lineRule="auto"/>
        <w:tabs>
          <w:tab w:leader="none" w:pos="24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depletion, and amortization (including non-cash loss on retirement of assets), plus (f) stock compensation expense, less (g) cash expense related to stock compensation, plus (h) certain amounts of EBITDA of acquired business for the prior twelve months, plus (i) certain expenses related to the closing of the Credit Agreement, plus (j) non-cash expenses which do not (in the current or any future period) represent a cash item (excluding non-cash gains which increase net income), plus (k) non-recurring charges (not to exceed $10 million in the four consecutive quarters immediately preceding the date of determination) for items such as severance, lease termination charges, asset write-offs and litigation settlements paid, and multi-employer pension plan withdrawal liabilities, all determined for the period of four consecutive fiscal quarters immediately preceding the date of determination of EBITDA. The Company has the benefit of the lowest margin if its Funded Debt Leverage Ratio is equal to or less than 1.0 to 1, and the margin increases as the ratio increases, to the maximum margin if the ratio is greater than 3.25 to 1. The Company will also bear additional costs for market disruption, regulatory changes effecting the lenders’ funding costs, and default pricing of an additional 2% interest rate margin on any amounts not paid when due. Amounts borrowed under the Credit Agreement are secured by liens on substantially all of the assets of the Company and is guaranteed by some of our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Credit Agreement contains financial covenants requiring that the Company maintain a Funded Debt Leverage Ratio of no greater than 4.25 to 1 through December 31, 2018, reducing to a maximum permitted ratio of 3.50 to 1 as of March 31, 2020 and all quarterly periods thereafter, and a Fixed Charge Coverage Ratio of at least 1.25 to 1. Fixed Charge Coverage Ratio means the ratio, as of any date of determination, of (a) (i) EBITDA for the 12 month period immediately preceding the date of determination, taken together as one accounting period, less (ii) the aggregate amount of all capital expenditures made during the period, less (iii) taxes paid in cash during the period, less (iv) Restricted Payments (as defined in the Credit Agreement) paid in cash during the period, -to- (b) the sum of (i) all interest, premium payments, debt discount, fees, charges and related expenses of us and our subsidiaries in connection with borrowed money (including capitalized interest) or in connection with the deferred purchase price of assets, in each case, to the extent treated as interest in accordance with U.S. generally accepted accounting principles ("GAAP") and to the extent paid in cash during the period, (ii) the aggregate principal amount of all redemptions or similar acquisitions for value of outstanding debt for borrowed money or regularly scheduled principal payments made during the period, but excluding any such payments to the extent refinanced through the incurrence of additional Indebtedness otherwise expressly permitted under the Credit Agreement, and (iii) payments made during the period under all leases that have been or should be, in accordance with GAAP as in effect for the Company's 2017 audited financial statement, recorded as capitalized leases. Beginning in 2020, the Company can elect to increase the maximum Funded Debt Leverage Ratio to 4.0 to 1 for four fiscal quarters immediately following the fiscal quarter in which the Company acquires another business, with the maximum permitted ratio reducing back to 3.5 to 1 in the fifth fiscal quarter following such acquisition. The Company can make this election twice during the term of the Credit Agreement.</w:t>
      </w:r>
    </w:p>
    <w:p>
      <w:pPr>
        <w:spacing w:after="0" w:line="19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Credit Agreement also limits the Company’s ability to, among other things, create liens, make investments, incur more indebtedness, merge or consolidate, make dispositions of property, pay dividends and make distributions to stockholders or repurchase our stock, enter into a new line of business, enter into transactions with affiliates and enter into burdensome agreements. 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8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December 31, 2018, the Company was in compliance with the terms of the Credit Agreement, and has undertaken to continuously monitor compliance with these covenants.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and Other Debt</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certain of its acquisitions, the Company issued subordinated notes payable to the sellers. The maturity of the notes that remain outstanding are three years from the date of acquisition, expiring through 2019, and bear interest at the prime rate for the Bank of Canada, currently 3.95% as of December 31, 2018. Interest expense is recorded in the consolidated statements of income.</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other debt includes local bank financing provided at the local subsidiary levels used to support working capital requirements and fund capital expenditures. At December 31, 2018, there was approximately $9.0 million outstanding, payable at various times from 2019 to 2029. Monthly payments range from $1 thousand to $17 thousand. Interest rates range from 0.6% to 6.2%.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Scheduled principal payments due under all borrowing agreements in each of the five years and thereafter subsequent to December 31, 2018 are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6,831</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6,515</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8,750</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11,030</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255,043</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2,451</w:t>
            </w:r>
          </w:p>
        </w:tc>
      </w:tr>
      <w:tr>
        <w:trPr>
          <w:trHeight w:val="27"/>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290,620</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0" w:hanging="592"/>
        <w:spacing w:after="0"/>
        <w:tabs>
          <w:tab w:leader="none" w:pos="6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 The three levels of the hierarchy are defined as follows:</w:t>
      </w:r>
    </w:p>
    <w:p>
      <w:pPr>
        <w:spacing w:after="0" w:line="180"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that the Company has the ability to access at the measurement date.</w:t>
      </w:r>
    </w:p>
    <w:p>
      <w:pPr>
        <w:spacing w:after="0" w:line="16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quoted prices included in Level 1, including quoted prices for similar assets or liabilities in active markets, quoted prices for identical assets or liabilities in inactive markets, inputs other than quoted prices that are observable for the asset or liability and inputs derived principally from or corroborated by observable market data.</w:t>
      </w:r>
    </w:p>
    <w:p>
      <w:pPr>
        <w:spacing w:after="0" w:line="17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Level 3 — Unobservable inputs reflecting the Company’s own assumptions about inputs that market participants would use in pricing the asset or liability based on the best information available.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measured at fair value on a recurring basis</w:t>
      </w:r>
    </w:p>
    <w:p>
      <w:pPr>
        <w:spacing w:after="0" w:line="3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fair value of contingent consideration liabilities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changes in the fair value of Level 3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240665</wp:posOffset>
            </wp:positionV>
            <wp:extent cx="14490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9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9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3,094</w:t>
            </w:r>
          </w:p>
        </w:tc>
      </w:tr>
      <w:tr>
        <w:trPr>
          <w:trHeight w:val="237"/>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Acquisitions</w:t>
            </w:r>
          </w:p>
        </w:tc>
        <w:tc>
          <w:tcPr>
            <w:tcW w:w="9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3,407</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9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7"/>
        </w:trPr>
        <w:tc>
          <w:tcPr>
            <w:tcW w:w="9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Accretion of liability</w:t>
            </w:r>
          </w:p>
        </w:tc>
        <w:tc>
          <w:tcPr>
            <w:tcW w:w="9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Revaluation</w:t>
            </w:r>
          </w:p>
        </w:tc>
        <w:tc>
          <w:tcPr>
            <w:tcW w:w="9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7"/>
        </w:trPr>
        <w:tc>
          <w:tcPr>
            <w:tcW w:w="9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r>
        <w:trPr>
          <w:trHeight w:val="297"/>
        </w:trPr>
        <w:tc>
          <w:tcPr>
            <w:tcW w:w="9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5,508</w:t>
            </w:r>
          </w:p>
        </w:tc>
      </w:tr>
      <w:tr>
        <w:trPr>
          <w:trHeight w:val="237"/>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Acquisitions</w:t>
            </w:r>
          </w:p>
        </w:tc>
        <w:tc>
          <w:tcPr>
            <w:tcW w:w="9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9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w:t>
            </w:r>
          </w:p>
        </w:tc>
      </w:tr>
      <w:tr>
        <w:trPr>
          <w:trHeight w:val="27"/>
        </w:trPr>
        <w:tc>
          <w:tcPr>
            <w:tcW w:w="9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Accretion of liability</w:t>
            </w:r>
          </w:p>
        </w:tc>
        <w:tc>
          <w:tcPr>
            <w:tcW w:w="9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Revaluation</w:t>
            </w:r>
          </w:p>
        </w:tc>
        <w:tc>
          <w:tcPr>
            <w:tcW w:w="9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7"/>
        </w:trPr>
        <w:tc>
          <w:tcPr>
            <w:tcW w:w="9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57"/>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2,365</w:t>
            </w:r>
          </w:p>
        </w:tc>
      </w:tr>
      <w:tr>
        <w:trPr>
          <w:trHeight w:val="20"/>
        </w:trPr>
        <w:tc>
          <w:tcPr>
            <w:tcW w:w="9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measured at fair value on a recurring basis</w:t>
      </w:r>
    </w:p>
    <w:p>
      <w:pPr>
        <w:spacing w:after="0" w:line="31" w:lineRule="exact"/>
        <w:rPr>
          <w:sz w:val="20"/>
          <w:szCs w:val="20"/>
          <w:color w:val="auto"/>
        </w:rPr>
      </w:pPr>
    </w:p>
    <w:p>
      <w:pPr>
        <w:jc w:val="both"/>
        <w:ind w:right="820"/>
        <w:spacing w:after="0" w:line="255" w:lineRule="auto"/>
        <w:rPr>
          <w:sz w:val="20"/>
          <w:szCs w:val="20"/>
          <w:color w:val="auto"/>
        </w:rPr>
      </w:pPr>
      <w:r>
        <w:rPr>
          <w:rFonts w:ascii="Times New Roman" w:cs="Times New Roman" w:eastAsia="Times New Roman" w:hAnsi="Times New Roman"/>
          <w:sz w:val="18"/>
          <w:szCs w:val="18"/>
          <w:color w:val="auto"/>
        </w:rPr>
        <w:t>The Company has evaluated current market conditions and borrower credit quality and has determined that the carrying value of its long-term debt approximates fair value. The fair value of the Company’s notes payable and capital lease obligations approximates their carrying amounts based on anticipated interest rates which management believes would currently be available to the Company for similar issuances of debt.</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Share-Based Compensation</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has share-based incentive awards outstanding to its eligible employees and Directors under three employee stock ownership plans: (i) the 2007 Stock Option Plan (the 2007 Plan), (ii) the 2009 Long-Term Incentive Plan (the 2009 Plan) and (iii) the 2016 Long-Term Incentive Plan. No further awards may be granted under either the 2007 Plan or the 2009 Plan, although awards granted under the 2007 Plan and 2009 Plan remain outstanding in accordance with their terms. Awards granted under the 2016 Plan may be in the form of stock options, restricted stock units and other forms of share-based incentives, including performance restricted stock units, stock appreciation rights and deferred stock rights. The 2016 Plan allows for the grant of awards of up to approximately 1,700,000 shares of common stock, of which 1,143,000 shares were available for future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grants as of December 31, 2018. As of December 31, 2018, there was an aggregate of approximately 2,105,000 stock options outstanding and approximately 452,000 unvested restricted stock units outstanding under the 2009 Plan and the 2007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2018 and 2017 and the transition period ended December 31, 2016, the Company did not have any share-based compensation expense related to stock option awards. For the year ended May 31, 2016, the Company recognized share-based compensation expense related to stock option awards of less than $0.1 million. No stock options were granted during the years ended December 31, 2018 and 2017, the transition period ended December 31, 2016 or the year ended May 31, 2016. As of December 31, 2018, no unrecognized compensation costs remained related to stock option awards. Cash proceeds from, and the intrinsic value of, stock options exercised during the years ended December 31, 2018 and 2017, the transition period ended December 31, 2016 and the year ended May 31, 2016 were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Transition</w:t>
            </w: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2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Period ended</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820" w:type="dxa"/>
            <w:vAlign w:val="bottom"/>
          </w:tcPr>
          <w:p>
            <w:pPr>
              <w:spacing w:after="0"/>
              <w:rPr>
                <w:sz w:val="16"/>
                <w:szCs w:val="16"/>
                <w:color w:val="auto"/>
              </w:rPr>
            </w:pPr>
          </w:p>
        </w:tc>
        <w:tc>
          <w:tcPr>
            <w:tcW w:w="2480" w:type="dxa"/>
            <w:vAlign w:val="bottom"/>
            <w:gridSpan w:val="3"/>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6"/>
                <w:szCs w:val="16"/>
                <w:color w:val="auto"/>
              </w:rPr>
            </w:pPr>
          </w:p>
        </w:tc>
        <w:tc>
          <w:tcPr>
            <w:tcW w:w="100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proceeds from options exercised</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w:t>
            </w:r>
          </w:p>
        </w:tc>
        <w:tc>
          <w:tcPr>
            <w:tcW w:w="10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Aggregate intrinsic value of options exercised</w:t>
            </w:r>
          </w:p>
        </w:tc>
        <w:tc>
          <w:tcPr>
            <w:tcW w:w="9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w:t>
            </w:r>
          </w:p>
        </w:tc>
        <w:tc>
          <w:tcPr>
            <w:tcW w:w="10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580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 summary of the stock option activity, weighted average exercise prices, and options outstanding and exercisable as of December 31, 2018 and 2017, the transition period ended December 31, 2016 and the year ended May 31, 2016 is as follows (in thousands, except per share amounts):</w:t>
      </w:r>
    </w:p>
    <w:p>
      <w:pPr>
        <w:sectPr>
          <w:pgSz w:w="11900" w:h="16838" w:orient="portrait"/>
          <w:cols w:equalWidth="0" w:num="1">
            <w:col w:w="11420"/>
          </w:cols>
          <w:pgMar w:left="240" w:top="121" w:right="239" w:bottom="1440" w:gutter="0" w:footer="0" w:header="0"/>
        </w:sectPr>
      </w:pPr>
    </w:p>
    <w:p>
      <w:pPr>
        <w:spacing w:after="0" w:line="25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24765</wp:posOffset>
            </wp:positionV>
            <wp:extent cx="28555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103" w:lineRule="exact"/>
        <w:rPr>
          <w:sz w:val="20"/>
          <w:szCs w:val="20"/>
          <w:color w:val="auto"/>
        </w:rPr>
      </w:pPr>
    </w:p>
    <w:tbl>
      <w:tblPr>
        <w:tblLayout w:type="fixed"/>
        <w:tblInd w:w="2300" w:type="dxa"/>
        <w:tblCellMar>
          <w:top w:w="0" w:type="dxa"/>
          <w:left w:w="0" w:type="dxa"/>
          <w:bottom w:w="0" w:type="dxa"/>
          <w:right w:w="0" w:type="dxa"/>
        </w:tblCellMar>
      </w:tblPr>
      <w:tr>
        <w:trPr>
          <w:trHeight w:val="195"/>
        </w:trPr>
        <w:tc>
          <w:tcPr>
            <w:tcW w:w="2360" w:type="dxa"/>
            <w:vAlign w:val="bottom"/>
            <w:tcBorders>
              <w:bottom w:val="single" w:sz="8" w:color="auto"/>
            </w:tcBorders>
            <w:gridSpan w:val="2"/>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8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2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6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8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11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28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1140" w:type="dxa"/>
            <w:vAlign w:val="bottom"/>
            <w:vMerge w:val="continue"/>
          </w:tcPr>
          <w:p>
            <w:pPr>
              <w:spacing w:after="0"/>
              <w:rPr>
                <w:sz w:val="12"/>
                <w:szCs w:val="12"/>
                <w:color w:val="auto"/>
              </w:rPr>
            </w:pPr>
          </w:p>
        </w:tc>
        <w:tc>
          <w:tcPr>
            <w:tcW w:w="12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6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8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0"/>
        </w:trPr>
        <w:tc>
          <w:tcPr>
            <w:tcW w:w="11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6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8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Transition Period ended</w:t>
            </w:r>
          </w:p>
        </w:tc>
        <w:tc>
          <w:tcPr>
            <w:tcW w:w="2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May 31,</w:t>
            </w:r>
          </w:p>
        </w:tc>
        <w:tc>
          <w:tcPr>
            <w:tcW w:w="0" w:type="dxa"/>
            <w:vAlign w:val="bottom"/>
          </w:tcPr>
          <w:p>
            <w:pPr>
              <w:spacing w:after="0"/>
              <w:rPr>
                <w:sz w:val="1"/>
                <w:szCs w:val="1"/>
                <w:color w:val="auto"/>
              </w:rPr>
            </w:pPr>
          </w:p>
        </w:tc>
      </w:tr>
      <w:tr>
        <w:trPr>
          <w:trHeight w:val="195"/>
        </w:trPr>
        <w:tc>
          <w:tcPr>
            <w:tcW w:w="22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8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center"/>
              <w:ind w:right="768"/>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49"/>
        </w:trPr>
        <w:tc>
          <w:tcPr>
            <w:tcW w:w="88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380" w:type="dxa"/>
            <w:vAlign w:val="bottom"/>
            <w:gridSpan w:val="2"/>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36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1380" w:type="dxa"/>
            <w:vAlign w:val="bottom"/>
            <w:gridSpan w:val="2"/>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vMerge w:val="continue"/>
          </w:tcPr>
          <w:p>
            <w:pPr>
              <w:spacing w:after="0"/>
              <w:rPr>
                <w:sz w:val="12"/>
                <w:szCs w:val="12"/>
                <w:color w:val="auto"/>
              </w:rPr>
            </w:pPr>
          </w:p>
        </w:tc>
        <w:tc>
          <w:tcPr>
            <w:tcW w:w="136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88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3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36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0"/>
        </w:trPr>
        <w:tc>
          <w:tcPr>
            <w:tcW w:w="8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3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0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36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800" w:space="100"/>
            <w:col w:w="452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23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beginning of</w:t>
            </w:r>
          </w:p>
        </w:tc>
        <w:tc>
          <w:tcPr>
            <w:tcW w:w="1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2,130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2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2,167</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2,232</w:t>
            </w: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10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13.13</w:t>
            </w:r>
          </w:p>
        </w:tc>
        <w:tc>
          <w:tcPr>
            <w:tcW w:w="0" w:type="dxa"/>
            <w:vAlign w:val="bottom"/>
          </w:tcPr>
          <w:p>
            <w:pPr>
              <w:spacing w:after="0"/>
              <w:rPr>
                <w:sz w:val="1"/>
                <w:szCs w:val="1"/>
                <w:color w:val="auto"/>
              </w:rPr>
            </w:pPr>
          </w:p>
        </w:tc>
      </w:tr>
      <w:tr>
        <w:trPr>
          <w:trHeight w:val="243"/>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20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43"/>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 or forfeited</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2,105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2,130</w:t>
            </w:r>
          </w:p>
        </w:tc>
        <w:tc>
          <w:tcPr>
            <w:tcW w:w="40" w:type="dxa"/>
            <w:vAlign w:val="bottom"/>
            <w:tcBorders>
              <w:bottom w:val="single" w:sz="8" w:color="auto"/>
            </w:tcBorders>
            <w:gridSpan w:val="2"/>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2,167</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80" w:type="dxa"/>
            <w:vAlign w:val="bottom"/>
            <w:tcBorders>
              <w:bottom w:val="single" w:sz="8" w:color="CCEEFF"/>
            </w:tcBorders>
            <w:gridSpan w:val="2"/>
            <w:shd w:val="clear" w:color="auto" w:fill="CCEEFF"/>
          </w:tcPr>
          <w:p>
            <w:pPr>
              <w:spacing w:after="0"/>
              <w:rPr>
                <w:sz w:val="22"/>
                <w:szCs w:val="22"/>
                <w:color w:val="auto"/>
              </w:rPr>
            </w:pPr>
          </w:p>
        </w:tc>
        <w:tc>
          <w:tcPr>
            <w:tcW w:w="9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2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1"/>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year ended December 31, 2018</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7"/>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4"/>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2"/>
                <w:szCs w:val="12"/>
                <w:color w:val="auto"/>
              </w:rPr>
            </w:pPr>
          </w:p>
        </w:tc>
        <w:tc>
          <w:tcPr>
            <w:tcW w:w="1200" w:type="dxa"/>
            <w:vAlign w:val="bottom"/>
            <w:gridSpan w:val="4"/>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297"/>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4"/>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200" w:type="dxa"/>
            <w:vAlign w:val="bottom"/>
            <w:gridSpan w:val="4"/>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2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3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4"/>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200" w:type="dxa"/>
            <w:vAlign w:val="bottom"/>
            <w:gridSpan w:val="4"/>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27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5"/>
        </w:trPr>
        <w:tc>
          <w:tcPr>
            <w:tcW w:w="230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60" w:type="dxa"/>
            <w:vAlign w:val="bottom"/>
          </w:tcPr>
          <w:p>
            <w:pPr>
              <w:spacing w:after="0"/>
              <w:rPr>
                <w:sz w:val="16"/>
                <w:szCs w:val="16"/>
                <w:color w:val="auto"/>
              </w:rPr>
            </w:pPr>
          </w:p>
        </w:tc>
        <w:tc>
          <w:tcPr>
            <w:tcW w:w="680" w:type="dxa"/>
            <w:vAlign w:val="bottom"/>
            <w:gridSpan w:val="2"/>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49"/>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$10.00-$10.00</w:t>
            </w: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$13.46-$22.35</w:t>
            </w: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2,095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3"/>
              </w:rPr>
              <w:t>13.48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2,095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2,105</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2,105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Aggregate Intrinsic Value</w:t>
            </w: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1,965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1,965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2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w w:val="88"/>
              </w:rPr>
              <w:t>73</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type w:val="continuous"/>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Restricted Stock Units generally vest ratably on each of the first four anniversary dates of issuance. The Company recognized approximately $4.2 million and $4.5 million of share-based compensation for the years ended December 31, 2018 and 2017, $2.6 million of share-based compensation for the transition period ended December 31, 2016 and $4.4 million of share-based compensation in fiscal 2016 related to restricted stock unit awards. As of December 31, 2018, there were approximately $6.8 million of unrecognized compensation costs, net of estimated forfeitures, related to restricted stock unit awards, which are expected to be recognized over a remaining weighted average period of 2.4 years.</w:t>
      </w:r>
    </w:p>
    <w:p>
      <w:pPr>
        <w:spacing w:after="0" w:line="18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 summary of the vesting activity of restricted stock unit awards, with the respective fair value of the awards, is as follows: (awards in thousands, fair value in millions):</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Transition</w:t>
            </w: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2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Period ended</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780" w:type="dxa"/>
            <w:vAlign w:val="bottom"/>
          </w:tcPr>
          <w:p>
            <w:pPr>
              <w:spacing w:after="0"/>
              <w:rPr>
                <w:sz w:val="16"/>
                <w:szCs w:val="16"/>
                <w:color w:val="auto"/>
              </w:rPr>
            </w:pPr>
          </w:p>
        </w:tc>
        <w:tc>
          <w:tcPr>
            <w:tcW w:w="2480" w:type="dxa"/>
            <w:vAlign w:val="bottom"/>
            <w:gridSpan w:val="3"/>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6"/>
                <w:szCs w:val="16"/>
                <w:color w:val="auto"/>
              </w:rPr>
            </w:pPr>
          </w:p>
        </w:tc>
        <w:tc>
          <w:tcPr>
            <w:tcW w:w="100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0" w:type="dxa"/>
            <w:vAlign w:val="bottom"/>
          </w:tcPr>
          <w:p>
            <w:pPr>
              <w:spacing w:after="0"/>
              <w:rPr>
                <w:sz w:val="1"/>
                <w:szCs w:val="1"/>
                <w:color w:val="auto"/>
              </w:rPr>
            </w:pPr>
          </w:p>
        </w:tc>
      </w:tr>
      <w:tr>
        <w:trPr>
          <w:trHeight w:val="264"/>
        </w:trPr>
        <w:tc>
          <w:tcPr>
            <w:tcW w:w="578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 vested</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258</w:t>
            </w: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awards vested</w:t>
            </w:r>
          </w:p>
        </w:tc>
        <w:tc>
          <w:tcPr>
            <w:tcW w:w="940" w:type="dxa"/>
            <w:vAlign w:val="bottom"/>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0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vesting, restricted stock units are generally net share-settled to cover the required minimum withholding tax and the remaining amount is converted into an equivalent number of shares of common stock.</w:t>
      </w:r>
    </w:p>
    <w:p>
      <w:pPr>
        <w:spacing w:after="0" w:line="162"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A summary of the fully-vested common stock the Company issued to its five non-employee directors, in connection with its non-employee director compensation plan, is as follows: (awards in thousands, fair value in millions)</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Transition</w:t>
            </w: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25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Period ended</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780" w:type="dxa"/>
            <w:vAlign w:val="bottom"/>
          </w:tcPr>
          <w:p>
            <w:pPr>
              <w:spacing w:after="0"/>
              <w:rPr>
                <w:sz w:val="16"/>
                <w:szCs w:val="16"/>
                <w:color w:val="auto"/>
              </w:rPr>
            </w:pPr>
          </w:p>
        </w:tc>
        <w:tc>
          <w:tcPr>
            <w:tcW w:w="2500" w:type="dxa"/>
            <w:vAlign w:val="bottom"/>
            <w:gridSpan w:val="4"/>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6"/>
                <w:szCs w:val="16"/>
                <w:color w:val="auto"/>
              </w:rPr>
            </w:pPr>
          </w:p>
        </w:tc>
        <w:tc>
          <w:tcPr>
            <w:tcW w:w="100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0" w:type="dxa"/>
            <w:vAlign w:val="bottom"/>
          </w:tcPr>
          <w:p>
            <w:pPr>
              <w:spacing w:after="0"/>
              <w:rPr>
                <w:sz w:val="1"/>
                <w:szCs w:val="1"/>
                <w:color w:val="auto"/>
              </w:rPr>
            </w:pPr>
          </w:p>
        </w:tc>
      </w:tr>
      <w:tr>
        <w:trPr>
          <w:trHeight w:val="264"/>
        </w:trPr>
        <w:tc>
          <w:tcPr>
            <w:tcW w:w="5780" w:type="dxa"/>
            <w:vAlign w:val="bottom"/>
            <w:tcBorders>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issued</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date fair value of awards issued</w:t>
            </w:r>
          </w:p>
        </w:tc>
        <w:tc>
          <w:tcPr>
            <w:tcW w:w="960" w:type="dxa"/>
            <w:vAlign w:val="bottom"/>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00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outstanding, non-vested restricted share units is presented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34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transition period ended</w:t>
            </w:r>
          </w:p>
        </w:tc>
        <w:tc>
          <w:tcPr>
            <w:tcW w:w="2260" w:type="dxa"/>
            <w:vAlign w:val="bottom"/>
            <w:gridSpan w:val="4"/>
            <w:vMerge w:val="restart"/>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For the year ended May 31,</w:t>
            </w:r>
          </w:p>
        </w:tc>
        <w:tc>
          <w:tcPr>
            <w:tcW w:w="0" w:type="dxa"/>
            <w:vAlign w:val="bottom"/>
          </w:tcPr>
          <w:p>
            <w:pPr>
              <w:spacing w:after="0"/>
              <w:rPr>
                <w:sz w:val="1"/>
                <w:szCs w:val="1"/>
                <w:color w:val="auto"/>
              </w:rPr>
            </w:pPr>
          </w:p>
        </w:tc>
      </w:tr>
      <w:tr>
        <w:trPr>
          <w:trHeight w:val="195"/>
        </w:trPr>
        <w:tc>
          <w:tcPr>
            <w:tcW w:w="2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40" w:type="dxa"/>
            <w:vAlign w:val="bottom"/>
            <w:gridSpan w:val="5"/>
            <w:vMerge w:val="continue"/>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40" w:type="dxa"/>
            <w:vAlign w:val="bottom"/>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8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gridSpan w:val="3"/>
          </w:tcPr>
          <w:p>
            <w:pPr>
              <w:jc w:val="right"/>
              <w:ind w:right="778"/>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2016</w:t>
            </w:r>
          </w:p>
        </w:tc>
        <w:tc>
          <w:tcPr>
            <w:tcW w:w="8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9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4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88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88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 w:type="dxa"/>
            <w:vAlign w:val="bottom"/>
          </w:tcPr>
          <w:p>
            <w:pPr>
              <w:spacing w:after="0"/>
              <w:rPr>
                <w:sz w:val="12"/>
                <w:szCs w:val="12"/>
                <w:color w:val="auto"/>
              </w:rPr>
            </w:pPr>
          </w:p>
        </w:tc>
        <w:tc>
          <w:tcPr>
            <w:tcW w:w="12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9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5"/>
        </w:trPr>
        <w:tc>
          <w:tcPr>
            <w:tcW w:w="274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55"/>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3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21.05</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20.81</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20.47</w:t>
            </w:r>
          </w:p>
        </w:tc>
        <w:tc>
          <w:tcPr>
            <w:tcW w:w="0" w:type="dxa"/>
            <w:vAlign w:val="bottom"/>
          </w:tcPr>
          <w:p>
            <w:pPr>
              <w:spacing w:after="0"/>
              <w:rPr>
                <w:sz w:val="1"/>
                <w:szCs w:val="1"/>
                <w:color w:val="auto"/>
              </w:rPr>
            </w:pPr>
          </w:p>
        </w:tc>
      </w:tr>
      <w:tr>
        <w:trPr>
          <w:trHeight w:val="243"/>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19.20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21.26</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24.48</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Released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3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20.48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20.49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20.40</w:t>
            </w:r>
          </w:p>
        </w:tc>
        <w:tc>
          <w:tcPr>
            <w:tcW w:w="0" w:type="dxa"/>
            <w:vAlign w:val="bottom"/>
          </w:tcPr>
          <w:p>
            <w:pPr>
              <w:spacing w:after="0"/>
              <w:rPr>
                <w:sz w:val="1"/>
                <w:szCs w:val="1"/>
                <w:color w:val="auto"/>
              </w:rPr>
            </w:pPr>
          </w:p>
        </w:tc>
      </w:tr>
      <w:tr>
        <w:trPr>
          <w:trHeight w:val="243"/>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20.52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21.45</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19.55</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19.26</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20.55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21.05</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18.85</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Restricted Stock Units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maintains Performance Restricted Stock Units (PRSUs) that have been granted to select executives and senior officers whose ultimate payout is based on the Company’s performance over a one-year period based on three metrics, as defined: (1) Operating Income, (2) Adjusted EBITDAS and (3) Revenue. There is a discretionary portion of the PRSUs based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21" w:right="2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individual performance, at the discretion of the Compensation Committee (Discretionary PRSUs). PRSUs and Discretionary PRSUs generally vest ratably on each of the first four anniversary dates upon completion of the performance period, for a total requisite service period of up to five years and have no dividend rights.</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PRSUs are equity-classified and compensation costs are initially measured using the fair value of the underlying stock at the date of grant, assuming that the target performance conditions will be achieved. Cumulative compensation costs related to the PRSUs are subsequently adjusted for changes in the expected outcomes of the performance conditions.</w:t>
      </w:r>
    </w:p>
    <w:p>
      <w:pPr>
        <w:spacing w:after="0" w:line="17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Discretionary PRSUs are liability-classified and adjusted to fair value (with a corresponding adjustment to compensation expense) based upon the targeted number of shares to be awarded and the fair value of the underlying stock each reporting period until approved by the Compensation Committee, at which point they are classified as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PRSU activity is presented below:</w:t>
      </w:r>
    </w:p>
    <w:p>
      <w:pPr>
        <w:spacing w:after="0" w:line="368"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6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4"/>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For the transition period</w:t>
            </w:r>
          </w:p>
        </w:tc>
        <w:tc>
          <w:tcPr>
            <w:tcW w:w="0" w:type="dxa"/>
            <w:vAlign w:val="bottom"/>
          </w:tcPr>
          <w:p>
            <w:pPr>
              <w:spacing w:after="0"/>
              <w:rPr>
                <w:sz w:val="1"/>
                <w:szCs w:val="1"/>
                <w:color w:val="auto"/>
              </w:rPr>
            </w:pPr>
          </w:p>
        </w:tc>
      </w:tr>
      <w:tr>
        <w:trPr>
          <w:trHeight w:val="195"/>
        </w:trPr>
        <w:tc>
          <w:tcPr>
            <w:tcW w:w="27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7"/>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Borders>
              <w:bottom w:val="single" w:sz="8" w:color="auto"/>
            </w:tcBorders>
            <w:gridSpan w:val="4"/>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0" w:type="dxa"/>
            <w:vAlign w:val="bottom"/>
          </w:tcPr>
          <w:p>
            <w:pPr>
              <w:spacing w:after="0"/>
              <w:rPr>
                <w:sz w:val="1"/>
                <w:szCs w:val="1"/>
                <w:color w:val="auto"/>
              </w:rPr>
            </w:pPr>
          </w:p>
        </w:tc>
      </w:tr>
      <w:tr>
        <w:trPr>
          <w:trHeight w:val="264"/>
        </w:trPr>
        <w:tc>
          <w:tcPr>
            <w:tcW w:w="2720" w:type="dxa"/>
            <w:vAlign w:val="bottom"/>
          </w:tcPr>
          <w:p>
            <w:pPr>
              <w:spacing w:after="0"/>
              <w:rPr>
                <w:sz w:val="22"/>
                <w:szCs w:val="22"/>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8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88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vMerge w:val="restart"/>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86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5"/>
        </w:trPr>
        <w:tc>
          <w:tcPr>
            <w:tcW w:w="27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9"/>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328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0" w:type="dxa"/>
            <w:vAlign w:val="bottom"/>
          </w:tcPr>
          <w:p>
            <w:pPr>
              <w:spacing w:after="0"/>
              <w:rPr>
                <w:sz w:val="1"/>
                <w:szCs w:val="1"/>
                <w:color w:val="auto"/>
              </w:rPr>
            </w:pPr>
          </w:p>
        </w:tc>
      </w:tr>
      <w:tr>
        <w:trPr>
          <w:trHeight w:val="243"/>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Performance condition</w:t>
            </w: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net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0" w:type="dxa"/>
            <w:vAlign w:val="bottom"/>
          </w:tcPr>
          <w:p>
            <w:pPr>
              <w:spacing w:after="0"/>
              <w:rPr>
                <w:sz w:val="1"/>
                <w:szCs w:val="1"/>
                <w:color w:val="auto"/>
              </w:rPr>
            </w:pPr>
          </w:p>
        </w:tc>
      </w:tr>
      <w:tr>
        <w:trPr>
          <w:trHeight w:val="243"/>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Released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 w:type="dxa"/>
            <w:vAlign w:val="bottom"/>
            <w:tcBorders>
              <w:top w:val="single" w:sz="8" w:color="auto"/>
            </w:tcBorders>
          </w:tcPr>
          <w:p>
            <w:pPr>
              <w:spacing w:after="0"/>
              <w:rPr>
                <w:sz w:val="22"/>
                <w:szCs w:val="22"/>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Pr>
          <w:p>
            <w:pPr>
              <w:spacing w:after="0"/>
              <w:rPr>
                <w:sz w:val="22"/>
                <w:szCs w:val="22"/>
                <w:color w:val="auto"/>
              </w:rPr>
            </w:pPr>
          </w:p>
        </w:tc>
        <w:tc>
          <w:tcPr>
            <w:tcW w:w="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22"/>
                <w:szCs w:val="22"/>
                <w:color w:val="auto"/>
              </w:rPr>
            </w:pPr>
          </w:p>
        </w:tc>
        <w:tc>
          <w:tcPr>
            <w:tcW w:w="8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fiscal 2014, the Company granted one-year, two-year and three-year PRSUs to its executive and certain other senior officers. These units had requisite service periods of three years and have no dividend rights. The actual payout of these units, before the fiscal 2016 modification as described below, was based on the Company’s performance over one, two and three-year periods (based on pre-established targets) and a market condition modifier based on total shareholder return (TSR) compared to an industry peer group. The one-year and two-year performance conditions of the fiscal 2014 awards were evaluated before modification of the awards and not achieved. The one-year and two-year market conditions of the fiscal 2014 awards were evaluated before modification of the awards and achieved. Compensation costs related to the TSR conditions for the one-year and two-year 2014 awards described above were fixed at the measurement date, and not subsequently adjusted. The one-year and two-year awards related to market conditions were paid at 170% and 105%, respectively, of target, upon vesting during the transition period ended December 31, 2016. The three-year performance and market condition awards were surrendered as part of the fiscal 2016 modification described below.</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fiscal 2015, the Company granted PRSUs to its executive and certain other senior officers. These units have requisite service periods of three years and have no dividend rights. The actual payout of these units, before the fiscal 2016 modification as described below, was based on the Company’s performance over the three-year period (based on pre-established targets) and a market condition modifier based on (TSR) compared to an industry peer group. The 2015 awards were surrendered as part of the fiscal 2016 modification described below.</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the first quarter of fiscal 2016, the Company modified its equity compensation program and granted 154,000 PRSUs to its executive and certain other senior officers. As a condition for receiving any awards under the revised fiscal 2016 plan, the executive and senior officers surrendered and released all rights to receive any shares under the three-year 2014 awards and three-year 2015 awards with a performance or market condition. The Company has accounted for the fiscal 2016 awards as modifications in accordance with ASC 718, Compensation - Stock Compensation. These units have requisite service periods of five years and have no dividend rights.</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00"/>
          </w:cols>
          <w:pgMar w:left="240" w:top="121" w:right="25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fiscal 2016 PRSUs increased by approximately 104,000 units to a total of 258,000 units, which represents Company performance above target as well as individual performance, and was approved by the Compensation Committee in August 2016.</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transition period ended December 31, 2016, 105,000 PRSUs were granted. There was a 73,000 unit reduction to these awards, which represents Company performance below target, during the transition period ended December 31, 2016. As of December 31, 2016, the aggregate liability related to 12,000 outstanding Discretionary PRSUs was less than $0.1 million and is classified within accrued expenses and other liabilities on the consolidated balance sheet. The Compensation Committee approved these PRSUs in the first quarter of 2017, which reduced them by 3,000 units. The discretionary portion of these awards were reclassed from a liability to equity on the consolidated balance sheet upon Compensation Committee approval.</w:t>
      </w:r>
    </w:p>
    <w:p>
      <w:pPr>
        <w:spacing w:after="0" w:line="1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2017, 128,000 PRSUs were granted. There was a 65,000 unit reduction to these awards, which represents Company performance below target, during the year ended December 31, 2017. As of December 31, 2017, the aggregate liability related to 13,000 outstanding Discretionary PRSUs was less than $0.1 million and is classified within accrued expenses and other liabilities on the consolidated balance sheet. The Compensation Committee approved these PRSUs in the first quarter of 2018, which increased them by 4,000 units. The discretionary portion of these awards were reclassed from a liability to equity on the consolidated balance sheet upon Compensation Committee approval.</w:t>
      </w:r>
    </w:p>
    <w:p>
      <w:pPr>
        <w:spacing w:after="0" w:line="184"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2018, 129,000 PRSUs were granted. There was a 54,000 unit reduction to these awards, which represents Company performance below target, during the year ended December 31, 2018. As of December 31, 2018, the aggregate liability related to 22,000 outstanding discretionary PRSUs was less than $0.1 million and is classified within accrued expenses and other liabilities on the consolidated balance sheet.</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Compensation expense related to all PRSUs described above was $1.5 million, $1.7 million, $1.7 million and $1.6 million for the years ended December 31, 2018 and 2017, the transition period ended December 31, 2016 and the year ended May 31, 2016, respectively. At December 31, 2018, there was $1.8 million of total unrecognized compensation costs related to approximately 309,000 nonvested performance restricted stock units. These costs are expected to be recognized over a weighted-average period of approximately 1.9 years.</w:t>
      </w:r>
    </w:p>
    <w:p>
      <w:pPr>
        <w:spacing w:after="0" w:line="9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2018 and 2017, the transition period ended December 31, 2016 and the year ended May 31, 2016, the income tax benefit recognized on all share based compensation arrangements referenced above was approximately $1.0 million, $2.2 million, $1.6 million and $2.2 million, respectively.</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provision for income taxes is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Transition</w:t>
            </w:r>
          </w:p>
        </w:tc>
        <w:tc>
          <w:tcPr>
            <w:tcW w:w="120" w:type="dxa"/>
            <w:vAlign w:val="bottom"/>
          </w:tcPr>
          <w:p>
            <w:pPr>
              <w:spacing w:after="0"/>
              <w:rPr>
                <w:sz w:val="12"/>
                <w:szCs w:val="12"/>
                <w:color w:val="auto"/>
              </w:rPr>
            </w:pPr>
          </w:p>
        </w:tc>
        <w:tc>
          <w:tcPr>
            <w:tcW w:w="92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8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Period ended</w:t>
            </w: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80" w:type="dxa"/>
            <w:vAlign w:val="bottom"/>
            <w:gridSpan w:val="5"/>
            <w:vMerge w:val="continue"/>
          </w:tcPr>
          <w:p>
            <w:pPr>
              <w:spacing w:after="0"/>
              <w:rPr>
                <w:sz w:val="16"/>
                <w:szCs w:val="16"/>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ended May 31,</w:t>
            </w: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0" w:type="dxa"/>
            <w:vAlign w:val="bottom"/>
          </w:tcPr>
          <w:p>
            <w:pPr>
              <w:spacing w:after="0"/>
              <w:rPr>
                <w:sz w:val="1"/>
                <w:szCs w:val="1"/>
                <w:color w:val="auto"/>
              </w:rPr>
            </w:pPr>
          </w:p>
        </w:tc>
      </w:tr>
      <w:tr>
        <w:trPr>
          <w:trHeight w:val="249"/>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before provision for income taxes from:</w:t>
            </w: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operations</w:t>
            </w:r>
          </w:p>
        </w:tc>
        <w:tc>
          <w:tcPr>
            <w:tcW w:w="14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9,853</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27,772</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operations</w:t>
            </w:r>
          </w:p>
        </w:tc>
        <w:tc>
          <w:tcPr>
            <w:tcW w:w="1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4,418</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10,643</w:t>
            </w:r>
          </w:p>
        </w:tc>
        <w:tc>
          <w:tcPr>
            <w:tcW w:w="0" w:type="dxa"/>
            <w:vAlign w:val="bottom"/>
          </w:tcPr>
          <w:p>
            <w:pPr>
              <w:spacing w:after="0"/>
              <w:rPr>
                <w:sz w:val="1"/>
                <w:szCs w:val="1"/>
                <w:color w:val="auto"/>
              </w:rPr>
            </w:pPr>
          </w:p>
        </w:tc>
      </w:tr>
      <w:tr>
        <w:trPr>
          <w:trHeight w:val="257"/>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11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14,271</w:t>
            </w: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38,415</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1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8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1" w:right="27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00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 ended December</w:t>
            </w: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Transition</w:t>
            </w:r>
          </w:p>
        </w:tc>
        <w:tc>
          <w:tcPr>
            <w:tcW w:w="120" w:type="dxa"/>
            <w:vAlign w:val="bottom"/>
          </w:tcPr>
          <w:p>
            <w:pPr>
              <w:spacing w:after="0"/>
              <w:rPr>
                <w:sz w:val="12"/>
                <w:szCs w:val="12"/>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0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Period ended</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ended May 31,</w:t>
            </w: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3,558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1,990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9,156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States and local</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1,537</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36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3,569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3,672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 for uncertain tax positions</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3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w:t>
            </w:r>
          </w:p>
        </w:tc>
        <w:tc>
          <w:tcPr>
            <w:tcW w:w="2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3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6,799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6,003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13,836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States and local</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 in valuation allowance</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36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deferred</w:t>
            </w: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3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7,426</w:t>
            </w:r>
          </w:p>
        </w:tc>
        <w:tc>
          <w:tcPr>
            <w:tcW w:w="3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5,870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13,765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differs from the amount computed by applying the statutory federal tax rate to income tax as follows: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40" w:type="dxa"/>
            <w:vAlign w:val="bottom"/>
            <w:gridSpan w:val="3"/>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4"/>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For the Transition period ended</w:t>
            </w:r>
          </w:p>
        </w:tc>
        <w:tc>
          <w:tcPr>
            <w:tcW w:w="0" w:type="dxa"/>
            <w:vAlign w:val="bottom"/>
          </w:tcPr>
          <w:p>
            <w:pPr>
              <w:spacing w:after="0"/>
              <w:rPr>
                <w:sz w:val="1"/>
                <w:szCs w:val="1"/>
                <w:color w:val="auto"/>
              </w:rPr>
            </w:pPr>
          </w:p>
        </w:tc>
      </w:tr>
      <w:tr>
        <w:trPr>
          <w:trHeight w:val="195"/>
        </w:trPr>
        <w:tc>
          <w:tcPr>
            <w:tcW w:w="3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9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center"/>
              <w:ind w:left="43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6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Federal tax at statutory rate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2,997</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(79)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320" w:type="dxa"/>
            <w:vAlign w:val="bottom"/>
          </w:tcPr>
          <w:p>
            <w:pPr>
              <w:spacing w:after="0"/>
              <w:rPr>
                <w:sz w:val="21"/>
                <w:szCs w:val="21"/>
                <w:color w:val="auto"/>
              </w:rPr>
            </w:pPr>
          </w:p>
        </w:tc>
        <w:tc>
          <w:tcPr>
            <w:tcW w:w="100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737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Pr>
          <w:p>
            <w:pPr>
              <w:spacing w:after="0"/>
              <w:rPr>
                <w:sz w:val="21"/>
                <w:szCs w:val="21"/>
                <w:color w:val="auto"/>
              </w:rPr>
            </w:pPr>
          </w:p>
        </w:tc>
        <w:tc>
          <w:tcPr>
            <w:tcW w:w="11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(502)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tax</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807</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217</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Pr>
          <w:p>
            <w:pPr>
              <w:spacing w:after="0"/>
              <w:rPr>
                <w:sz w:val="21"/>
                <w:szCs w:val="21"/>
                <w:color w:val="auto"/>
              </w:rPr>
            </w:pPr>
          </w:p>
        </w:tc>
        <w:tc>
          <w:tcPr>
            <w:tcW w:w="10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(63)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183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taxation of foreign earnings</w:t>
            </w:r>
          </w:p>
        </w:tc>
        <w:tc>
          <w:tcPr>
            <w:tcW w:w="320" w:type="dxa"/>
            <w:vAlign w:val="bottom"/>
          </w:tcPr>
          <w:p>
            <w:pPr>
              <w:spacing w:after="0"/>
              <w:rPr>
                <w:sz w:val="21"/>
                <w:szCs w:val="21"/>
                <w:color w:val="auto"/>
              </w:rPr>
            </w:pPr>
          </w:p>
        </w:tc>
        <w:tc>
          <w:tcPr>
            <w:tcW w:w="100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228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21"/>
                <w:szCs w:val="21"/>
                <w:color w:val="auto"/>
              </w:rPr>
            </w:pPr>
          </w:p>
        </w:tc>
        <w:tc>
          <w:tcPr>
            <w:tcW w:w="118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14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Permanent differences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361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377</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Transition tax, net of foreign tax credits</w:t>
            </w:r>
          </w:p>
        </w:tc>
        <w:tc>
          <w:tcPr>
            <w:tcW w:w="320" w:type="dxa"/>
            <w:vAlign w:val="bottom"/>
          </w:tcPr>
          <w:p>
            <w:pPr>
              <w:spacing w:after="0"/>
              <w:rPr>
                <w:sz w:val="21"/>
                <w:szCs w:val="21"/>
                <w:color w:val="auto"/>
              </w:rPr>
            </w:pPr>
          </w:p>
        </w:tc>
        <w:tc>
          <w:tcPr>
            <w:tcW w:w="100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1,158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tcPr>
          <w:p>
            <w:pPr>
              <w:spacing w:after="0"/>
              <w:rPr>
                <w:sz w:val="21"/>
                <w:szCs w:val="21"/>
                <w:color w:val="auto"/>
              </w:rPr>
            </w:pPr>
          </w:p>
        </w:tc>
        <w:tc>
          <w:tcPr>
            <w:tcW w:w="118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3,942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Federal tax rate change due to the Tax Act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87</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(1,956)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00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208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Pr>
          <w:p>
            <w:pPr>
              <w:spacing w:after="0"/>
              <w:rPr>
                <w:sz w:val="21"/>
                <w:szCs w:val="21"/>
                <w:color w:val="auto"/>
              </w:rPr>
            </w:pPr>
          </w:p>
        </w:tc>
        <w:tc>
          <w:tcPr>
            <w:tcW w:w="11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(241)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666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247</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7"/>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7,426</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1,942</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December 22, 2017, the United States enacted fundamental changes to the federal tax law following the passage of the Tax Cuts and Jobs Act (the "Tax Act").</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Tax Act is complex and significantly changes the U.S. corporate tax system by, among other things, (a) reducing the federal corporate tax rate from 35% to 21% for tax years beginning after December 31, 2017, (b) replacing the prior system of taxing corporations on foreign earnings of their foreign subsidiaries when the earnings are repatriated with a partial territorial tax system that provides a 100% dividends-received deduction (DRD) to domestic corporations for foreign-sourced dividends received from 10%-or-more owned foreign corporations, (c) subjecting certain unrepatriated foreign earnings to a mandatory one-time transition tax on post-1986 earnings and profits ("the transition tax"), and (d) further limiting a public entity's ability to deduct compensation in excess of $1 million for covered employees.</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00"/>
          </w:cols>
          <w:pgMar w:left="240" w:top="121" w:right="25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For the financial statements for the year ended December 31, 2017, the Company had reasonably estimated the tax effects of the Tax Act. The effect of the change in federal corporate tax rate from 35% to 21% was subject to change based on resolution of estimates used in determining the amounts of deferred tax assets and liabilities that were remeasured. The Company's calculation of the transition tax was subject to further refinement as more information was gathered from its foreign subsidiaries, estimates used in the calculation were resolved, and as states provided guidance on how the transition tax may or may not apply in their respective jurisdictions. The Company also anticipated that the deferred tax asset related to executive compensation would change based upon actual 2018 compensation as compared to its projections of compensation that were limited. Finally, the Tax Act also imposes a minimum tax on certain foreign income deemed to be in excess of a routine return based on tangible asset investment, which is designed to discourage income shifting by subjecting certain foreign intangibles and other income to current US tax. Effective for tax years beginning after 2017, US shareholders of certain foreign corporations are subject to current U.S. tax on their global intangible low-taxed income (GILTI). As of December 31, 2017, the Company had not yet evaluated its potential liability, if any, under the minimum tax for GILTI in 2018 or future years. Accordingly, the Company had not yet made an accounting policy election either to account for these effects in the future period when the tax arises or to recognize them as part of the deferred taxes. The impact on income tax expense related to the Tax Act for 2017 was $1.9 million. This amount reflects a net tax benefit of $2.3 million as a result of the Tax Act due to the remeasurement of federal deferred tax assets and liabilities from 35% to 21%. This amount also includes a charge of $3.9 million due to the transition tax. Additionally, the Company incurred a charge attributable to reducing its deferred tax assets by $0.3 million due to changes made to executive compensation rules pursuant to the Tax Act.</w:t>
      </w:r>
    </w:p>
    <w:p>
      <w:pPr>
        <w:spacing w:after="0" w:line="19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2018, the Company completed its accounting for the effects of the Tax Act on the period ended December 31, 2017, which resulted in income tax expense of $1.7 million. This consisted primarily of $0.1 million of an increase in the Company's net deferred tax liabilities due to the reduction in the federal corporate rate from 35% to 21%, an increase of $1.3 million in tax expense attributable to the transition tax and a decrease in deferred tax assets of $0.4 million due to changes made to executive compensation. Additionally, the Company incurred an increase in income tax expense of $0.2 million due to GILTI, and an increase of $0.3 million due to additional non-deductible expenses. For GILTI, the Company has made an accounting policy election to account for these effects in the future period when the tax arises.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year ended May 31,</w:t>
            </w: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tcPr>
          <w:p>
            <w:pPr>
              <w:spacing w:after="0"/>
              <w:rPr>
                <w:sz w:val="22"/>
                <w:szCs w:val="22"/>
                <w:color w:val="auto"/>
              </w:rPr>
            </w:pPr>
          </w:p>
        </w:tc>
        <w:tc>
          <w:tcPr>
            <w:tcW w:w="46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jc w:val="right"/>
              <w:ind w:right="107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Federal tax at statutory rate</w:t>
            </w:r>
          </w:p>
        </w:tc>
        <w:tc>
          <w:tcPr>
            <w:tcW w:w="50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13,445</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4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tax</w:t>
            </w:r>
          </w:p>
        </w:tc>
        <w:tc>
          <w:tcPr>
            <w:tcW w:w="4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4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Permanent differences</w:t>
            </w:r>
          </w:p>
        </w:tc>
        <w:tc>
          <w:tcPr>
            <w:tcW w:w="4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245</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46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455</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468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13,765</w:t>
            </w:r>
          </w:p>
        </w:tc>
        <w:tc>
          <w:tcPr>
            <w:tcW w:w="12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4680" w:type="dxa"/>
            <w:vAlign w:val="bottom"/>
            <w:vMerge w:val="restart"/>
          </w:tcPr>
          <w:p>
            <w:pPr>
              <w:jc w:val="right"/>
              <w:ind w:right="2810"/>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68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2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income tax attributes resulting from differences between financial accounting amounts and income tax basis of assets and liabilities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Deferred income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265</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2,255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4,408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2,560</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3,889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3,729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1,004</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losses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tax credit carryover</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618</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share-based compensation</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3,728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4,080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484</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16,383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16,296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12,148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12,252</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Deferred income tax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(19,449)</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deferred income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of December 31, 2018, the Company had federal net operating loss carry forwards (NOLs) in the amount of approximately $0.3 million which may be utilized subject to limitation under Internal Revenue Code section 382. The federal NOLs expire at various times from 2031 to 2035. In addition, as of December 31, 2018, the Company had state and foreign NOLs of $25.0 million and $11.0 million, respectively. The state NOLs expire at various times from 2025 to 2038. Approximately $0.8 million of the foreign NOLs expire at various times from 2025 to 2038, while the remainder of the Company's foreign NOLs do not expire.</w:t>
      </w:r>
    </w:p>
    <w:p>
      <w:pPr>
        <w:spacing w:after="0" w:line="1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assessing the ability to realize deferred tax assets, management considers whether it is more likely than not that some portion or all of the deferred tax assets will be realized. Valuation allowances are provided when management believes the Company's deferred tax assets are not recoverable based on an assessment of estimated future taxable income that incorporates ongoing, prudent and feasible tax planning strategies. At December 31, 2018 and December 31, 2017, the Company has a valuation allowance of approximately $4.2 million and $4.0 million, respectively, primarily against certain state and foreign NOLs, capital losses generated by the disposals of certain foreign subsidiaries and other specific deferred tax assets. The increase of $0.2 million is primarily attributable to an increase against the foreign net operating losses. Except for those deferred tax assets subject to the valuation allowance, management believes that it will realize all deferred tax assets as a result of sufficient future taxable income in each tax jurisdiction in which the Company has deferred tax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Company’s gross unrecognized tax benefits, excluding interest and penalties: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64"/>
        </w:trPr>
        <w:tc>
          <w:tcPr>
            <w:tcW w:w="85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156</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267</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for tax positions related to the current fiscal period</w:t>
            </w:r>
          </w:p>
        </w:tc>
        <w:tc>
          <w:tcPr>
            <w:tcW w:w="90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341</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188</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Decreases for tax positions related to prior years</w:t>
            </w:r>
          </w:p>
        </w:tc>
        <w:tc>
          <w:tcPr>
            <w:tcW w:w="9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year acquisitions</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270</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Impact of foreign exchange fluctuation</w:t>
            </w:r>
          </w:p>
        </w:tc>
        <w:tc>
          <w:tcPr>
            <w:tcW w:w="90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Settlements</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Reductions related to the expiration of statutes of limitations</w:t>
            </w:r>
          </w:p>
        </w:tc>
        <w:tc>
          <w:tcPr>
            <w:tcW w:w="9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7"/>
        </w:trPr>
        <w:tc>
          <w:tcPr>
            <w:tcW w:w="8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723</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156</w:t>
            </w:r>
          </w:p>
        </w:tc>
      </w:tr>
      <w:tr>
        <w:trPr>
          <w:trHeight w:val="20"/>
        </w:trPr>
        <w:tc>
          <w:tcPr>
            <w:tcW w:w="8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recorded the unrecognized tax benefits in other long-term liabilities in the consolidated balance sheets. As of December 31, 2018 and December 31, 2017, there were approximately $0.7 million and $0.2 million of unrecognized tax benefits, respectively, including penalties and interest that if recognized would favorably affect the effective tax rate. Interest and penalties related to unrecognized tax benefits are recorded in income tax expense and are not significant for the years ended December 31, 2018 and 2017, the transition period ended December 31, 2016 and the year ended May 31, 2016. The Company anticipates a decrease to its unrecognized tax benefits of less than $0.5 million excluding interest and penalties within the next 12 months.</w:t>
      </w:r>
    </w:p>
    <w:p>
      <w:pPr>
        <w:spacing w:after="0" w:line="18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states and foreign jurisdictions. The Company is no longer subject to U.S. federal income tax examinations for years ending before May 31, 2016 and generally is no longer subject to state, local or foreign income tax examinations by tax authorities for years ending before May 31, 2015.</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Net income (loss) of foreign subsidiaries was $2.0 million, $4.1 million, $6.9 million and $7.5 million for the years ended December 31, 2018 and 2017, the transition period ended December 31, 2016 and fiscal 2016, respectively. Generally, it has been the Company's practice and intention to reinvest the earnings of its non-U.S. subsidiaries in those operations. As previously noted, the Tax Act made significant changes to the taxation of undistributed earnings, requiring that all previously untaxed earnings and profits of the Company's controlled foreign operations be subjected to the transition tax. Since these earnings have now been subjected to U.S. federal tax they would only be potentially subject to limited other taxes, including foreign withholding and certain state taxes. As of December 31, 2018, the Company has not recognized a deferred tax liability for foreign withholdings and state taxes on its undistributed international earnings or losses of its foreign subsidiaries since it intends to indefinitely reinvest the earnings outside the United States. The Company has estimated that the amount of the unrecorded deferred tax liability related to undistributed international earnings is less than $1 million.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Benefit Plans</w:t>
      </w:r>
    </w:p>
    <w:p>
      <w:pPr>
        <w:spacing w:after="0" w:line="229"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The Company provides a 401(k) savings plan for eligible U.S. based employees. Employee contributions are discretionary up to the IRS limits each year and catch up contributions are allowed for employees 50 years of age or older. Under the 401(k) plan, employees become eligible to participate on the first day of the month after three months of continuous service. Under this plan, the Company matches 50% of the employee’s contributions up to 6% of the employee’s annual compensation, as defined by the plan. There is a five-year vesting schedule for the Company match. The Company’s contribution to the plan was $3.9 million, $3.7 million, $2.0 million and $3.5 million for the years ended December 31, 2018 and 2017, the transition period ended December 31, 2016 and the year ended May 31, 2016, respectively.</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participates with other employers in contributing to the Boilermaker-Blacksmith National Pension Trust (EIN 48-6168020) (“Boilermakers”) and Plumbers and Pipefitters National Pension Fund (EIN 52-6152779) (“Pipefitters”), multi-employer defined benefit pension plans, which covers certain U.S. based union employees. The plans provide multiple plan benefits with corresponding contribution rates that are collectively bargained between participating employers and their affiliated Boilermakers and Pipefitters local unions. Both the Boilermakers and Pipefitters plans are between 65 percent and 80</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66"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percent funded as of the latest Form 5500 filed. The Company’s contributions to the Boilermakers and Pipefitters plans, collectively, were $0.6 million, $2.4 million, $1.5 million and $2.5 million for the years ended December 31, 2018 and 2017, the transition period ended December 31, 2016 and the year ended May 31, 2016. These contributions represented less than five percent of total contributions made to the plans.</w:t>
      </w:r>
    </w:p>
    <w:p>
      <w:pPr>
        <w:spacing w:after="0" w:line="16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 has other benefit plans covering certain employees throughout the Company. Amounts charged to expense under these plans were not significant in any year.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August 17, 2016, the Company entered into an agreement with its then Chairman, CEO and Director, Dr. Sotirios Vahaviolos, to purchase up to 1 million of his shares, commencing in October 2016. Refer to Note 20 for further details of the treasury stock repurchases from Dr. Vahaviolos.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leases its headquarters under an operating lease from a shareholder and officer of the Company. On August 1, 2014, the Company extended its lease at its headquarters requiring monthly payments through October 2024. Total rent payments made during the year ended December 31, 2018 were approximately $1.0 million. See Note 18 for further detail related to operating leases.</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 has a lease for office space located in France, which is partly owned by a shareholder and officer. Total rent payments made during the year ended December 31, 2018 were approximately $0.1 million. During 2018, the shareholder and officer sold his interest in this property, and as a result, is no longer a related party as of December 31, 2018.</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has a lease for office space located in Brazil, which is partly owned by a shareholder and officer. Total rent payments made during the year ended December 31, 2018 were approximately $0.1 million. During 2018, the shareholder and officer sold his interest in this property, and as a result, is no longer a related party as of December 31, 2018.</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receives benefits consulting services from Capital Management Enterprise (“CME”), which is owned by one of its non-employee directors, Manuel N. Stamatakis. The Company does not pay any fees directly to CME. Any compensation CME receives is from third-party benefit providers.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Obligations under Capital Leases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leases certain office space, and service equipment under capital leases, requiring monthly payments ranging from less than $1 thousand to $63 thousand, including effective interest rates that range from approximately 1% to 11% expiring through June 2029. The net book value of assets under capital lease obligations was $14.6 million and $19.5 million at December 31, 2018 and December 31, 2017,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Scheduled future minimum lease payments subsequent to December 31, 2018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5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4,686</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4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3,489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4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2,757</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4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1,475</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4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4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4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13,987</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4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4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12,997</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portion of obligations under capital leases</w:t>
            </w:r>
          </w:p>
        </w:tc>
        <w:tc>
          <w:tcPr>
            <w:tcW w:w="4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Obligations under capital leases, net of current portion</w:t>
            </w:r>
          </w:p>
        </w:tc>
        <w:tc>
          <w:tcPr>
            <w:tcW w:w="5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9,075</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bottom w:val="single" w:sz="8" w:color="CCEEFF"/>
            </w:tcBorders>
            <w:vMerge w:val="restart"/>
          </w:tcPr>
          <w:p>
            <w:pPr>
              <w:jc w:val="right"/>
              <w:ind w:right="3650"/>
              <w:spacing w:after="0"/>
              <w:rPr>
                <w:sz w:val="20"/>
                <w:szCs w:val="20"/>
                <w:color w:val="auto"/>
              </w:rPr>
            </w:pPr>
            <w:r>
              <w:rPr>
                <w:rFonts w:ascii="Times New Roman" w:cs="Times New Roman" w:eastAsia="Times New Roman" w:hAnsi="Times New Roman"/>
                <w:sz w:val="18"/>
                <w:szCs w:val="18"/>
                <w:color w:val="auto"/>
              </w:rPr>
              <w:t>81</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82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21" w:right="31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right="380"/>
        <w:spacing w:after="0" w:line="313" w:lineRule="auto"/>
        <w:rPr>
          <w:sz w:val="20"/>
          <w:szCs w:val="20"/>
          <w:color w:val="auto"/>
        </w:rPr>
      </w:pPr>
      <w:r>
        <w:rPr>
          <w:rFonts w:ascii="Times New Roman" w:cs="Times New Roman" w:eastAsia="Times New Roman" w:hAnsi="Times New Roman"/>
          <w:sz w:val="17"/>
          <w:szCs w:val="17"/>
          <w:color w:val="auto"/>
        </w:rPr>
        <w:t>The Company is party to various non-cancelable operating lease agreements, primarily for its international and domestic office and lab space. Future minimum lease payments under noncancelable operating leases in each of the five years and thereafter subsequent to December 31, 2018 are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10,939</w:t>
            </w:r>
          </w:p>
        </w:tc>
      </w:tr>
      <w:tr>
        <w:trPr>
          <w:trHeight w:val="243"/>
        </w:trPr>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6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8,764</w:t>
            </w:r>
          </w:p>
        </w:tc>
      </w:tr>
      <w:tr>
        <w:trPr>
          <w:trHeight w:val="27"/>
        </w:trPr>
        <w:tc>
          <w:tcPr>
            <w:tcW w:w="9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6,327</w:t>
            </w:r>
          </w:p>
        </w:tc>
      </w:tr>
      <w:tr>
        <w:trPr>
          <w:trHeight w:val="243"/>
        </w:trPr>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6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4,826</w:t>
            </w:r>
          </w:p>
        </w:tc>
      </w:tr>
      <w:tr>
        <w:trPr>
          <w:trHeight w:val="27"/>
        </w:trPr>
        <w:tc>
          <w:tcPr>
            <w:tcW w:w="9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4,239</w:t>
            </w:r>
          </w:p>
        </w:tc>
      </w:tr>
      <w:tr>
        <w:trPr>
          <w:trHeight w:val="243"/>
        </w:trPr>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10,667</w:t>
            </w:r>
          </w:p>
        </w:tc>
      </w:tr>
      <w:tr>
        <w:trPr>
          <w:trHeight w:val="27"/>
        </w:trPr>
        <w:tc>
          <w:tcPr>
            <w:tcW w:w="94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45,762</w:t>
            </w:r>
          </w:p>
        </w:tc>
      </w:tr>
      <w:tr>
        <w:trPr>
          <w:trHeight w:val="20"/>
        </w:trPr>
        <w:tc>
          <w:tcPr>
            <w:tcW w:w="9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rent expense was $12.3 million, $11.8 million, $6.6 million, $11.2 million for the years ended December 31, 2018 and 2017, the transition period ended December 31, 2016 and the year ended May 31, 2016,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Government Investigations</w:t>
      </w:r>
    </w:p>
    <w:p>
      <w:pPr>
        <w:spacing w:after="0" w:line="27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is subject to periodic lawsuits, investigations and claims that arise in the ordinary course of business. The Company cannot predict with certainty the ultimate resolution of lawsuits, investigations and claims asserted against it. Except for the matters described below, the Company does not believe that any currently pending legal proceeding to which the Company is a party will have a material adverse effect on its business, results of operations, cash flows or financial condition. The costs of defense and amounts that may be recovered against the Company may be covered by insurance for certain matters.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 and Commercial Claims</w:t>
      </w:r>
    </w:p>
    <w:p>
      <w:pPr>
        <w:spacing w:after="0" w:line="22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Company’s subsidiary in France has been involved in a dispute with a former owner of a business in France purchased by the Company’s French subsidiary. The former owner received a judgment in his favor in the amount of approximately $0.4 million for payment of the contingent consideration portion of the purchase price for the business. The Company recorded an accrual for this judgment during 2016. The Company's subsidiary appealed the judgment and the entire judgment was overturned on appeal. The appeal process was completed in July 2018 in the Company's favor, and accordingly, the Company reversed the accrual as of June 30, 2018.</w:t>
      </w:r>
    </w:p>
    <w:p>
      <w:pPr>
        <w:spacing w:after="0" w:line="18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 xml:space="preserve">The Company was a defendant in a lawsuit, Triumph Aerostructures, LLC d/b/a Triumph Aerostructures-Vought Aircraft Division </w:t>
      </w:r>
      <w:r>
        <w:rPr>
          <w:rFonts w:ascii="Times New Roman" w:cs="Times New Roman" w:eastAsia="Times New Roman" w:hAnsi="Times New Roman"/>
          <w:sz w:val="18"/>
          <w:szCs w:val="18"/>
          <w:i w:val="1"/>
          <w:iCs w:val="1"/>
          <w:color w:val="auto"/>
        </w:rPr>
        <w:t>v. Mistras Group, Inc</w:t>
      </w:r>
      <w:r>
        <w:rPr>
          <w:rFonts w:ascii="Times New Roman" w:cs="Times New Roman" w:eastAsia="Times New Roman" w:hAnsi="Times New Roman"/>
          <w:sz w:val="18"/>
          <w:szCs w:val="18"/>
          <w:color w:val="auto"/>
        </w:rPr>
        <w:t>., pending in Texas State district court, 193rd Judicial District, Dallas County, Texas, filed September 2016. The plaintiff alleged that in 2014 Mistras delivered a defective Ultrasonic inspection system and alleged damages of approximately $2.3 million, the amount it paid for the system. In January 2018, the Company agreed to settle this matter for a payment of $1.6 million and Mistras subsequently obtained ownership of the underlying ultrasonic inspection system. A charge for $1.6 million was recorded in 2017 and payment was made in February 2018.</w:t>
      </w:r>
    </w:p>
    <w:p>
      <w:pPr>
        <w:spacing w:after="0" w:line="18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A Company vehicle was involved in an accident in which individuals were injured, property was damaged, and businesses alleged impacted by the accident have claimed economic losses. One lawsuit has been filed by one of the injured individuals in the U.S. District Court for the District of Colorado, </w:t>
      </w:r>
      <w:r>
        <w:rPr>
          <w:rFonts w:ascii="Times New Roman" w:cs="Times New Roman" w:eastAsia="Times New Roman" w:hAnsi="Times New Roman"/>
          <w:sz w:val="18"/>
          <w:szCs w:val="18"/>
          <w:i w:val="1"/>
          <w:iCs w:val="1"/>
          <w:color w:val="auto"/>
        </w:rPr>
        <w:t>McAllister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 Mistras Group, Inc</w:t>
      </w:r>
      <w:r>
        <w:rPr>
          <w:rFonts w:ascii="Times New Roman" w:cs="Times New Roman" w:eastAsia="Times New Roman" w:hAnsi="Times New Roman"/>
          <w:sz w:val="18"/>
          <w:szCs w:val="18"/>
          <w:color w:val="auto"/>
        </w:rPr>
        <w:t>. The Company has insurance for these types of matters and believes its insurance is sufficient to cover all claims resulting from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accident. However, the possibility exists that the insurance ultimately will not be sufficient to satisfy all claims, in which case the Company would be responsible for the amount of claims in excess of insurance coverage.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Government Investigations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May 2015, the Company received a notice from the U.S. Environmental Protection Agency (“EPA”) that it performed a preliminary assessment at a leased facility the Company operates in Cudahy, California. Based upon the preliminary assessment, the EPA is conducting an investigation of the site, which includes taking groundwater and soil samples. The purpose of the investigation is to determine whether any hazardous materials were released from the facility. The Company has</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340"/>
          </w:cols>
          <w:pgMar w:left="240" w:top="121" w:right="31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been informed that certain hazardous materials and pollutants have been found in the ground water in the general vicinity of the site and the EPA is attempting to ascertain the origination or source of these materials and pollutants. Given the historic industrial use of the site, the EPA determined that the site of the Cudahy facility should be examined, along with numerous other sites in the vicinity. In addition, the California Department of Toxic Substances Control recently notified the owner of the property that it may perform additional investigation of the property. At this time, the Company is unable to determine whether it has any liability in connection with this matter and if so, the amount or range of any such liability, and accordingly, has not established any reserves for this matter.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Related Contingencies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workforce of certain of the Company’s subsidiaries are unionized and the terms of employment for these workers are governed by collective bargaining agreements, or CBAs. Under these CBAs, the Company’s subsidiaries are required to contribute to the national pension funds for the unions representing these employees, which are multi-employer pension plans. The Company was notified that a significant project was awarded to another contractor in January 2018, and as a result, one of the Company’s subsidiaries experienced a significant reduction in the number of its employees covered by one of the CBAs. Under certain circumstances, such a reduction in the number of employees participating in multi-employer pension plans pursuant to this CBA could result in a complete or partial withdrawal liability to these multi-employer pension plans under the Employee Retirement Income Security Act of 1974 ("ERISA"). Management explored options to retain a level of union work that would avoid withdrawal liability to the pension plans, but concluded during the third quarter of 2018 that the Company's subsidiaries probably would not obtain sufficient union work to avoid withdrawal liability. Therefore, the Company determined that it is probable that its subsidiary will incur a withdrawal liability related to these multiemployer pension plans and estimated that the total amount of this potential liability is approximately $5.9 million and recorded a charge for that amount during the year ended December 31, 2018.</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labor disputes</w:t>
      </w:r>
    </w:p>
    <w:p>
      <w:pPr>
        <w:spacing w:after="0" w:line="22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During the year ended December 31, 2018, the Company recorded approximately $1.2 million in charges related to labor claims for its Brazilian subsidiary, which are included within Selling, General and Administrative expenses. These claims related to employees in a company acquired by the Brazilian subsidiary in a prior period. The Company believes it is entitled to indemnification from the sellers of the acquired company for most of these charges, but has not recorded the expected recovery of indemnification for these labor claims as the amount and timing of collection is uncertain as of December 31, 2018.</w:t>
      </w:r>
    </w:p>
    <w:p>
      <w:pPr>
        <w:spacing w:after="0" w:line="16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Company’s German subsidiary provides employees to customers under temporary staff leasing arrangements. In April 2017, the German Labor Lease Act was passed in Germany limiting the duration of temporary workers to eighteen months, or longer as subsequently agreed with by a customer appropriate authority. Since the passing of the German Labor Lease Act, the Company explored selling its staff leasing services and concluded during the third quarter of 2018 that a sale would not be probable. As a result, the Company decided that it will not renew several of these leasing services contracts when they expire beginning in 2019. Due to the cap on the length of service allowed under the German Labor Lease Act, employees will have to be transitioned off the customer contracts. It is expected that the German subsidiary then will either terminate these employees, creating a severance obligation to the terminated employees, or transition them to the Company's other customers. As of December 31, 2018, the Company had over 200 employees under current staff leasing contracts, which expire through 2021. As of December 31, 2018, the Company estimated it would be required to pay approximately $1.6 million in severance for these employees not otherwise transitioned, and accordingly recorded an accrual for this amount which is included within Selling, General and Administrative expenses for the year ended December 31, 2018.</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contingencies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is liable for contingent consideration in connection with certain of its acquisitions. As of December 31, 2018, total potential acquisition-related contingent consideration ranged from zero to $5.8 million and would be payable upon the achievement of specific performance metrics by certain of the acquired companies over the next 1.5 years of operations. See Note 7 to these consolidated financial statements for further information with respect to the Company’s acquisitions completed during the years ended December 31, 2018 and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three operating segments are:</w:t>
      </w:r>
    </w:p>
    <w:p>
      <w:pPr>
        <w:spacing w:after="0" w:line="223" w:lineRule="exact"/>
        <w:rPr>
          <w:sz w:val="20"/>
          <w:szCs w:val="20"/>
          <w:color w:val="auto"/>
        </w:rPr>
      </w:pPr>
    </w:p>
    <w:p>
      <w:pPr>
        <w:ind w:left="660" w:right="440" w:hanging="328"/>
        <w:spacing w:after="0" w:line="284" w:lineRule="auto"/>
        <w:tabs>
          <w:tab w:leader="none" w:pos="660"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This segment provides asset protection solutions predominantly in North America, with the largest concentration in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followed by Canada, consisting primarily of non-destructive testing, and inspection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and engineering services that are used to evaluate the structural integrity and reliability of critical energy, industrial and public infrastructure.</w:t>
      </w:r>
    </w:p>
    <w:p>
      <w:pPr>
        <w:spacing w:after="0" w:line="237" w:lineRule="exact"/>
        <w:rPr>
          <w:sz w:val="20"/>
          <w:szCs w:val="20"/>
          <w:color w:val="auto"/>
        </w:rPr>
      </w:pPr>
    </w:p>
    <w:p>
      <w:pPr>
        <w:ind w:left="660" w:right="100" w:hanging="328"/>
        <w:spacing w:after="0" w:line="315" w:lineRule="auto"/>
        <w:tabs>
          <w:tab w:leader="none" w:pos="660" w:val="left"/>
        </w:tabs>
        <w:numPr>
          <w:ilvl w:val="0"/>
          <w:numId w:val="4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International. </w:t>
      </w:r>
      <w:r>
        <w:rPr>
          <w:rFonts w:ascii="Times New Roman" w:cs="Times New Roman" w:eastAsia="Times New Roman" w:hAnsi="Times New Roman"/>
          <w:sz w:val="17"/>
          <w:szCs w:val="17"/>
          <w:color w:val="auto"/>
        </w:rPr>
        <w:t>This segment offers services, products and systems similar to those of the other segments to select markets within Europe, the Middle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East, Africa, Asia and South America, but not to customers in China and South Korea, which are served by the Products and Systems segment.</w:t>
      </w:r>
    </w:p>
    <w:p>
      <w:pPr>
        <w:spacing w:after="0" w:line="135" w:lineRule="exact"/>
        <w:rPr>
          <w:rFonts w:ascii="Times New Roman" w:cs="Times New Roman" w:eastAsia="Times New Roman" w:hAnsi="Times New Roman"/>
          <w:sz w:val="17"/>
          <w:szCs w:val="17"/>
          <w:i w:val="1"/>
          <w:iCs w:val="1"/>
          <w:color w:val="auto"/>
        </w:rPr>
      </w:pPr>
    </w:p>
    <w:p>
      <w:pPr>
        <w:ind w:left="660" w:right="620" w:hanging="328"/>
        <w:spacing w:after="0" w:line="284"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This segment designs, manufactures, sells, installs and services the Company’s asset protection products and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equipment and instrumentation, predominantly in the United States.</w:t>
      </w:r>
    </w:p>
    <w:p>
      <w:pPr>
        <w:spacing w:after="0" w:line="16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184"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7"/>
          <w:szCs w:val="17"/>
          <w:color w:val="auto"/>
        </w:rPr>
        <w:t>The accounting policies of the reportable segments are the same as those described in Note 1. Segment income from operations is one of the primary performance measures used by the Chief Executive Officer, who is the chief operating decision maker, to assess the performance of each segment and make decisions as to resource allocations. Certain general and administrative costs such as human resources, information technology and training are allocated to the segments. Segment income from operations excludes interest and other financial charges and income taxes. Corporate and other assets are comprised principally of cash, deposits, property, plant and equipment, domestic deferred taxes, deferred charges and other assets. Corporate loss from operations consists of administrative charges related to corporate personnel and other charges that cannot be readily identified for allocation to a particular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financial information by segment for the periods shown was as follows (intercompany transactions are eliminated in Corporate and eliminations):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Transition</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60" w:type="dxa"/>
            <w:vAlign w:val="bottom"/>
            <w:gridSpan w:val="8"/>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Period ended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8"/>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0" w:type="dxa"/>
            <w:vAlign w:val="bottom"/>
          </w:tcPr>
          <w:p>
            <w:pPr>
              <w:spacing w:after="0"/>
              <w:rPr>
                <w:sz w:val="1"/>
                <w:szCs w:val="1"/>
                <w:color w:val="auto"/>
              </w:rPr>
            </w:pPr>
          </w:p>
        </w:tc>
      </w:tr>
      <w:tr>
        <w:trPr>
          <w:trHeight w:val="264"/>
        </w:trPr>
        <w:tc>
          <w:tcPr>
            <w:tcW w:w="3880" w:type="dxa"/>
            <w:vAlign w:val="bottom"/>
            <w:tcBorders>
              <w:bottom w:val="single" w:sz="8" w:color="CCEEFF"/>
            </w:tcBorders>
          </w:tcPr>
          <w:p>
            <w:pPr>
              <w:spacing w:after="0"/>
              <w:rPr>
                <w:sz w:val="22"/>
                <w:szCs w:val="22"/>
                <w:color w:val="auto"/>
              </w:rPr>
            </w:pPr>
          </w:p>
        </w:tc>
        <w:tc>
          <w:tcPr>
            <w:tcW w:w="19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574,619</w:t>
            </w:r>
          </w:p>
        </w:tc>
        <w:tc>
          <w:tcPr>
            <w:tcW w:w="40" w:type="dxa"/>
            <w:vAlign w:val="bottom"/>
          </w:tcPr>
          <w:p>
            <w:pPr>
              <w:spacing w:after="0"/>
              <w:rPr>
                <w:sz w:val="21"/>
                <w:szCs w:val="21"/>
                <w:color w:val="auto"/>
              </w:rPr>
            </w:pPr>
          </w:p>
        </w:tc>
        <w:tc>
          <w:tcPr>
            <w:tcW w:w="4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543,565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293,218</w:t>
            </w:r>
          </w:p>
        </w:tc>
        <w:tc>
          <w:tcPr>
            <w:tcW w:w="60" w:type="dxa"/>
            <w:vAlign w:val="bottom"/>
          </w:tcPr>
          <w:p>
            <w:pPr>
              <w:spacing w:after="0"/>
              <w:rPr>
                <w:sz w:val="21"/>
                <w:szCs w:val="21"/>
                <w:color w:val="auto"/>
              </w:rPr>
            </w:pPr>
          </w:p>
        </w:tc>
        <w:tc>
          <w:tcPr>
            <w:tcW w:w="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153,448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144,265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104,013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143,025</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1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23,297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9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(10,157)</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(7,611)</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(7,416)</w:t>
            </w: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208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742,354</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700,970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404,161</w:t>
            </w:r>
          </w:p>
        </w:tc>
        <w:tc>
          <w:tcPr>
            <w:tcW w:w="6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719,181</w:t>
            </w: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38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Transition</w:t>
            </w:r>
          </w:p>
        </w:tc>
        <w:tc>
          <w:tcPr>
            <w:tcW w:w="40" w:type="dxa"/>
            <w:vAlign w:val="bottom"/>
          </w:tcPr>
          <w:p>
            <w:pPr>
              <w:spacing w:after="0"/>
              <w:rPr>
                <w:sz w:val="24"/>
                <w:szCs w:val="24"/>
                <w:color w:val="auto"/>
              </w:rPr>
            </w:pPr>
          </w:p>
        </w:tc>
        <w:tc>
          <w:tcPr>
            <w:tcW w:w="132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60" w:type="dxa"/>
            <w:vAlign w:val="bottom"/>
            <w:gridSpan w:val="8"/>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Period ended</w:t>
            </w:r>
          </w:p>
        </w:tc>
        <w:tc>
          <w:tcPr>
            <w:tcW w:w="4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8"/>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0" w:type="dxa"/>
            <w:vAlign w:val="bottom"/>
          </w:tcPr>
          <w:p>
            <w:pPr>
              <w:spacing w:after="0"/>
              <w:rPr>
                <w:sz w:val="1"/>
                <w:szCs w:val="1"/>
                <w:color w:val="auto"/>
              </w:rPr>
            </w:pPr>
          </w:p>
        </w:tc>
      </w:tr>
      <w:tr>
        <w:trPr>
          <w:trHeight w:val="264"/>
        </w:trPr>
        <w:tc>
          <w:tcPr>
            <w:tcW w:w="3880" w:type="dxa"/>
            <w:vAlign w:val="bottom"/>
            <w:tcBorders>
              <w:bottom w:val="single" w:sz="8" w:color="CCEEFF"/>
            </w:tcBorders>
          </w:tcPr>
          <w:p>
            <w:pPr>
              <w:spacing w:after="0"/>
              <w:rPr>
                <w:sz w:val="22"/>
                <w:szCs w:val="22"/>
                <w:color w:val="auto"/>
              </w:rPr>
            </w:pPr>
          </w:p>
        </w:tc>
        <w:tc>
          <w:tcPr>
            <w:tcW w:w="19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top w:val="single" w:sz="8" w:color="auto"/>
              <w:bottom w:val="single" w:sz="8" w:color="CCEEFF"/>
            </w:tcBorders>
          </w:tcPr>
          <w:p>
            <w:pPr>
              <w:spacing w:after="0"/>
              <w:rPr>
                <w:sz w:val="22"/>
                <w:szCs w:val="22"/>
                <w:color w:val="auto"/>
              </w:rPr>
            </w:pPr>
          </w:p>
        </w:tc>
        <w:tc>
          <w:tcPr>
            <w:tcW w:w="6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top w:val="single" w:sz="8" w:color="auto"/>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151,974</w:t>
            </w:r>
          </w:p>
        </w:tc>
        <w:tc>
          <w:tcPr>
            <w:tcW w:w="40" w:type="dxa"/>
            <w:vAlign w:val="bottom"/>
          </w:tcPr>
          <w:p>
            <w:pPr>
              <w:spacing w:after="0"/>
              <w:rPr>
                <w:sz w:val="21"/>
                <w:szCs w:val="21"/>
                <w:color w:val="auto"/>
              </w:rPr>
            </w:pPr>
          </w:p>
        </w:tc>
        <w:tc>
          <w:tcPr>
            <w:tcW w:w="4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139,160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75,784</w:t>
            </w:r>
          </w:p>
        </w:tc>
        <w:tc>
          <w:tcPr>
            <w:tcW w:w="60" w:type="dxa"/>
            <w:vAlign w:val="bottom"/>
          </w:tcPr>
          <w:p>
            <w:pPr>
              <w:spacing w:after="0"/>
              <w:rPr>
                <w:sz w:val="21"/>
                <w:szCs w:val="21"/>
                <w:color w:val="auto"/>
              </w:rPr>
            </w:pPr>
          </w:p>
        </w:tc>
        <w:tc>
          <w:tcPr>
            <w:tcW w:w="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145,262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45,464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34,210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43,613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1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10,560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6,920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14,022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9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207,874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187,712</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117,004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203,008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880" w:type="dxa"/>
            <w:vAlign w:val="bottom"/>
          </w:tcPr>
          <w:p>
            <w:pPr>
              <w:spacing w:after="0"/>
              <w:rPr>
                <w:sz w:val="24"/>
                <w:szCs w:val="24"/>
                <w:color w:val="auto"/>
              </w:rPr>
            </w:pPr>
          </w:p>
        </w:tc>
        <w:tc>
          <w:tcPr>
            <w:tcW w:w="2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Transition</w:t>
            </w:r>
          </w:p>
        </w:tc>
        <w:tc>
          <w:tcPr>
            <w:tcW w:w="13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Period ended</w:t>
            </w:r>
          </w:p>
        </w:tc>
        <w:tc>
          <w:tcPr>
            <w:tcW w:w="13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center"/>
              <w:ind w:right="334"/>
              <w:spacing w:after="0"/>
              <w:rPr>
                <w:sz w:val="20"/>
                <w:szCs w:val="20"/>
                <w:color w:val="auto"/>
              </w:rPr>
            </w:pPr>
            <w:r>
              <w:rPr>
                <w:rFonts w:ascii="Times New Roman" w:cs="Times New Roman" w:eastAsia="Times New Roman" w:hAnsi="Times New Roman"/>
                <w:sz w:val="14"/>
                <w:szCs w:val="14"/>
                <w:b w:val="1"/>
                <w:bCs w:val="1"/>
                <w:color w:val="auto"/>
                <w:w w:val="99"/>
              </w:rPr>
              <w:t>May 31,</w:t>
            </w: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center"/>
              <w:ind w:right="33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0" w:type="dxa"/>
            <w:vAlign w:val="bottom"/>
          </w:tcPr>
          <w:p>
            <w:pPr>
              <w:spacing w:after="0"/>
              <w:rPr>
                <w:sz w:val="1"/>
                <w:szCs w:val="1"/>
                <w:color w:val="auto"/>
              </w:rPr>
            </w:pPr>
          </w:p>
        </w:tc>
      </w:tr>
      <w:tr>
        <w:trPr>
          <w:trHeight w:val="249"/>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47,126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46,677</w:t>
            </w:r>
          </w:p>
        </w:tc>
        <w:tc>
          <w:tcPr>
            <w:tcW w:w="100" w:type="dxa"/>
            <w:vAlign w:val="bottom"/>
          </w:tcPr>
          <w:p>
            <w:pPr>
              <w:spacing w:after="0"/>
              <w:rPr>
                <w:sz w:val="21"/>
                <w:szCs w:val="21"/>
                <w:color w:val="auto"/>
              </w:rPr>
            </w:pPr>
          </w:p>
        </w:tc>
        <w:tc>
          <w:tcPr>
            <w:tcW w:w="2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22,411</w:t>
            </w:r>
          </w:p>
        </w:tc>
        <w:tc>
          <w:tcPr>
            <w:tcW w:w="120" w:type="dxa"/>
            <w:vAlign w:val="bottom"/>
          </w:tcPr>
          <w:p>
            <w:pPr>
              <w:spacing w:after="0"/>
              <w:rPr>
                <w:sz w:val="21"/>
                <w:szCs w:val="21"/>
                <w:color w:val="auto"/>
              </w:rPr>
            </w:pPr>
          </w:p>
        </w:tc>
        <w:tc>
          <w:tcPr>
            <w:tcW w:w="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52,552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3,953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10,597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9,293</w:t>
            </w:r>
          </w:p>
        </w:tc>
        <w:tc>
          <w:tcPr>
            <w:tcW w:w="0" w:type="dxa"/>
            <w:vAlign w:val="bottom"/>
          </w:tcPr>
          <w:p>
            <w:pPr>
              <w:spacing w:after="0"/>
              <w:rPr>
                <w:sz w:val="1"/>
                <w:szCs w:val="1"/>
                <w:color w:val="auto"/>
              </w:rPr>
            </w:pPr>
          </w:p>
        </w:tc>
      </w:tr>
      <w:tr>
        <w:trPr>
          <w:trHeight w:val="243"/>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22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2,688</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(21,356)</w:t>
            </w: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22,221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4,160</w:t>
            </w:r>
          </w:p>
        </w:tc>
        <w:tc>
          <w:tcPr>
            <w:tcW w:w="100" w:type="dxa"/>
            <w:vAlign w:val="bottom"/>
          </w:tcPr>
          <w:p>
            <w:pPr>
              <w:spacing w:after="0"/>
              <w:rPr>
                <w:sz w:val="20"/>
                <w:szCs w:val="20"/>
                <w:color w:val="auto"/>
              </w:rPr>
            </w:pPr>
          </w:p>
        </w:tc>
        <w:tc>
          <w:tcPr>
            <w:tcW w:w="240" w:type="dxa"/>
            <w:vAlign w:val="bottom"/>
            <w:tcBorders>
              <w:top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17,533</w:t>
            </w:r>
          </w:p>
        </w:tc>
        <w:tc>
          <w:tcPr>
            <w:tcW w:w="120" w:type="dxa"/>
            <w:vAlign w:val="bottom"/>
          </w:tcPr>
          <w:p>
            <w:pPr>
              <w:spacing w:after="0"/>
              <w:rPr>
                <w:sz w:val="20"/>
                <w:szCs w:val="20"/>
                <w:color w:val="auto"/>
              </w:rPr>
            </w:pPr>
          </w:p>
        </w:tc>
        <w:tc>
          <w:tcPr>
            <w:tcW w:w="420" w:type="dxa"/>
            <w:vAlign w:val="bottom"/>
            <w:tcBorders>
              <w:top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43,177</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Transition</w:t>
            </w:r>
          </w:p>
        </w:tc>
        <w:tc>
          <w:tcPr>
            <w:tcW w:w="13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Period ended</w:t>
            </w:r>
          </w:p>
        </w:tc>
        <w:tc>
          <w:tcPr>
            <w:tcW w:w="13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center"/>
              <w:ind w:right="334"/>
              <w:spacing w:after="0"/>
              <w:rPr>
                <w:sz w:val="20"/>
                <w:szCs w:val="20"/>
                <w:color w:val="auto"/>
              </w:rPr>
            </w:pPr>
            <w:r>
              <w:rPr>
                <w:rFonts w:ascii="Times New Roman" w:cs="Times New Roman" w:eastAsia="Times New Roman" w:hAnsi="Times New Roman"/>
                <w:sz w:val="14"/>
                <w:szCs w:val="14"/>
                <w:b w:val="1"/>
                <w:bCs w:val="1"/>
                <w:color w:val="auto"/>
                <w:w w:val="99"/>
              </w:rPr>
              <w:t>May 31,</w:t>
            </w: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center"/>
              <w:ind w:right="33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0" w:type="dxa"/>
            <w:vAlign w:val="bottom"/>
          </w:tcPr>
          <w:p>
            <w:pPr>
              <w:spacing w:after="0"/>
              <w:rPr>
                <w:sz w:val="1"/>
                <w:szCs w:val="1"/>
                <w:color w:val="auto"/>
              </w:rPr>
            </w:pPr>
          </w:p>
        </w:tc>
      </w:tr>
      <w:tr>
        <w:trPr>
          <w:trHeight w:val="249"/>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24,079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21,649</w:t>
            </w:r>
          </w:p>
        </w:tc>
        <w:tc>
          <w:tcPr>
            <w:tcW w:w="100" w:type="dxa"/>
            <w:vAlign w:val="bottom"/>
          </w:tcPr>
          <w:p>
            <w:pPr>
              <w:spacing w:after="0"/>
              <w:rPr>
                <w:sz w:val="21"/>
                <w:szCs w:val="21"/>
                <w:color w:val="auto"/>
              </w:rPr>
            </w:pPr>
          </w:p>
        </w:tc>
        <w:tc>
          <w:tcPr>
            <w:tcW w:w="2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12,765</w:t>
            </w:r>
          </w:p>
        </w:tc>
        <w:tc>
          <w:tcPr>
            <w:tcW w:w="120" w:type="dxa"/>
            <w:vAlign w:val="bottom"/>
          </w:tcPr>
          <w:p>
            <w:pPr>
              <w:spacing w:after="0"/>
              <w:rPr>
                <w:sz w:val="21"/>
                <w:szCs w:val="21"/>
                <w:color w:val="auto"/>
              </w:rPr>
            </w:pPr>
          </w:p>
        </w:tc>
        <w:tc>
          <w:tcPr>
            <w:tcW w:w="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22,725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8,846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7,768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5,306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7,774</w:t>
            </w:r>
          </w:p>
        </w:tc>
        <w:tc>
          <w:tcPr>
            <w:tcW w:w="0" w:type="dxa"/>
            <w:vAlign w:val="bottom"/>
          </w:tcPr>
          <w:p>
            <w:pPr>
              <w:spacing w:after="0"/>
              <w:rPr>
                <w:sz w:val="1"/>
                <w:szCs w:val="1"/>
                <w:color w:val="auto"/>
              </w:rPr>
            </w:pPr>
          </w:p>
        </w:tc>
      </w:tr>
      <w:tr>
        <w:trPr>
          <w:trHeight w:val="243"/>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22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2,323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34,413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31,383</w:t>
            </w:r>
          </w:p>
        </w:tc>
        <w:tc>
          <w:tcPr>
            <w:tcW w:w="100" w:type="dxa"/>
            <w:vAlign w:val="bottom"/>
          </w:tcPr>
          <w:p>
            <w:pPr>
              <w:spacing w:after="0"/>
              <w:rPr>
                <w:sz w:val="20"/>
                <w:szCs w:val="20"/>
                <w:color w:val="auto"/>
              </w:rPr>
            </w:pPr>
          </w:p>
        </w:tc>
        <w:tc>
          <w:tcPr>
            <w:tcW w:w="240" w:type="dxa"/>
            <w:vAlign w:val="bottom"/>
            <w:tcBorders>
              <w:top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19,199</w:t>
            </w:r>
          </w:p>
        </w:tc>
        <w:tc>
          <w:tcPr>
            <w:tcW w:w="120" w:type="dxa"/>
            <w:vAlign w:val="bottom"/>
          </w:tcPr>
          <w:p>
            <w:pPr>
              <w:spacing w:after="0"/>
              <w:rPr>
                <w:sz w:val="20"/>
                <w:szCs w:val="20"/>
                <w:color w:val="auto"/>
              </w:rPr>
            </w:pPr>
          </w:p>
        </w:tc>
        <w:tc>
          <w:tcPr>
            <w:tcW w:w="420" w:type="dxa"/>
            <w:vAlign w:val="bottom"/>
            <w:tcBorders>
              <w:top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32,474</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49"/>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98,362</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46,864</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13,899</w:t>
            </w:r>
          </w:p>
        </w:tc>
        <w:tc>
          <w:tcPr>
            <w:tcW w:w="0" w:type="dxa"/>
            <w:vAlign w:val="bottom"/>
          </w:tcPr>
          <w:p>
            <w:pPr>
              <w:spacing w:after="0"/>
              <w:rPr>
                <w:sz w:val="1"/>
                <w:szCs w:val="1"/>
                <w:color w:val="auto"/>
              </w:rPr>
            </w:pPr>
          </w:p>
        </w:tc>
      </w:tr>
      <w:tr>
        <w:trPr>
          <w:trHeight w:val="243"/>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2,261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111,395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63,739</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334"/>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0" w:type="dxa"/>
            <w:vAlign w:val="bottom"/>
          </w:tcPr>
          <w:p>
            <w:pPr>
              <w:spacing w:after="0"/>
              <w:rPr>
                <w:sz w:val="1"/>
                <w:szCs w:val="1"/>
                <w:color w:val="auto"/>
              </w:rPr>
            </w:pPr>
          </w:p>
        </w:tc>
      </w:tr>
      <w:tr>
        <w:trPr>
          <w:trHeight w:val="249"/>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523,506</w:t>
            </w:r>
          </w:p>
        </w:tc>
        <w:tc>
          <w:tcPr>
            <w:tcW w:w="120" w:type="dxa"/>
            <w:vAlign w:val="bottom"/>
          </w:tcPr>
          <w:p>
            <w:pPr>
              <w:spacing w:after="0"/>
              <w:rPr>
                <w:sz w:val="21"/>
                <w:szCs w:val="21"/>
                <w:color w:val="auto"/>
              </w:rPr>
            </w:pPr>
          </w:p>
        </w:tc>
        <w:tc>
          <w:tcPr>
            <w:tcW w:w="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377,585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146,535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150,779</w:t>
            </w:r>
          </w:p>
        </w:tc>
        <w:tc>
          <w:tcPr>
            <w:tcW w:w="0" w:type="dxa"/>
            <w:vAlign w:val="bottom"/>
          </w:tcPr>
          <w:p>
            <w:pPr>
              <w:spacing w:after="0"/>
              <w:rPr>
                <w:sz w:val="1"/>
                <w:szCs w:val="1"/>
                <w:color w:val="auto"/>
              </w:rPr>
            </w:pPr>
          </w:p>
        </w:tc>
      </w:tr>
      <w:tr>
        <w:trPr>
          <w:trHeight w:val="243"/>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12,264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12,733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11,732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13,344</w:t>
            </w: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694,037</w:t>
            </w:r>
          </w:p>
        </w:tc>
        <w:tc>
          <w:tcPr>
            <w:tcW w:w="120" w:type="dxa"/>
            <w:vAlign w:val="bottom"/>
          </w:tcPr>
          <w:p>
            <w:pPr>
              <w:spacing w:after="0"/>
              <w:rPr>
                <w:sz w:val="20"/>
                <w:szCs w:val="20"/>
                <w:color w:val="auto"/>
              </w:rPr>
            </w:pPr>
          </w:p>
        </w:tc>
        <w:tc>
          <w:tcPr>
            <w:tcW w:w="420" w:type="dxa"/>
            <w:vAlign w:val="bottom"/>
            <w:tcBorders>
              <w:top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554,441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and long-lived assets by geographic area was as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121" w:right="2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Transition</w:t>
            </w:r>
          </w:p>
        </w:tc>
        <w:tc>
          <w:tcPr>
            <w:tcW w:w="13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0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50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Period ended</w:t>
            </w:r>
          </w:p>
        </w:tc>
        <w:tc>
          <w:tcPr>
            <w:tcW w:w="13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5"/>
            <w:vMerge w:val="continue"/>
          </w:tcPr>
          <w:p>
            <w:pPr>
              <w:spacing w:after="0"/>
              <w:rPr>
                <w:sz w:val="16"/>
                <w:szCs w:val="16"/>
                <w:color w:val="auto"/>
              </w:rPr>
            </w:pPr>
          </w:p>
        </w:tc>
        <w:tc>
          <w:tcPr>
            <w:tcW w:w="15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w w:val="99"/>
              </w:rPr>
              <w:t>May 31,</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0" w:type="dxa"/>
            <w:vAlign w:val="bottom"/>
          </w:tcPr>
          <w:p>
            <w:pPr>
              <w:spacing w:after="0"/>
              <w:rPr>
                <w:sz w:val="1"/>
                <w:szCs w:val="1"/>
                <w:color w:val="auto"/>
              </w:rPr>
            </w:pP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487,414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466,683</w:t>
            </w:r>
          </w:p>
        </w:tc>
        <w:tc>
          <w:tcPr>
            <w:tcW w:w="100" w:type="dxa"/>
            <w:vAlign w:val="bottom"/>
          </w:tcPr>
          <w:p>
            <w:pPr>
              <w:spacing w:after="0"/>
              <w:rPr>
                <w:sz w:val="21"/>
                <w:szCs w:val="21"/>
                <w:color w:val="auto"/>
              </w:rPr>
            </w:pP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256,926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519,361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Americas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98,248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86,870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41,777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67,809</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143,312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132,421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91,847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118,566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Asia-Pacific</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13,380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14,996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13,611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13,445</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742,354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700,970</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404,161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719,181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5"/>
        </w:trPr>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7"/>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230,140</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237,616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Americas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177,628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36,011</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76,781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80,693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484,549</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354,320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Repurchase of Common Stock</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October 7, 2015, the Company's Board of Directors approved a $50 million stock repurchase plan. As part of this plan, on August 17, 2016, the Company entered into an agreement with its Chairman and then CEO, Dr. Sotirios Vahaviolos, to purchase up to 1 million of his shares, commencing in October 2016. Pursuant to the agreement, in general, the Company agreed to purchase from Dr. Vahaviolos up to $2 million of shares each month, at a 2% discount to the average daily price of the Company's common stock for the preceding month. During the transition period ended December 31, 2016, the Company purchased approximately 274,000 shares from Dr. Vahaviolos at an average price of $21.90 per share and an aggregate cost of $6.0 million as well as 146,000 shares in the open market at an average price of $20.48 per share and an aggregate cost of approximately $3.0 million. During the year ended December 31, 2017, the Company purchased approximately 726,000 shares from Dr. Vahaviolos at an average price of $21.93 per share and an aggregate cost of $15.9 million. From the inception of the plan through December 31, 2017, the Company purchased 1,000,000 shares from Dr. Vahaviolos at an average price of $21.92 per share for an aggregate cost of approximately $21.9 million.</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retired all of its repurchased shares during the fourth quarter of 2017 and they are not included in common stock issued and outstanding as of December 31, 2017. As of December 31, 2018, approximately $25.1 million remained available to repurchase shares under the stock repurchase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Twelve Months Ended December 31, 2016 and Seven Months Ended December 31, 2015 Comparative Data (Unaudited)</w:t>
      </w:r>
    </w:p>
    <w:p>
      <w:pPr>
        <w:spacing w:after="0" w:line="3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condensed consolidated statement of income for the twelve months ended December 31, 2016 and the seven months ended December 31, 2015 is as follows: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21"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6540" w:type="dxa"/>
            <w:vAlign w:val="bottom"/>
            <w:gridSpan w:val="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Table of Contents</w:t>
              </w:r>
            </w:hyperlink>
          </w:p>
        </w:tc>
        <w:tc>
          <w:tcPr>
            <w:tcW w:w="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619"/>
        </w:trPr>
        <w:tc>
          <w:tcPr>
            <w:tcW w:w="1280" w:type="dxa"/>
            <w:vAlign w:val="bottom"/>
            <w:tcBorders>
              <w:top w:val="single" w:sz="8" w:color="0000EE"/>
            </w:tcBorders>
          </w:tcPr>
          <w:p>
            <w:pPr>
              <w:spacing w:after="0"/>
              <w:rPr>
                <w:sz w:val="24"/>
                <w:szCs w:val="24"/>
                <w:color w:val="auto"/>
              </w:rPr>
            </w:pPr>
          </w:p>
        </w:tc>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320" w:type="dxa"/>
            <w:vAlign w:val="bottom"/>
          </w:tcPr>
          <w:p>
            <w:pPr>
              <w:spacing w:after="0"/>
              <w:rPr>
                <w:sz w:val="24"/>
                <w:szCs w:val="24"/>
                <w:color w:val="auto"/>
              </w:rPr>
            </w:pPr>
          </w:p>
        </w:tc>
        <w:tc>
          <w:tcPr>
            <w:tcW w:w="2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Seven Months Ended</w:t>
            </w:r>
          </w:p>
        </w:tc>
      </w:tr>
      <w:tr>
        <w:trPr>
          <w:trHeight w:val="238"/>
        </w:trPr>
        <w:tc>
          <w:tcPr>
            <w:tcW w:w="128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320" w:type="dxa"/>
            <w:vAlign w:val="bottom"/>
          </w:tcPr>
          <w:p>
            <w:pPr>
              <w:spacing w:after="0"/>
              <w:rPr>
                <w:sz w:val="20"/>
                <w:szCs w:val="20"/>
                <w:color w:val="auto"/>
              </w:rPr>
            </w:pPr>
          </w:p>
        </w:tc>
        <w:tc>
          <w:tcPr>
            <w:tcW w:w="2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7"/>
        </w:trPr>
        <w:tc>
          <w:tcPr>
            <w:tcW w:w="128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gridSpan w:val="3"/>
          </w:tcPr>
          <w:p>
            <w:pPr>
              <w:spacing w:after="0"/>
              <w:rPr>
                <w:sz w:val="2"/>
                <w:szCs w:val="2"/>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jc w:val="right"/>
              <w:ind w:right="1890"/>
              <w:spacing w:after="0"/>
              <w:rPr>
                <w:sz w:val="20"/>
                <w:szCs w:val="20"/>
                <w:color w:val="auto"/>
              </w:rPr>
            </w:pPr>
            <w:r>
              <w:rPr>
                <w:rFonts w:ascii="Times New Roman" w:cs="Times New Roman" w:eastAsia="Times New Roman" w:hAnsi="Times New Roman"/>
                <w:sz w:val="18"/>
                <w:szCs w:val="18"/>
                <w:b w:val="1"/>
                <w:bCs w:val="1"/>
                <w:color w:val="auto"/>
              </w:rPr>
              <w:t>(unaudited)</w:t>
            </w: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684,762</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427,913</w:t>
            </w:r>
          </w:p>
        </w:tc>
      </w:tr>
      <w:tr>
        <w:trPr>
          <w:trHeight w:val="27"/>
        </w:trPr>
        <w:tc>
          <w:tcPr>
            <w:tcW w:w="128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468,929</w:t>
            </w:r>
          </w:p>
        </w:tc>
        <w:tc>
          <w:tcPr>
            <w:tcW w:w="3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292,718</w:t>
            </w: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21"/>
                <w:szCs w:val="21"/>
                <w:color w:val="auto"/>
              </w:rPr>
            </w:pPr>
          </w:p>
        </w:tc>
        <w:tc>
          <w:tcPr>
            <w:tcW w:w="2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21,699</w:t>
            </w:r>
          </w:p>
        </w:tc>
        <w:tc>
          <w:tcPr>
            <w:tcW w:w="32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12,005</w:t>
            </w:r>
          </w:p>
        </w:tc>
      </w:tr>
      <w:tr>
        <w:trPr>
          <w:trHeight w:val="27"/>
        </w:trPr>
        <w:tc>
          <w:tcPr>
            <w:tcW w:w="128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194,134</w:t>
            </w:r>
          </w:p>
        </w:tc>
        <w:tc>
          <w:tcPr>
            <w:tcW w:w="3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123,190</w:t>
            </w: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21"/>
                <w:szCs w:val="21"/>
                <w:color w:val="auto"/>
              </w:rPr>
            </w:pPr>
          </w:p>
        </w:tc>
        <w:tc>
          <w:tcPr>
            <w:tcW w:w="2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148,914</w:t>
            </w:r>
          </w:p>
        </w:tc>
        <w:tc>
          <w:tcPr>
            <w:tcW w:w="32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81,117</w:t>
            </w:r>
          </w:p>
        </w:tc>
      </w:tr>
      <w:tr>
        <w:trPr>
          <w:trHeight w:val="27"/>
        </w:trPr>
        <w:tc>
          <w:tcPr>
            <w:tcW w:w="128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engineering</w:t>
            </w:r>
          </w:p>
        </w:tc>
        <w:tc>
          <w:tcPr>
            <w:tcW w:w="2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2,670</w:t>
            </w:r>
          </w:p>
        </w:tc>
        <w:tc>
          <w:tcPr>
            <w:tcW w:w="3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1,431</w:t>
            </w: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2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10,689</w:t>
            </w:r>
          </w:p>
        </w:tc>
        <w:tc>
          <w:tcPr>
            <w:tcW w:w="32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6,503</w:t>
            </w:r>
          </w:p>
        </w:tc>
      </w:tr>
      <w:tr>
        <w:trPr>
          <w:trHeight w:val="27"/>
        </w:trPr>
        <w:tc>
          <w:tcPr>
            <w:tcW w:w="128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Litigation charges</w:t>
            </w:r>
          </w:p>
        </w:tc>
        <w:tc>
          <w:tcPr>
            <w:tcW w:w="2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6,320</w:t>
            </w:r>
          </w:p>
        </w:tc>
        <w:tc>
          <w:tcPr>
            <w:tcW w:w="3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Acquisition-related benefit, net</w:t>
            </w:r>
          </w:p>
        </w:tc>
        <w:tc>
          <w:tcPr>
            <w:tcW w:w="22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7"/>
        </w:trPr>
        <w:tc>
          <w:tcPr>
            <w:tcW w:w="128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25,546</w:t>
            </w:r>
          </w:p>
        </w:tc>
        <w:tc>
          <w:tcPr>
            <w:tcW w:w="3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35,098</w:t>
            </w: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21"/>
                <w:szCs w:val="21"/>
                <w:color w:val="auto"/>
              </w:rPr>
            </w:pPr>
          </w:p>
        </w:tc>
        <w:tc>
          <w:tcPr>
            <w:tcW w:w="2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3,075</w:t>
            </w:r>
          </w:p>
        </w:tc>
        <w:tc>
          <w:tcPr>
            <w:tcW w:w="32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3,672</w:t>
            </w:r>
          </w:p>
        </w:tc>
      </w:tr>
      <w:tr>
        <w:trPr>
          <w:trHeight w:val="27"/>
        </w:trPr>
        <w:tc>
          <w:tcPr>
            <w:tcW w:w="128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22,471</w:t>
            </w:r>
          </w:p>
        </w:tc>
        <w:tc>
          <w:tcPr>
            <w:tcW w:w="3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31,426</w:t>
            </w: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21"/>
                <w:szCs w:val="21"/>
                <w:color w:val="auto"/>
              </w:rPr>
            </w:pPr>
          </w:p>
        </w:tc>
        <w:tc>
          <w:tcPr>
            <w:tcW w:w="2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8,008</w:t>
            </w:r>
          </w:p>
        </w:tc>
        <w:tc>
          <w:tcPr>
            <w:tcW w:w="32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11,627</w:t>
            </w:r>
          </w:p>
        </w:tc>
      </w:tr>
      <w:tr>
        <w:trPr>
          <w:trHeight w:val="27"/>
        </w:trPr>
        <w:tc>
          <w:tcPr>
            <w:tcW w:w="128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14,463</w:t>
            </w:r>
          </w:p>
        </w:tc>
        <w:tc>
          <w:tcPr>
            <w:tcW w:w="3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19,799</w:t>
            </w: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20" w:type="dxa"/>
            <w:vAlign w:val="bottom"/>
          </w:tcPr>
          <w:p>
            <w:pPr>
              <w:spacing w:after="0"/>
              <w:rPr>
                <w:sz w:val="21"/>
                <w:szCs w:val="21"/>
                <w:color w:val="auto"/>
              </w:rPr>
            </w:pPr>
          </w:p>
        </w:tc>
        <w:tc>
          <w:tcPr>
            <w:tcW w:w="2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128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57"/>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available to Mistras Group, Inc. shareholders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14,409</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19,814</w:t>
            </w:r>
          </w:p>
        </w:tc>
      </w:tr>
      <w:tr>
        <w:trPr>
          <w:trHeight w:val="20"/>
        </w:trPr>
        <w:tc>
          <w:tcPr>
            <w:tcW w:w="12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30"/>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0.50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0.69</w:t>
            </w:r>
          </w:p>
        </w:tc>
      </w:tr>
      <w:tr>
        <w:trPr>
          <w:trHeight w:val="27"/>
        </w:trPr>
        <w:tc>
          <w:tcPr>
            <w:tcW w:w="128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 Diluted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0.48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0.67</w:t>
            </w: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28,960</w:t>
            </w:r>
          </w:p>
        </w:tc>
        <w:tc>
          <w:tcPr>
            <w:tcW w:w="3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28,810</w:t>
            </w: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1"/>
                <w:szCs w:val="21"/>
                <w:color w:val="auto"/>
              </w:rPr>
            </w:pPr>
          </w:p>
        </w:tc>
        <w:tc>
          <w:tcPr>
            <w:tcW w:w="2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30,114</w:t>
            </w:r>
          </w:p>
        </w:tc>
        <w:tc>
          <w:tcPr>
            <w:tcW w:w="32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29,676</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Selected Quarterly Financial Information (unaudited)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quarterly results of operations for calendar years 2018, 2017 and 2016.</w:t>
      </w: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Fiscal quarter ended</w:t>
            </w:r>
          </w:p>
        </w:tc>
        <w:tc>
          <w:tcPr>
            <w:tcW w:w="1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December 31, 2018</w:t>
            </w: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September 30, 2018</w:t>
            </w:r>
          </w:p>
        </w:tc>
        <w:tc>
          <w:tcPr>
            <w:tcW w:w="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June 30, 2018</w:t>
            </w:r>
          </w:p>
        </w:tc>
        <w:tc>
          <w:tcPr>
            <w:tcW w:w="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March 31, 2018</w:t>
            </w:r>
          </w:p>
        </w:tc>
      </w:tr>
      <w:tr>
        <w:trPr>
          <w:trHeight w:val="270"/>
        </w:trPr>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Revenues</w:t>
            </w: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180,762</w:t>
            </w:r>
          </w:p>
        </w:tc>
        <w:tc>
          <w:tcPr>
            <w:tcW w:w="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182,169</w:t>
            </w:r>
          </w:p>
        </w:tc>
        <w:tc>
          <w:tcPr>
            <w:tcW w:w="3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191,793</w:t>
            </w:r>
          </w:p>
        </w:tc>
        <w:tc>
          <w:tcPr>
            <w:tcW w:w="3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187,630</w:t>
            </w:r>
          </w:p>
        </w:tc>
      </w:tr>
      <w:tr>
        <w:trPr>
          <w:trHeight w:val="262"/>
        </w:trPr>
        <w:tc>
          <w:tcPr>
            <w:tcW w:w="37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Gross Profit</w:t>
            </w:r>
          </w:p>
        </w:tc>
        <w:tc>
          <w:tcPr>
            <w:tcW w:w="1100" w:type="dxa"/>
            <w:vAlign w:val="bottom"/>
          </w:tcPr>
          <w:p>
            <w:pPr>
              <w:spacing w:after="0"/>
              <w:rPr>
                <w:sz w:val="22"/>
                <w:szCs w:val="22"/>
                <w:color w:val="auto"/>
              </w:rPr>
            </w:pPr>
          </w:p>
        </w:tc>
        <w:tc>
          <w:tcPr>
            <w:tcW w:w="1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52,315</w:t>
            </w:r>
          </w:p>
        </w:tc>
        <w:tc>
          <w:tcPr>
            <w:tcW w:w="280" w:type="dxa"/>
            <w:vAlign w:val="bottom"/>
          </w:tcPr>
          <w:p>
            <w:pPr>
              <w:spacing w:after="0"/>
              <w:rPr>
                <w:sz w:val="22"/>
                <w:szCs w:val="22"/>
                <w:color w:val="auto"/>
              </w:rPr>
            </w:pPr>
          </w:p>
        </w:tc>
        <w:tc>
          <w:tcPr>
            <w:tcW w:w="14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52,332</w:t>
            </w:r>
          </w:p>
        </w:tc>
        <w:tc>
          <w:tcPr>
            <w:tcW w:w="320" w:type="dxa"/>
            <w:vAlign w:val="bottom"/>
          </w:tcPr>
          <w:p>
            <w:pPr>
              <w:spacing w:after="0"/>
              <w:rPr>
                <w:sz w:val="22"/>
                <w:szCs w:val="22"/>
                <w:color w:val="auto"/>
              </w:rPr>
            </w:pPr>
          </w:p>
        </w:tc>
        <w:tc>
          <w:tcPr>
            <w:tcW w:w="13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55,083</w:t>
            </w:r>
          </w:p>
        </w:tc>
        <w:tc>
          <w:tcPr>
            <w:tcW w:w="320" w:type="dxa"/>
            <w:vAlign w:val="bottom"/>
          </w:tcPr>
          <w:p>
            <w:pPr>
              <w:spacing w:after="0"/>
              <w:rPr>
                <w:sz w:val="22"/>
                <w:szCs w:val="22"/>
                <w:color w:val="auto"/>
              </w:rPr>
            </w:pPr>
          </w:p>
        </w:tc>
        <w:tc>
          <w:tcPr>
            <w:tcW w:w="13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48,145</w:t>
            </w:r>
          </w:p>
        </w:tc>
      </w:tr>
      <w:tr>
        <w:trPr>
          <w:trHeight w:val="278"/>
        </w:trPr>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Income from operations</w:t>
            </w:r>
          </w:p>
        </w:tc>
        <w:tc>
          <w:tcPr>
            <w:tcW w:w="1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2,502</w:t>
            </w: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3,017</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8,409</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6,399</w:t>
            </w:r>
          </w:p>
        </w:tc>
      </w:tr>
      <w:tr>
        <w:trPr>
          <w:trHeight w:val="262"/>
        </w:trPr>
        <w:tc>
          <w:tcPr>
            <w:tcW w:w="37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income (loss) attributable to Mistras Group, Inc.</w:t>
            </w: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(1,061)</w:t>
            </w:r>
          </w:p>
        </w:tc>
        <w:tc>
          <w:tcPr>
            <w:tcW w:w="2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(1,010)</w:t>
            </w:r>
          </w:p>
        </w:tc>
        <w:tc>
          <w:tcPr>
            <w:tcW w:w="3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6,000</w:t>
            </w:r>
          </w:p>
        </w:tc>
        <w:tc>
          <w:tcPr>
            <w:tcW w:w="3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2,919</w:t>
            </w:r>
          </w:p>
        </w:tc>
      </w:tr>
      <w:tr>
        <w:trPr>
          <w:trHeight w:val="278"/>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Earnings (loss) per common share:</w:t>
            </w:r>
          </w:p>
        </w:tc>
        <w:tc>
          <w:tcPr>
            <w:tcW w:w="1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2"/>
        </w:trPr>
        <w:tc>
          <w:tcPr>
            <w:tcW w:w="37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Basic</w:t>
            </w: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(0.04)</w:t>
            </w:r>
          </w:p>
        </w:tc>
        <w:tc>
          <w:tcPr>
            <w:tcW w:w="2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(0.04)</w:t>
            </w:r>
          </w:p>
        </w:tc>
        <w:tc>
          <w:tcPr>
            <w:tcW w:w="3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0.21</w:t>
            </w:r>
          </w:p>
        </w:tc>
        <w:tc>
          <w:tcPr>
            <w:tcW w:w="3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0.10</w:t>
            </w:r>
          </w:p>
        </w:tc>
      </w:tr>
      <w:tr>
        <w:trPr>
          <w:trHeight w:val="278"/>
        </w:trPr>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Diluted</w:t>
            </w: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(0.04)</w:t>
            </w:r>
          </w:p>
        </w:tc>
        <w:tc>
          <w:tcPr>
            <w:tcW w:w="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(0.04)</w:t>
            </w:r>
          </w:p>
        </w:tc>
        <w:tc>
          <w:tcPr>
            <w:tcW w:w="3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0.20</w:t>
            </w:r>
          </w:p>
        </w:tc>
        <w:tc>
          <w:tcPr>
            <w:tcW w:w="3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0.10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108" w:right="23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Fiscal quarter ended</w:t>
            </w:r>
          </w:p>
        </w:tc>
        <w:tc>
          <w:tcPr>
            <w:tcW w:w="1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December 31, 2017</w:t>
            </w:r>
          </w:p>
        </w:tc>
        <w:tc>
          <w:tcPr>
            <w:tcW w:w="3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September 30, 2017</w:t>
            </w:r>
          </w:p>
        </w:tc>
        <w:tc>
          <w:tcPr>
            <w:tcW w:w="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June 30, 2017</w:t>
            </w: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March 31, 2017</w:t>
            </w:r>
          </w:p>
        </w:tc>
      </w:tr>
      <w:tr>
        <w:trPr>
          <w:trHeight w:val="270"/>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Revenues</w:t>
            </w:r>
          </w:p>
        </w:tc>
        <w:tc>
          <w:tcPr>
            <w:tcW w:w="11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187,643</w:t>
            </w:r>
          </w:p>
        </w:tc>
        <w:tc>
          <w:tcPr>
            <w:tcW w:w="3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179,570</w:t>
            </w:r>
          </w:p>
        </w:tc>
        <w:tc>
          <w:tcPr>
            <w:tcW w:w="3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170,439</w:t>
            </w:r>
          </w:p>
        </w:tc>
        <w:tc>
          <w:tcPr>
            <w:tcW w:w="3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163,318</w:t>
            </w:r>
          </w:p>
        </w:tc>
      </w:tr>
      <w:tr>
        <w:trPr>
          <w:trHeight w:val="262"/>
        </w:trPr>
        <w:tc>
          <w:tcPr>
            <w:tcW w:w="3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Gross Profit</w:t>
            </w:r>
          </w:p>
        </w:tc>
        <w:tc>
          <w:tcPr>
            <w:tcW w:w="1120" w:type="dxa"/>
            <w:vAlign w:val="bottom"/>
          </w:tcPr>
          <w:p>
            <w:pPr>
              <w:spacing w:after="0"/>
              <w:rPr>
                <w:sz w:val="22"/>
                <w:szCs w:val="22"/>
                <w:color w:val="auto"/>
              </w:rPr>
            </w:pPr>
          </w:p>
        </w:tc>
        <w:tc>
          <w:tcPr>
            <w:tcW w:w="1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50,319</w:t>
            </w:r>
          </w:p>
        </w:tc>
        <w:tc>
          <w:tcPr>
            <w:tcW w:w="300" w:type="dxa"/>
            <w:vAlign w:val="bottom"/>
          </w:tcPr>
          <w:p>
            <w:pPr>
              <w:spacing w:after="0"/>
              <w:rPr>
                <w:sz w:val="22"/>
                <w:szCs w:val="22"/>
                <w:color w:val="auto"/>
              </w:rPr>
            </w:pPr>
          </w:p>
        </w:tc>
        <w:tc>
          <w:tcPr>
            <w:tcW w:w="1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47,897</w:t>
            </w:r>
          </w:p>
        </w:tc>
        <w:tc>
          <w:tcPr>
            <w:tcW w:w="320" w:type="dxa"/>
            <w:vAlign w:val="bottom"/>
          </w:tcPr>
          <w:p>
            <w:pPr>
              <w:spacing w:after="0"/>
              <w:rPr>
                <w:sz w:val="22"/>
                <w:szCs w:val="22"/>
                <w:color w:val="auto"/>
              </w:rPr>
            </w:pPr>
          </w:p>
        </w:tc>
        <w:tc>
          <w:tcPr>
            <w:tcW w:w="13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46,343</w:t>
            </w:r>
          </w:p>
        </w:tc>
        <w:tc>
          <w:tcPr>
            <w:tcW w:w="340" w:type="dxa"/>
            <w:vAlign w:val="bottom"/>
          </w:tcPr>
          <w:p>
            <w:pPr>
              <w:spacing w:after="0"/>
              <w:rPr>
                <w:sz w:val="22"/>
                <w:szCs w:val="22"/>
                <w:color w:val="auto"/>
              </w:rPr>
            </w:pPr>
          </w:p>
        </w:tc>
        <w:tc>
          <w:tcPr>
            <w:tcW w:w="13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43,153</w:t>
            </w:r>
          </w:p>
        </w:tc>
      </w:tr>
      <w:tr>
        <w:trPr>
          <w:trHeight w:val="278"/>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(loss) from operations</w:t>
            </w:r>
          </w:p>
        </w:tc>
        <w:tc>
          <w:tcPr>
            <w:tcW w:w="1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6,282</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(10,375)</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5,003</w:t>
            </w: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3,250</w:t>
            </w:r>
          </w:p>
        </w:tc>
      </w:tr>
      <w:tr>
        <w:trPr>
          <w:trHeight w:val="262"/>
        </w:trPr>
        <w:tc>
          <w:tcPr>
            <w:tcW w:w="3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 (loss) attributable to Mistras Group, Inc.</w:t>
            </w: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884</w:t>
            </w:r>
          </w:p>
        </w:tc>
        <w:tc>
          <w:tcPr>
            <w:tcW w:w="3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(6,968)</w:t>
            </w:r>
          </w:p>
        </w:tc>
        <w:tc>
          <w:tcPr>
            <w:tcW w:w="3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2,217</w:t>
            </w:r>
          </w:p>
        </w:tc>
        <w:tc>
          <w:tcPr>
            <w:tcW w:w="3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1,692</w:t>
            </w:r>
          </w:p>
        </w:tc>
      </w:tr>
      <w:tr>
        <w:trPr>
          <w:trHeight w:val="278"/>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Earnings (loss) per common share:</w:t>
            </w:r>
          </w:p>
        </w:tc>
        <w:tc>
          <w:tcPr>
            <w:tcW w:w="1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2"/>
        </w:trPr>
        <w:tc>
          <w:tcPr>
            <w:tcW w:w="3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Basic</w:t>
            </w: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0.03</w:t>
            </w:r>
          </w:p>
        </w:tc>
        <w:tc>
          <w:tcPr>
            <w:tcW w:w="3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(0.25)</w:t>
            </w:r>
          </w:p>
        </w:tc>
        <w:tc>
          <w:tcPr>
            <w:tcW w:w="3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0.08</w:t>
            </w:r>
          </w:p>
        </w:tc>
        <w:tc>
          <w:tcPr>
            <w:tcW w:w="3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0.06</w:t>
            </w:r>
          </w:p>
        </w:tc>
      </w:tr>
      <w:tr>
        <w:trPr>
          <w:trHeight w:val="278"/>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Diluted</w:t>
            </w:r>
          </w:p>
        </w:tc>
        <w:tc>
          <w:tcPr>
            <w:tcW w:w="11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0.03</w:t>
            </w:r>
          </w:p>
        </w:tc>
        <w:tc>
          <w:tcPr>
            <w:tcW w:w="3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(0.25)</w:t>
            </w:r>
          </w:p>
        </w:tc>
        <w:tc>
          <w:tcPr>
            <w:tcW w:w="3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0.07</w:t>
            </w:r>
          </w:p>
        </w:tc>
        <w:tc>
          <w:tcPr>
            <w:tcW w:w="3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0.06</w:t>
            </w:r>
          </w:p>
        </w:tc>
      </w:tr>
    </w:tbl>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Fiscal quarter ended</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December 31, 2016</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September 30, 2016</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June 30, 2016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March 31, 2016</w:t>
            </w:r>
          </w:p>
        </w:tc>
      </w:tr>
      <w:tr>
        <w:trPr>
          <w:trHeight w:val="257"/>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Revenues</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170,156</w:t>
            </w:r>
          </w:p>
        </w:tc>
        <w:tc>
          <w:tcPr>
            <w:tcW w:w="140" w:type="dxa"/>
            <w:vAlign w:val="bottom"/>
          </w:tcPr>
          <w:p>
            <w:pPr>
              <w:spacing w:after="0"/>
              <w:rPr>
                <w:sz w:val="22"/>
                <w:szCs w:val="22"/>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168,811</w:t>
            </w:r>
          </w:p>
        </w:tc>
        <w:tc>
          <w:tcPr>
            <w:tcW w:w="120" w:type="dxa"/>
            <w:vAlign w:val="bottom"/>
          </w:tcPr>
          <w:p>
            <w:pPr>
              <w:spacing w:after="0"/>
              <w:rPr>
                <w:sz w:val="22"/>
                <w:szCs w:val="22"/>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178,340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167,455</w:t>
            </w:r>
          </w:p>
        </w:tc>
      </w:tr>
      <w:tr>
        <w:trPr>
          <w:trHeight w:val="262"/>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Gross Profit</w:t>
            </w:r>
          </w:p>
        </w:tc>
        <w:tc>
          <w:tcPr>
            <w:tcW w:w="200" w:type="dxa"/>
            <w:vAlign w:val="bottom"/>
          </w:tcPr>
          <w:p>
            <w:pPr>
              <w:spacing w:after="0"/>
              <w:rPr>
                <w:sz w:val="22"/>
                <w:szCs w:val="22"/>
                <w:color w:val="auto"/>
              </w:rPr>
            </w:pPr>
          </w:p>
        </w:tc>
        <w:tc>
          <w:tcPr>
            <w:tcW w:w="14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47,978</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50,651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51,535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43,970</w:t>
            </w:r>
          </w:p>
        </w:tc>
      </w:tr>
      <w:tr>
        <w:trPr>
          <w:trHeight w:val="278"/>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from operations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2,944</w:t>
            </w:r>
          </w:p>
        </w:tc>
        <w:tc>
          <w:tcPr>
            <w:tcW w:w="140" w:type="dxa"/>
            <w:vAlign w:val="bottom"/>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12,116</w:t>
            </w:r>
          </w:p>
        </w:tc>
        <w:tc>
          <w:tcPr>
            <w:tcW w:w="120" w:type="dxa"/>
            <w:vAlign w:val="bottom"/>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4,840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5,646</w:t>
            </w:r>
          </w:p>
        </w:tc>
      </w:tr>
      <w:tr>
        <w:trPr>
          <w:trHeight w:val="262"/>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Net income attributable to Mistras Group, Inc.</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963</w:t>
            </w:r>
          </w:p>
        </w:tc>
        <w:tc>
          <w:tcPr>
            <w:tcW w:w="32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7,238</w:t>
            </w:r>
          </w:p>
        </w:tc>
        <w:tc>
          <w:tcPr>
            <w:tcW w:w="3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2,761</w:t>
            </w:r>
          </w:p>
        </w:tc>
        <w:tc>
          <w:tcPr>
            <w:tcW w:w="100" w:type="dxa"/>
            <w:vAlign w:val="bottom"/>
          </w:tcPr>
          <w:p>
            <w:pPr>
              <w:spacing w:after="0"/>
              <w:rPr>
                <w:sz w:val="22"/>
                <w:szCs w:val="22"/>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3,447</w:t>
            </w:r>
          </w:p>
        </w:tc>
      </w:tr>
      <w:tr>
        <w:trPr>
          <w:trHeight w:val="278"/>
        </w:trPr>
        <w:tc>
          <w:tcPr>
            <w:tcW w:w="4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Earnings per common share:</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2"/>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Basic</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0.03</w:t>
            </w:r>
          </w:p>
        </w:tc>
        <w:tc>
          <w:tcPr>
            <w:tcW w:w="32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0.25</w:t>
            </w:r>
          </w:p>
        </w:tc>
        <w:tc>
          <w:tcPr>
            <w:tcW w:w="3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0.10</w:t>
            </w:r>
          </w:p>
        </w:tc>
        <w:tc>
          <w:tcPr>
            <w:tcW w:w="100" w:type="dxa"/>
            <w:vAlign w:val="bottom"/>
          </w:tcPr>
          <w:p>
            <w:pPr>
              <w:spacing w:after="0"/>
              <w:rPr>
                <w:sz w:val="22"/>
                <w:szCs w:val="22"/>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0.12</w:t>
            </w:r>
          </w:p>
        </w:tc>
      </w:tr>
      <w:tr>
        <w:trPr>
          <w:trHeight w:val="278"/>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Diluted</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0.03</w:t>
            </w:r>
          </w:p>
        </w:tc>
        <w:tc>
          <w:tcPr>
            <w:tcW w:w="140" w:type="dxa"/>
            <w:vAlign w:val="bottom"/>
          </w:tcPr>
          <w:p>
            <w:pPr>
              <w:spacing w:after="0"/>
              <w:rPr>
                <w:sz w:val="24"/>
                <w:szCs w:val="24"/>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0.24</w:t>
            </w:r>
          </w:p>
        </w:tc>
        <w:tc>
          <w:tcPr>
            <w:tcW w:w="120" w:type="dxa"/>
            <w:vAlign w:val="bottom"/>
          </w:tcPr>
          <w:p>
            <w:pPr>
              <w:spacing w:after="0"/>
              <w:rPr>
                <w:sz w:val="24"/>
                <w:szCs w:val="24"/>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0.09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0.11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Pursuant to Rule 13a-15(b) under the Exchange Act, our management carried out an evaluation, under the supervision and with the participation of our President and Chief Executive Officer and our Senior Vice President, Chief Financial Officer and Treasurer, of the effectiveness of the design and operation of our disclosure controls (as defined in Rule 13a-15(e) of the Exchange Act) and procedures. Based upon that evaluation, our President and Chief Executive Officer and our Senior Vice President, Chief Financial Officer and Treasurer concluded that, as of December 31, 2018, our disclosure controls and procedures were effective.</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Securities Exchange Act of 1934, as amended (the Exchange Act). Our internal control over financial reporting is a process designed by, or under the supervision of, our President and Chief Executive Officer and our Senior Vice President, Chief Financial Officer and Treasurer,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8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76" w:lineRule="exact"/>
        <w:rPr>
          <w:sz w:val="20"/>
          <w:szCs w:val="20"/>
          <w:color w:val="auto"/>
        </w:rPr>
      </w:pPr>
    </w:p>
    <w:p>
      <w:pPr>
        <w:ind w:right="380" w:firstLine="648"/>
        <w:spacing w:after="0" w:line="277" w:lineRule="auto"/>
        <w:rPr>
          <w:sz w:val="20"/>
          <w:szCs w:val="20"/>
          <w:color w:val="auto"/>
        </w:rPr>
      </w:pPr>
      <w:r>
        <w:rPr>
          <w:rFonts w:ascii="Times New Roman" w:cs="Times New Roman" w:eastAsia="Times New Roman" w:hAnsi="Times New Roman"/>
          <w:sz w:val="17"/>
          <w:szCs w:val="17"/>
          <w:color w:val="auto"/>
        </w:rPr>
        <w:t xml:space="preserve">Our management assessed the effectiveness of our internal control over financial reporting as of December 31, 2018. In making this assessment, management used the criteria set forth by the Committee of Sponsoring Organizations of the Treadway Commission (COSO) in the updated </w:t>
      </w:r>
      <w:r>
        <w:rPr>
          <w:rFonts w:ascii="Times New Roman" w:cs="Times New Roman" w:eastAsia="Times New Roman" w:hAnsi="Times New Roman"/>
          <w:sz w:val="17"/>
          <w:szCs w:val="17"/>
          <w:i w:val="1"/>
          <w:iCs w:val="1"/>
          <w:color w:val="auto"/>
        </w:rPr>
        <w:t>Internal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Control — Integrated Framework </w:t>
      </w:r>
      <w:r>
        <w:rPr>
          <w:rFonts w:ascii="Times New Roman" w:cs="Times New Roman" w:eastAsia="Times New Roman" w:hAnsi="Times New Roman"/>
          <w:sz w:val="17"/>
          <w:szCs w:val="17"/>
          <w:color w:val="auto"/>
        </w:rPr>
        <w:t>issued in 2013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acquired one entity during 2018, and management excluded from its assessment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effectiveness of the Company’s internal control over financial reporting as of December 31, 2018, this entity's internal control over financial reporting associated with total assets of 2.1% and total revenues of 0.1% included in the consolidated financial statements of the Company as of and for</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year ended December 31, 2018. Based on that assessment, excluding the one entity acquired during 2018 as noted above, our management concluded that, as of December 31, 2018, our internal control over financial reporting was effective.</w:t>
      </w:r>
    </w:p>
    <w:p>
      <w:pPr>
        <w:spacing w:after="0" w:line="162"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2018, has been audited by KPMG LLP, an independent registered public accounting firm, as stated in their report which appears herein.</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year ended December 31, 2018 that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Certain of the information concerning our executive officers required by this Item 10 is provided under the caption “Executive Officers of the Registrant” in Part I of this Annual Report. The remaining information required by Item 10 is incorporated herein by reference to the relevant information to be included in our definitive proxy statement related to the 2019 annual shareholders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is incorporated by reference to the information to be included in our definitive proxy statement related to the 2019 annual shareholders meeting.</w:t>
      </w:r>
    </w:p>
    <w:p>
      <w:pPr>
        <w:spacing w:after="0" w:line="158"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jc w:val="both"/>
        <w:ind w:right="400" w:firstLine="648"/>
        <w:spacing w:after="0" w:line="313" w:lineRule="auto"/>
        <w:rPr>
          <w:sz w:val="20"/>
          <w:szCs w:val="20"/>
          <w:color w:val="auto"/>
        </w:rPr>
      </w:pPr>
      <w:r>
        <w:rPr>
          <w:rFonts w:ascii="Times New Roman" w:cs="Times New Roman" w:eastAsia="Times New Roman" w:hAnsi="Times New Roman"/>
          <w:sz w:val="17"/>
          <w:szCs w:val="17"/>
          <w:color w:val="auto"/>
        </w:rPr>
        <w:t>The information required by Item 12 regarding Security Ownership of Certain Beneficial Owners and Management and Related Stockholders is incorporated by reference to the relevant information to be included in our definitive proxy statement related to the 2018 annual meeting of shareholders.</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60" w:firstLine="351"/>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as of December 31, 2018 concerning the shares of our common stock that may be issued under existing equity compensation plans.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2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202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4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02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95"/>
        </w:trPr>
        <w:tc>
          <w:tcPr>
            <w:tcW w:w="4820" w:type="dxa"/>
            <w:vAlign w:val="bottom"/>
            <w:gridSpan w:val="2"/>
            <w:vMerge w:val="continue"/>
          </w:tcPr>
          <w:p>
            <w:pPr>
              <w:spacing w:after="0"/>
              <w:rPr>
                <w:sz w:val="16"/>
                <w:szCs w:val="16"/>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202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250"/>
        </w:trPr>
        <w:tc>
          <w:tcPr>
            <w:tcW w:w="4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0" w:type="dxa"/>
            <w:vAlign w:val="bottom"/>
            <w:tcBorders>
              <w:top w:val="single" w:sz="8" w:color="auto"/>
            </w:tcBorders>
          </w:tcPr>
          <w:p>
            <w:pPr>
              <w:spacing w:after="0"/>
              <w:rPr>
                <w:sz w:val="21"/>
                <w:szCs w:val="21"/>
                <w:color w:val="auto"/>
              </w:rPr>
            </w:pPr>
          </w:p>
        </w:tc>
        <w:tc>
          <w:tcPr>
            <w:tcW w:w="2580" w:type="dxa"/>
            <w:vAlign w:val="bottom"/>
            <w:tcBorders>
              <w:top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exercise price data)</w:t>
            </w:r>
          </w:p>
        </w:tc>
        <w:tc>
          <w:tcPr>
            <w:tcW w:w="2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Compensation Plans Approved by Security Holders (1)</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13.47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324"/>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8"/>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13.43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Includes all the Company’s plans: 2007 Stock Option Plan, 2009 Long-Term Incentive Plan and 2016 Long-Term Incentive Plan.</w:t>
      </w:r>
    </w:p>
    <w:p>
      <w:pPr>
        <w:spacing w:after="0" w:line="243" w:lineRule="exact"/>
        <w:rPr>
          <w:sz w:val="20"/>
          <w:szCs w:val="20"/>
          <w:color w:val="auto"/>
        </w:rPr>
      </w:pPr>
    </w:p>
    <w:p>
      <w:pPr>
        <w:ind w:left="5620" w:right="2420" w:hanging="5615"/>
        <w:spacing w:after="0" w:line="568" w:lineRule="auto"/>
        <w:rPr>
          <w:sz w:val="20"/>
          <w:szCs w:val="20"/>
          <w:color w:val="auto"/>
        </w:rPr>
      </w:pPr>
      <w:r>
        <w:rPr>
          <w:rFonts w:ascii="Times New Roman" w:cs="Times New Roman" w:eastAsia="Times New Roman" w:hAnsi="Times New Roman"/>
          <w:sz w:val="18"/>
          <w:szCs w:val="18"/>
          <w:b w:val="1"/>
          <w:bCs w:val="1"/>
          <w:color w:val="auto"/>
        </w:rPr>
        <w:t xml:space="preserve">ITEM 13. CERTAIN RELATIONSHIPS AND RELATED TRANSACTIONS, AND DIRECTOR INDEPENDENCE </w:t>
      </w: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is incorporated by reference to the relevant information to be included in our definitive proxy statement related to the 2019 annual shareholders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is incorporated by reference to the information to be included in our definitive proxy statement related to the 2019 annual shareholders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following financial statements are filed herewith in Item 8 of Part II above:</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1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9"/>
        </w:trPr>
        <w:tc>
          <w:tcPr>
            <w:tcW w:w="10360" w:type="dxa"/>
            <w:vAlign w:val="bottom"/>
            <w:gridSpan w:val="12"/>
          </w:tcPr>
          <w:p>
            <w:pPr>
              <w:spacing w:after="0" w:line="170"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Report of independent registered public accounting firm</w:t>
              </w:r>
            </w:hyperlink>
          </w:p>
        </w:tc>
        <w:tc>
          <w:tcPr>
            <w:tcW w:w="1020" w:type="dxa"/>
            <w:vAlign w:val="bottom"/>
          </w:tcPr>
          <w:p>
            <w:pPr>
              <w:jc w:val="right"/>
              <w:ind w:right="12"/>
              <w:spacing w:after="0" w:line="170" w:lineRule="exact"/>
              <w:rPr>
                <w:sz w:val="20"/>
                <w:szCs w:val="20"/>
                <w:color w:val="auto"/>
              </w:rPr>
            </w:pPr>
            <w:r>
              <w:rPr>
                <w:rFonts w:ascii="Times New Roman" w:cs="Times New Roman" w:eastAsia="Times New Roman" w:hAnsi="Times New Roman"/>
                <w:sz w:val="18"/>
                <w:szCs w:val="18"/>
                <w:color w:val="auto"/>
              </w:rPr>
              <w:t>50</w:t>
            </w:r>
          </w:p>
        </w:tc>
      </w:tr>
      <w:tr>
        <w:trPr>
          <w:trHeight w:val="20"/>
        </w:trPr>
        <w:tc>
          <w:tcPr>
            <w:tcW w:w="1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64"/>
        </w:trPr>
        <w:tc>
          <w:tcPr>
            <w:tcW w:w="103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Consolidated Balance sheets as of December 31, 2018 and December 31, 2017</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1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00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Consolidated Statements of income (loss) for the years ended December 31, 2018 and 2017, the transition period ended December 31, 2016</w:t>
              </w:r>
            </w:hyperlink>
          </w:p>
        </w:tc>
        <w:tc>
          <w:tcPr>
            <w:tcW w:w="300" w:type="dxa"/>
            <w:vAlign w:val="bottom"/>
            <w:gridSpan w:val="2"/>
          </w:tcPr>
          <w:p>
            <w:pPr>
              <w:spacing w:after="0"/>
              <w:rPr>
                <w:sz w:val="21"/>
                <w:szCs w:val="21"/>
                <w:color w:val="auto"/>
              </w:rPr>
            </w:pPr>
          </w:p>
        </w:tc>
        <w:tc>
          <w:tcPr>
            <w:tcW w:w="1020" w:type="dxa"/>
            <w:vAlign w:val="bottom"/>
          </w:tcPr>
          <w:p>
            <w:pPr>
              <w:spacing w:after="0"/>
              <w:rPr>
                <w:sz w:val="21"/>
                <w:szCs w:val="21"/>
                <w:color w:val="auto"/>
              </w:rPr>
            </w:pPr>
          </w:p>
        </w:tc>
      </w:tr>
      <w:tr>
        <w:trPr>
          <w:trHeight w:val="196"/>
        </w:trPr>
        <w:tc>
          <w:tcPr>
            <w:tcW w:w="24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w:anchor="page54">
              <w:r>
                <w:rPr>
                  <w:rFonts w:ascii="Times New Roman" w:cs="Times New Roman" w:eastAsia="Times New Roman" w:hAnsi="Times New Roman"/>
                  <w:sz w:val="18"/>
                  <w:szCs w:val="18"/>
                  <w:color w:val="0000EE"/>
                  <w:w w:val="98"/>
                </w:rPr>
                <w:t>and the year ended May 31, 2016</w:t>
              </w:r>
            </w:hyperlink>
          </w:p>
        </w:tc>
        <w:tc>
          <w:tcPr>
            <w:tcW w:w="7960" w:type="dxa"/>
            <w:vAlign w:val="bottom"/>
            <w:gridSpan w:val="9"/>
          </w:tcPr>
          <w:p>
            <w:pPr>
              <w:spacing w:after="0"/>
              <w:rPr>
                <w:sz w:val="17"/>
                <w:szCs w:val="17"/>
                <w:color w:val="auto"/>
              </w:rPr>
            </w:pPr>
          </w:p>
        </w:tc>
        <w:tc>
          <w:tcPr>
            <w:tcW w:w="1020" w:type="dxa"/>
            <w:vAlign w:val="bottom"/>
          </w:tcPr>
          <w:p>
            <w:pPr>
              <w:jc w:val="right"/>
              <w:ind w:right="12"/>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250"/>
        </w:trPr>
        <w:tc>
          <w:tcPr>
            <w:tcW w:w="97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Consolidated Statements of comprehensive income (loss) for the years ended December 31, 2018 and 2017, the transition period ended</w:t>
              </w:r>
            </w:hyperlink>
          </w:p>
        </w:tc>
        <w:tc>
          <w:tcPr>
            <w:tcW w:w="620" w:type="dxa"/>
            <w:vAlign w:val="bottom"/>
            <w:gridSpan w:val="4"/>
          </w:tcPr>
          <w:p>
            <w:pPr>
              <w:spacing w:after="0"/>
              <w:rPr>
                <w:sz w:val="21"/>
                <w:szCs w:val="21"/>
                <w:color w:val="auto"/>
              </w:rPr>
            </w:pPr>
          </w:p>
        </w:tc>
        <w:tc>
          <w:tcPr>
            <w:tcW w:w="1020" w:type="dxa"/>
            <w:vAlign w:val="bottom"/>
          </w:tcPr>
          <w:p>
            <w:pPr>
              <w:spacing w:after="0"/>
              <w:rPr>
                <w:sz w:val="21"/>
                <w:szCs w:val="21"/>
                <w:color w:val="auto"/>
              </w:rPr>
            </w:pPr>
          </w:p>
        </w:tc>
      </w:tr>
      <w:tr>
        <w:trPr>
          <w:trHeight w:val="196"/>
        </w:trPr>
        <w:tc>
          <w:tcPr>
            <w:tcW w:w="38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December 31, 2016 and the year ended May 31, 2016</w:t>
              </w:r>
            </w:hyperlink>
          </w:p>
        </w:tc>
        <w:tc>
          <w:tcPr>
            <w:tcW w:w="6500" w:type="dxa"/>
            <w:vAlign w:val="bottom"/>
            <w:gridSpan w:val="7"/>
          </w:tcPr>
          <w:p>
            <w:pPr>
              <w:spacing w:after="0"/>
              <w:rPr>
                <w:sz w:val="17"/>
                <w:szCs w:val="17"/>
                <w:color w:val="auto"/>
              </w:rPr>
            </w:pPr>
          </w:p>
        </w:tc>
        <w:tc>
          <w:tcPr>
            <w:tcW w:w="1020" w:type="dxa"/>
            <w:vAlign w:val="bottom"/>
          </w:tcPr>
          <w:p>
            <w:pPr>
              <w:jc w:val="right"/>
              <w:ind w:right="12"/>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250"/>
        </w:trPr>
        <w:tc>
          <w:tcPr>
            <w:tcW w:w="100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Consolidated Statements of equity for the year ended December 31, 2018 and 2017, the transition period ended December 31, 2016 and the</w:t>
              </w:r>
            </w:hyperlink>
          </w:p>
        </w:tc>
        <w:tc>
          <w:tcPr>
            <w:tcW w:w="320" w:type="dxa"/>
            <w:vAlign w:val="bottom"/>
            <w:gridSpan w:val="3"/>
          </w:tcPr>
          <w:p>
            <w:pPr>
              <w:spacing w:after="0"/>
              <w:rPr>
                <w:sz w:val="21"/>
                <w:szCs w:val="21"/>
                <w:color w:val="auto"/>
              </w:rPr>
            </w:pPr>
          </w:p>
        </w:tc>
        <w:tc>
          <w:tcPr>
            <w:tcW w:w="1020" w:type="dxa"/>
            <w:vAlign w:val="bottom"/>
          </w:tcPr>
          <w:p>
            <w:pPr>
              <w:spacing w:after="0"/>
              <w:rPr>
                <w:sz w:val="21"/>
                <w:szCs w:val="21"/>
                <w:color w:val="auto"/>
              </w:rPr>
            </w:pPr>
          </w:p>
        </w:tc>
      </w:tr>
      <w:tr>
        <w:trPr>
          <w:trHeight w:val="196"/>
        </w:trPr>
        <w:tc>
          <w:tcPr>
            <w:tcW w:w="10360" w:type="dxa"/>
            <w:vAlign w:val="bottom"/>
            <w:gridSpan w:val="12"/>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year ended May 31, 2016</w:t>
              </w:r>
            </w:hyperlink>
          </w:p>
        </w:tc>
        <w:tc>
          <w:tcPr>
            <w:tcW w:w="1020" w:type="dxa"/>
            <w:vAlign w:val="bottom"/>
          </w:tcPr>
          <w:p>
            <w:pPr>
              <w:jc w:val="right"/>
              <w:ind w:right="12"/>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20"/>
        </w:trPr>
        <w:tc>
          <w:tcPr>
            <w:tcW w:w="18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12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01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Consolidated Statements of cash flows for the years ended December 31, 2018 and 2017, the transition period ended December 31, 2016 and</w:t>
              </w:r>
            </w:hyperlink>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196"/>
        </w:trPr>
        <w:tc>
          <w:tcPr>
            <w:tcW w:w="21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the year ended May 31, 2016</w:t>
              </w:r>
            </w:hyperlink>
          </w:p>
        </w:tc>
        <w:tc>
          <w:tcPr>
            <w:tcW w:w="8260" w:type="dxa"/>
            <w:vAlign w:val="bottom"/>
            <w:gridSpan w:val="10"/>
          </w:tcPr>
          <w:p>
            <w:pPr>
              <w:spacing w:after="0"/>
              <w:rPr>
                <w:sz w:val="17"/>
                <w:szCs w:val="17"/>
                <w:color w:val="auto"/>
              </w:rPr>
            </w:pPr>
          </w:p>
        </w:tc>
        <w:tc>
          <w:tcPr>
            <w:tcW w:w="1020" w:type="dxa"/>
            <w:vAlign w:val="bottom"/>
          </w:tcPr>
          <w:p>
            <w:pPr>
              <w:jc w:val="right"/>
              <w:ind w:right="12"/>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250"/>
        </w:trPr>
        <w:tc>
          <w:tcPr>
            <w:tcW w:w="30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Notes to consolidated financial statements</w:t>
              </w:r>
            </w:hyperlink>
          </w:p>
        </w:tc>
        <w:tc>
          <w:tcPr>
            <w:tcW w:w="7320" w:type="dxa"/>
            <w:vAlign w:val="bottom"/>
            <w:gridSpan w:val="8"/>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w:t>
            </w:r>
          </w:p>
        </w:tc>
      </w:tr>
    </w:tbl>
    <w:p>
      <w:pPr>
        <w:spacing w:after="0" w:line="25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Financial Statement Schedules</w:t>
      </w:r>
    </w:p>
    <w:p>
      <w:pPr>
        <w:spacing w:after="0" w:line="266"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of the absence of conditions under which they are required or because the required information is given in the financial statements or notes thereto.</w:t>
      </w:r>
    </w:p>
    <w:p>
      <w:pPr>
        <w:spacing w:after="0" w:line="16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Exhibits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700" w:type="dxa"/>
            <w:vAlign w:val="bottom"/>
            <w:gridSpan w:val="12"/>
          </w:tcPr>
          <w:p>
            <w:pPr>
              <w:ind w:left="36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1"/>
        </w:trPr>
        <w:tc>
          <w:tcPr>
            <w:tcW w:w="1460" w:type="dxa"/>
            <w:vAlign w:val="bottom"/>
            <w:tcBorders>
              <w:top w:val="single" w:sz="8" w:color="auto"/>
            </w:tcBorders>
          </w:tcPr>
          <w:p>
            <w:pPr>
              <w:ind w:left="40"/>
              <w:spacing w:after="0" w:line="201"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440" w:type="dxa"/>
            <w:vAlign w:val="bottom"/>
            <w:tcBorders>
              <w:top w:val="single" w:sz="8" w:color="auto"/>
            </w:tcBorders>
            <w:gridSpan w:val="13"/>
          </w:tcPr>
          <w:p>
            <w:pPr>
              <w:spacing w:after="0" w:line="201"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Membership Interest Purchase Agreement, dated December 15, 2017, among Mistras Group, Inc., WPT Holdings Inc., West Penn</w:t>
              </w:r>
            </w:hyperlink>
          </w:p>
        </w:tc>
      </w:tr>
      <w:tr>
        <w:trPr>
          <w:trHeight w:val="196"/>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2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Non-Destructive Testing, LLC (formerly known as West Penn Non-Destructive Testing, Inc.), N. David Campbell and James C.</w:t>
              </w:r>
            </w:hyperlink>
          </w:p>
        </w:tc>
        <w:tc>
          <w:tcPr>
            <w:tcW w:w="140" w:type="dxa"/>
            <w:vAlign w:val="bottom"/>
            <w:tcBorders>
              <w:top w:val="single" w:sz="8" w:color="0000FF"/>
            </w:tcBorders>
            <w:gridSpan w:val="2"/>
          </w:tcPr>
          <w:p>
            <w:pPr>
              <w:spacing w:after="0"/>
              <w:rPr>
                <w:sz w:val="17"/>
                <w:szCs w:val="17"/>
                <w:color w:val="auto"/>
              </w:rPr>
            </w:pPr>
          </w:p>
        </w:tc>
        <w:tc>
          <w:tcPr>
            <w:tcW w:w="80" w:type="dxa"/>
            <w:vAlign w:val="bottom"/>
            <w:gridSpan w:val="2"/>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13"/>
          </w:tcPr>
          <w:p>
            <w:pPr>
              <w:spacing w:after="0" w:line="19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DeChellis III (filed as exhibit 2.1 to the Current Report on Form 8-K filed on December 21, 2017 and incorporated herein by</w:t>
              </w:r>
            </w:hyperlink>
          </w:p>
        </w:tc>
      </w:tr>
      <w:tr>
        <w:trPr>
          <w:trHeight w:val="196"/>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57">
              <w:r>
                <w:rPr>
                  <w:rFonts w:ascii="Times New Roman" w:cs="Times New Roman" w:eastAsia="Times New Roman" w:hAnsi="Times New Roman"/>
                  <w:sz w:val="18"/>
                  <w:szCs w:val="18"/>
                  <w:color w:val="0000FF"/>
                  <w:w w:val="98"/>
                </w:rPr>
                <w:t>reference)</w:t>
              </w:r>
            </w:hyperlink>
          </w:p>
        </w:tc>
        <w:tc>
          <w:tcPr>
            <w:tcW w:w="8260" w:type="dxa"/>
            <w:vAlign w:val="bottom"/>
            <w:tcBorders>
              <w:top w:val="single" w:sz="8" w:color="0000FF"/>
            </w:tcBorders>
            <w:gridSpan w:val="6"/>
          </w:tcPr>
          <w:p>
            <w:pPr>
              <w:spacing w:after="0"/>
              <w:rPr>
                <w:sz w:val="17"/>
                <w:szCs w:val="17"/>
                <w:color w:val="auto"/>
              </w:rPr>
            </w:pPr>
          </w:p>
        </w:tc>
        <w:tc>
          <w:tcPr>
            <w:tcW w:w="440" w:type="dxa"/>
            <w:vAlign w:val="bottom"/>
            <w:gridSpan w:val="6"/>
          </w:tcPr>
          <w:p>
            <w:pPr>
              <w:spacing w:after="0"/>
              <w:rPr>
                <w:sz w:val="17"/>
                <w:szCs w:val="17"/>
                <w:color w:val="auto"/>
              </w:rPr>
            </w:pPr>
          </w:p>
        </w:tc>
      </w:tr>
      <w:tr>
        <w:trPr>
          <w:trHeight w:val="372"/>
        </w:trPr>
        <w:tc>
          <w:tcPr>
            <w:tcW w:w="1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13"/>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Share Purchase Agreement, dated as of December 13, 2018, among 2159562 Alberta Ltd., as purchaser, Mistras Group, Inc., as</w:t>
              </w:r>
            </w:hyperlink>
          </w:p>
        </w:tc>
      </w:tr>
      <w:tr>
        <w:trPr>
          <w:trHeight w:val="20"/>
        </w:trPr>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60" w:type="dxa"/>
            <w:vAlign w:val="bottom"/>
            <w:gridSpan w:val="2"/>
            <w:shd w:val="clear" w:color="auto" w:fill="0000FF"/>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13"/>
          </w:tcPr>
          <w:p>
            <w:pPr>
              <w:spacing w:after="0" w:line="19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parent of purchaser, the shareholders of Onstream Holdings, Inc. listed in Schedule A thereto, and Onstream Holdings, Inc. (filed</w:t>
              </w:r>
            </w:hyperlink>
          </w:p>
        </w:tc>
      </w:tr>
      <w:tr>
        <w:trPr>
          <w:trHeight w:val="196"/>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0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as Exhibit 2.1 to Current Report on Form 8-K filed December 13, 2018 and incorporated herein by reference)</w:t>
              </w:r>
            </w:hyperlink>
          </w:p>
        </w:tc>
        <w:tc>
          <w:tcPr>
            <w:tcW w:w="1400" w:type="dxa"/>
            <w:vAlign w:val="bottom"/>
            <w:tcBorders>
              <w:top w:val="single" w:sz="8" w:color="0000FF"/>
            </w:tcBorders>
            <w:gridSpan w:val="7"/>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372"/>
        </w:trPr>
        <w:tc>
          <w:tcPr>
            <w:tcW w:w="1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Form of share purchase agreement for the purchase of Onstream Holdings, Inc. shares from each member of the group of</w:t>
              </w:r>
            </w:hyperlink>
          </w:p>
        </w:tc>
        <w:tc>
          <w:tcPr>
            <w:tcW w:w="700" w:type="dxa"/>
            <w:vAlign w:val="bottom"/>
            <w:gridSpan w:val="7"/>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2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shareholders collectively owning 5% of the shares of Onstream Holdings, Inc. (filed as Exhibit 2.2 to Current Report on Form 8-K</w:t>
              </w:r>
            </w:hyperlink>
          </w:p>
        </w:tc>
        <w:tc>
          <w:tcPr>
            <w:tcW w:w="20" w:type="dxa"/>
            <w:vAlign w:val="bottom"/>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filed December 13, 2018 and incorporated herein by reference)</w:t>
              </w:r>
            </w:hyperlink>
          </w:p>
        </w:tc>
        <w:tc>
          <w:tcPr>
            <w:tcW w:w="4880" w:type="dxa"/>
            <w:vAlign w:val="bottom"/>
            <w:gridSpan w:val="11"/>
          </w:tcPr>
          <w:p>
            <w:pPr>
              <w:spacing w:after="0"/>
              <w:rPr>
                <w:sz w:val="17"/>
                <w:szCs w:val="17"/>
                <w:color w:val="auto"/>
              </w:rPr>
            </w:pPr>
          </w:p>
        </w:tc>
      </w:tr>
      <w:tr>
        <w:trPr>
          <w:trHeight w:val="372"/>
        </w:trPr>
        <w:tc>
          <w:tcPr>
            <w:tcW w:w="1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Second Amended and Restated Certificate of Incorporation (filed as exhibit 3.1 to Registration Statement on Form S-1</w:t>
              </w:r>
            </w:hyperlink>
          </w:p>
        </w:tc>
        <w:tc>
          <w:tcPr>
            <w:tcW w:w="880" w:type="dxa"/>
            <w:vAlign w:val="bottom"/>
            <w:gridSpan w:val="9"/>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(Amendment No. 4) filed on September 21, 2009 (Registration No. 333-151559) and incorporated herein by reference)</w:t>
              </w:r>
            </w:hyperlink>
          </w:p>
        </w:tc>
        <w:tc>
          <w:tcPr>
            <w:tcW w:w="860" w:type="dxa"/>
            <w:vAlign w:val="bottom"/>
            <w:gridSpan w:val="8"/>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121" w:right="23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1580" w:type="dxa"/>
            <w:vAlign w:val="bottom"/>
            <w:gridSpan w:val="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Table of Contents</w:t>
              </w:r>
            </w:hyperlink>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24"/>
                <w:szCs w:val="24"/>
                <w:color w:val="auto"/>
              </w:rPr>
            </w:pPr>
          </w:p>
        </w:tc>
        <w:tc>
          <w:tcPr>
            <w:tcW w:w="93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Certificate of Amendment to the Second Amended and Restated Certificate of Incorporation (filed as exhibit 3.1 to the Quarterly</w:t>
              </w:r>
            </w:hyperlink>
          </w:p>
        </w:tc>
        <w:tc>
          <w:tcPr>
            <w:tcW w:w="8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Report on Form 10-Q filed on January 11, 2017 and incorporated herein by reference)</w:t>
              </w:r>
            </w:hyperlink>
          </w:p>
        </w:tc>
        <w:tc>
          <w:tcPr>
            <w:tcW w:w="3180" w:type="dxa"/>
            <w:vAlign w:val="bottom"/>
            <w:gridSpan w:val="20"/>
          </w:tcPr>
          <w:p>
            <w:pPr>
              <w:spacing w:after="0"/>
              <w:rPr>
                <w:sz w:val="17"/>
                <w:szCs w:val="17"/>
                <w:color w:val="auto"/>
              </w:rPr>
            </w:pPr>
          </w:p>
        </w:tc>
      </w:tr>
      <w:tr>
        <w:trPr>
          <w:trHeight w:val="372"/>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24"/>
                <w:szCs w:val="24"/>
                <w:color w:val="auto"/>
              </w:rPr>
            </w:pPr>
          </w:p>
        </w:tc>
        <w:tc>
          <w:tcPr>
            <w:tcW w:w="88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Amended and Restated Bylaws, effective July 20, 2016 (filed as exhibit 3.1 to the Quarterly Report on Form 10-Q filed on</w:t>
              </w:r>
            </w:hyperlink>
          </w:p>
        </w:tc>
        <w:tc>
          <w:tcPr>
            <w:tcW w:w="520" w:type="dxa"/>
            <w:vAlign w:val="bottom"/>
            <w:gridSpan w:val="9"/>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380" w:type="dxa"/>
            <w:vAlign w:val="bottom"/>
            <w:gridSpan w:val="30"/>
          </w:tcPr>
          <w:p>
            <w:pPr>
              <w:spacing w:after="0" w:line="19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October 7, 2016 and incorporated herein by reference)</w:t>
              </w:r>
            </w:hyperlink>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72"/>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24"/>
                <w:szCs w:val="24"/>
                <w:color w:val="auto"/>
              </w:rPr>
            </w:pPr>
          </w:p>
        </w:tc>
        <w:tc>
          <w:tcPr>
            <w:tcW w:w="93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Specimen certificate evidencing shares of common stock (filed as exhibit 4.1 to Registration Statement on Form S-1 (Amendment</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380" w:type="dxa"/>
            <w:vAlign w:val="bottom"/>
            <w:gridSpan w:val="30"/>
          </w:tcPr>
          <w:p>
            <w:pPr>
              <w:spacing w:after="0" w:line="19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No. 5) filed on September 23, 2009 (Registration No. 333-151559) and incorporated herein by reference.</w:t>
              </w:r>
            </w:hyperlink>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520"/>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spacing w:after="0"/>
              <w:rPr>
                <w:sz w:val="24"/>
                <w:szCs w:val="24"/>
                <w:color w:val="auto"/>
              </w:rPr>
            </w:pPr>
          </w:p>
        </w:tc>
        <w:tc>
          <w:tcPr>
            <w:tcW w:w="93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Fourth Amended and Restated Credit Agreement dated December 8, 2017 (filed as Exhibit 10.3 to Annual Report on Form 10-K</w:t>
            </w:r>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80" w:type="dxa"/>
            <w:vAlign w:val="bottom"/>
            <w:tcBorders>
              <w:top w:val="single" w:sz="8" w:color="0000FF"/>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filed March 14, 2018 and incorporated herein by reference)</w:t>
            </w:r>
          </w:p>
        </w:tc>
        <w:tc>
          <w:tcPr>
            <w:tcW w:w="100" w:type="dxa"/>
            <w:vAlign w:val="bottom"/>
            <w:gridSpan w:val="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520"/>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24"/>
                <w:szCs w:val="24"/>
                <w:color w:val="auto"/>
              </w:rPr>
            </w:pPr>
          </w:p>
        </w:tc>
        <w:tc>
          <w:tcPr>
            <w:tcW w:w="918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Fifth Amended and Restated Credit Agreement dated December 13, 2017 (filed as Exhibit 10.1 to Current Report on Form 8-K</w:t>
            </w:r>
          </w:p>
        </w:tc>
        <w:tc>
          <w:tcPr>
            <w:tcW w:w="200" w:type="dxa"/>
            <w:vAlign w:val="bottom"/>
            <w:gridSpan w:val="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56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filed December 13, 2018 and incorporated herein by reference)</w:t>
            </w:r>
          </w:p>
        </w:tc>
        <w:tc>
          <w:tcPr>
            <w:tcW w:w="4820" w:type="dxa"/>
            <w:vAlign w:val="bottom"/>
            <w:gridSpan w:val="23"/>
          </w:tcPr>
          <w:p>
            <w:pPr>
              <w:spacing w:after="0"/>
              <w:rPr>
                <w:sz w:val="17"/>
                <w:szCs w:val="17"/>
                <w:color w:val="auto"/>
              </w:rPr>
            </w:pPr>
          </w:p>
        </w:tc>
      </w:tr>
      <w:tr>
        <w:trPr>
          <w:trHeight w:val="588"/>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tcPr>
          <w:p>
            <w:pPr>
              <w:spacing w:after="0"/>
              <w:rPr>
                <w:sz w:val="24"/>
                <w:szCs w:val="24"/>
                <w:color w:val="auto"/>
              </w:rPr>
            </w:pPr>
          </w:p>
        </w:tc>
        <w:tc>
          <w:tcPr>
            <w:tcW w:w="9380" w:type="dxa"/>
            <w:vAlign w:val="bottom"/>
            <w:gridSpan w:val="30"/>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Form of Indemnification Agreement for directors and officers (filed as exhibit 10.1 to Registration Statement on Form S-1</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80" w:type="dxa"/>
            <w:vAlign w:val="bottom"/>
            <w:tcBorders>
              <w:top w:val="single" w:sz="8" w:color="0000FF"/>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(Amendment No. 4) filed on September 21, 2009 (Registration No. 333-151559) and incorporated herein by reference)</w:t>
              </w:r>
            </w:hyperlink>
          </w:p>
        </w:tc>
        <w:tc>
          <w:tcPr>
            <w:tcW w:w="240" w:type="dxa"/>
            <w:vAlign w:val="bottom"/>
            <w:tcBorders>
              <w:top w:val="single" w:sz="8" w:color="0000FF"/>
            </w:tcBorders>
            <w:gridSpan w:val="3"/>
          </w:tcPr>
          <w:p>
            <w:pPr>
              <w:spacing w:after="0"/>
              <w:rPr>
                <w:sz w:val="17"/>
                <w:szCs w:val="17"/>
                <w:color w:val="auto"/>
              </w:rPr>
            </w:pPr>
          </w:p>
        </w:tc>
        <w:tc>
          <w:tcPr>
            <w:tcW w:w="560" w:type="dxa"/>
            <w:vAlign w:val="bottom"/>
            <w:gridSpan w:val="11"/>
          </w:tcPr>
          <w:p>
            <w:pPr>
              <w:spacing w:after="0"/>
              <w:rPr>
                <w:sz w:val="17"/>
                <w:szCs w:val="17"/>
                <w:color w:val="auto"/>
              </w:rPr>
            </w:pPr>
          </w:p>
        </w:tc>
      </w:tr>
      <w:tr>
        <w:trPr>
          <w:trHeight w:val="520"/>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4"/>
                <w:szCs w:val="24"/>
                <w:color w:val="auto"/>
              </w:rPr>
            </w:pPr>
          </w:p>
        </w:tc>
        <w:tc>
          <w:tcPr>
            <w:tcW w:w="88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2007 Stock Option Plan and form of Stock Option Agreement (filed as exhibit 10.5 to Registration Statement on Form S-1</w:t>
              </w:r>
            </w:hyperlink>
          </w:p>
        </w:tc>
        <w:tc>
          <w:tcPr>
            <w:tcW w:w="540" w:type="dxa"/>
            <w:vAlign w:val="bottom"/>
            <w:gridSpan w:val="10"/>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(Amendment No. 4) filed on September 21, 2009 (Registration No. 333-151559) and incorporated herein by reference)</w:t>
              </w:r>
            </w:hyperlink>
          </w:p>
        </w:tc>
        <w:tc>
          <w:tcPr>
            <w:tcW w:w="800" w:type="dxa"/>
            <w:vAlign w:val="bottom"/>
            <w:gridSpan w:val="14"/>
          </w:tcPr>
          <w:p>
            <w:pPr>
              <w:spacing w:after="0"/>
              <w:rPr>
                <w:sz w:val="17"/>
                <w:szCs w:val="17"/>
                <w:color w:val="auto"/>
              </w:rPr>
            </w:pPr>
          </w:p>
        </w:tc>
      </w:tr>
      <w:tr>
        <w:trPr>
          <w:trHeight w:val="520"/>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300" w:type="dxa"/>
            <w:vAlign w:val="bottom"/>
          </w:tcPr>
          <w:p>
            <w:pPr>
              <w:spacing w:after="0"/>
              <w:rPr>
                <w:sz w:val="24"/>
                <w:szCs w:val="24"/>
                <w:color w:val="auto"/>
              </w:rPr>
            </w:pPr>
          </w:p>
        </w:tc>
        <w:tc>
          <w:tcPr>
            <w:tcW w:w="87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2009 Long-Term Incentive Plan (filed as exhibit 10.6 to Registration Statement on Form S-1 (Amendment No. 4) filed on</w:t>
              </w:r>
            </w:hyperlink>
          </w:p>
        </w:tc>
        <w:tc>
          <w:tcPr>
            <w:tcW w:w="600" w:type="dxa"/>
            <w:vAlign w:val="bottom"/>
            <w:gridSpan w:val="1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September 21, 2009 (Registration No. 333-151559) and incorporated herein by reference)</w:t>
              </w:r>
            </w:hyperlink>
          </w:p>
        </w:tc>
        <w:tc>
          <w:tcPr>
            <w:tcW w:w="2900" w:type="dxa"/>
            <w:vAlign w:val="bottom"/>
            <w:gridSpan w:val="18"/>
          </w:tcPr>
          <w:p>
            <w:pPr>
              <w:spacing w:after="0"/>
              <w:rPr>
                <w:sz w:val="17"/>
                <w:szCs w:val="17"/>
                <w:color w:val="auto"/>
              </w:rPr>
            </w:pPr>
          </w:p>
        </w:tc>
      </w:tr>
      <w:tr>
        <w:trPr>
          <w:trHeight w:val="520"/>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w:t>
            </w:r>
          </w:p>
        </w:tc>
        <w:tc>
          <w:tcPr>
            <w:tcW w:w="300" w:type="dxa"/>
            <w:vAlign w:val="bottom"/>
          </w:tcPr>
          <w:p>
            <w:pPr>
              <w:spacing w:after="0"/>
              <w:rPr>
                <w:sz w:val="24"/>
                <w:szCs w:val="24"/>
                <w:color w:val="auto"/>
              </w:rPr>
            </w:pPr>
          </w:p>
        </w:tc>
        <w:tc>
          <w:tcPr>
            <w:tcW w:w="9380" w:type="dxa"/>
            <w:vAlign w:val="bottom"/>
            <w:gridSpan w:val="30"/>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Form of 2009 Long-Term Incentive Plan Stock Option Agreement (filed as exhibit 10.7 to Registration Statement on Form S-1</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80" w:type="dxa"/>
            <w:vAlign w:val="bottom"/>
            <w:tcBorders>
              <w:top w:val="single" w:sz="8" w:color="0000FF"/>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(Amendment No. 4) filed on September 21, 2009 (Registration No. 333-151559) and incorporated herein by reference)</w:t>
              </w:r>
            </w:hyperlink>
          </w:p>
        </w:tc>
        <w:tc>
          <w:tcPr>
            <w:tcW w:w="560" w:type="dxa"/>
            <w:vAlign w:val="bottom"/>
            <w:tcBorders>
              <w:top w:val="single" w:sz="8" w:color="0000FF"/>
            </w:tcBorders>
            <w:gridSpan w:val="8"/>
          </w:tcPr>
          <w:p>
            <w:pPr>
              <w:spacing w:after="0"/>
              <w:rPr>
                <w:sz w:val="17"/>
                <w:szCs w:val="17"/>
                <w:color w:val="auto"/>
              </w:rPr>
            </w:pPr>
          </w:p>
        </w:tc>
        <w:tc>
          <w:tcPr>
            <w:tcW w:w="240" w:type="dxa"/>
            <w:vAlign w:val="bottom"/>
            <w:gridSpan w:val="6"/>
          </w:tcPr>
          <w:p>
            <w:pPr>
              <w:spacing w:after="0"/>
              <w:rPr>
                <w:sz w:val="17"/>
                <w:szCs w:val="17"/>
                <w:color w:val="auto"/>
              </w:rPr>
            </w:pPr>
          </w:p>
        </w:tc>
      </w:tr>
      <w:tr>
        <w:trPr>
          <w:trHeight w:val="520"/>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tcPr>
          <w:p>
            <w:pPr>
              <w:spacing w:after="0"/>
              <w:rPr>
                <w:sz w:val="24"/>
                <w:szCs w:val="24"/>
                <w:color w:val="auto"/>
              </w:rPr>
            </w:pPr>
          </w:p>
        </w:tc>
        <w:tc>
          <w:tcPr>
            <w:tcW w:w="93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Form of 2009 Long-Term Incentive Plan Restricted Stock Agreement (filed as exhibit 10.8 to Registration Statement on Form S-1</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(Amendment No. 4) filed on September 21, 2009 (Registration No. 333-151559) and incorporated herein by reference)</w:t>
              </w:r>
            </w:hyperlink>
          </w:p>
        </w:tc>
        <w:tc>
          <w:tcPr>
            <w:tcW w:w="800" w:type="dxa"/>
            <w:vAlign w:val="bottom"/>
            <w:gridSpan w:val="14"/>
          </w:tcPr>
          <w:p>
            <w:pPr>
              <w:spacing w:after="0"/>
              <w:rPr>
                <w:sz w:val="17"/>
                <w:szCs w:val="17"/>
                <w:color w:val="auto"/>
              </w:rPr>
            </w:pPr>
          </w:p>
        </w:tc>
      </w:tr>
      <w:tr>
        <w:trPr>
          <w:trHeight w:val="520"/>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10.8</w:t>
            </w:r>
          </w:p>
        </w:tc>
        <w:tc>
          <w:tcPr>
            <w:tcW w:w="300" w:type="dxa"/>
            <w:vAlign w:val="bottom"/>
          </w:tcPr>
          <w:p>
            <w:pPr>
              <w:spacing w:after="0"/>
              <w:rPr>
                <w:sz w:val="24"/>
                <w:szCs w:val="24"/>
                <w:color w:val="auto"/>
              </w:rPr>
            </w:pPr>
          </w:p>
        </w:tc>
        <w:tc>
          <w:tcPr>
            <w:tcW w:w="90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Form of Restricted Stock Unit Certificate for awards under 2009 Long-Term Incentive Plan (filed as exhibit 10.1 to Quarterly</w:t>
              </w:r>
            </w:hyperlink>
          </w:p>
        </w:tc>
        <w:tc>
          <w:tcPr>
            <w:tcW w:w="320" w:type="dxa"/>
            <w:vAlign w:val="bottom"/>
            <w:gridSpan w:val="7"/>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Report on Form 10-Q filed on January 13, 2011 and incorporated herein by reference)</w:t>
              </w:r>
            </w:hyperlink>
          </w:p>
        </w:tc>
        <w:tc>
          <w:tcPr>
            <w:tcW w:w="3180" w:type="dxa"/>
            <w:vAlign w:val="bottom"/>
            <w:gridSpan w:val="20"/>
          </w:tcPr>
          <w:p>
            <w:pPr>
              <w:spacing w:after="0"/>
              <w:rPr>
                <w:sz w:val="17"/>
                <w:szCs w:val="17"/>
                <w:color w:val="auto"/>
              </w:rPr>
            </w:pPr>
          </w:p>
        </w:tc>
      </w:tr>
      <w:tr>
        <w:trPr>
          <w:trHeight w:val="520"/>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tcPr>
          <w:p>
            <w:pPr>
              <w:spacing w:after="0"/>
              <w:rPr>
                <w:sz w:val="24"/>
                <w:szCs w:val="24"/>
                <w:color w:val="auto"/>
              </w:rPr>
            </w:pPr>
          </w:p>
        </w:tc>
        <w:tc>
          <w:tcPr>
            <w:tcW w:w="9380" w:type="dxa"/>
            <w:vAlign w:val="bottom"/>
            <w:gridSpan w:val="30"/>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2016 Long-Term Incentive Plan (filed as exhibit B to the Definitive Proxy Statement dated September 7, 2016 and incorporated</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herein by reference)</w:t>
              </w:r>
            </w:hyperlink>
          </w:p>
        </w:tc>
        <w:tc>
          <w:tcPr>
            <w:tcW w:w="7740" w:type="dxa"/>
            <w:vAlign w:val="bottom"/>
            <w:tcBorders>
              <w:top w:val="single" w:sz="8" w:color="0000FF"/>
            </w:tcBorders>
            <w:gridSpan w:val="26"/>
          </w:tcPr>
          <w:p>
            <w:pPr>
              <w:spacing w:after="0"/>
              <w:rPr>
                <w:sz w:val="17"/>
                <w:szCs w:val="17"/>
                <w:color w:val="auto"/>
              </w:rPr>
            </w:pPr>
          </w:p>
        </w:tc>
        <w:tc>
          <w:tcPr>
            <w:tcW w:w="180" w:type="dxa"/>
            <w:vAlign w:val="bottom"/>
            <w:gridSpan w:val="3"/>
          </w:tcPr>
          <w:p>
            <w:pPr>
              <w:spacing w:after="0"/>
              <w:rPr>
                <w:sz w:val="17"/>
                <w:szCs w:val="17"/>
                <w:color w:val="auto"/>
              </w:rPr>
            </w:pPr>
          </w:p>
        </w:tc>
      </w:tr>
      <w:tr>
        <w:trPr>
          <w:trHeight w:val="372"/>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10.10</w:t>
            </w:r>
          </w:p>
        </w:tc>
        <w:tc>
          <w:tcPr>
            <w:tcW w:w="300" w:type="dxa"/>
            <w:vAlign w:val="bottom"/>
          </w:tcPr>
          <w:p>
            <w:pPr>
              <w:spacing w:after="0"/>
              <w:rPr>
                <w:sz w:val="24"/>
                <w:szCs w:val="24"/>
                <w:color w:val="auto"/>
              </w:rPr>
            </w:pPr>
          </w:p>
        </w:tc>
        <w:tc>
          <w:tcPr>
            <w:tcW w:w="9380" w:type="dxa"/>
            <w:vAlign w:val="bottom"/>
            <w:gridSpan w:val="30"/>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Form of Restricted Stock Unit Certificate for awards under the 2016 Long-Term Incentive Plan (filed as Exhibit 10.16 to</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900" w:type="dxa"/>
            <w:vAlign w:val="bottom"/>
            <w:tcBorders>
              <w:top w:val="single" w:sz="8" w:color="0000FF"/>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Transition Report on Form 10-K filed on March 20, 2017 and incorporated herein by reference)</w:t>
              </w:r>
            </w:hyperlink>
          </w:p>
        </w:tc>
        <w:tc>
          <w:tcPr>
            <w:tcW w:w="1800" w:type="dxa"/>
            <w:vAlign w:val="bottom"/>
            <w:tcBorders>
              <w:top w:val="single" w:sz="8" w:color="0000FF"/>
            </w:tcBorders>
            <w:gridSpan w:val="4"/>
          </w:tcPr>
          <w:p>
            <w:pPr>
              <w:spacing w:after="0"/>
              <w:rPr>
                <w:sz w:val="17"/>
                <w:szCs w:val="17"/>
                <w:color w:val="auto"/>
              </w:rPr>
            </w:pPr>
          </w:p>
        </w:tc>
        <w:tc>
          <w:tcPr>
            <w:tcW w:w="680" w:type="dxa"/>
            <w:vAlign w:val="bottom"/>
            <w:gridSpan w:val="13"/>
          </w:tcPr>
          <w:p>
            <w:pPr>
              <w:spacing w:after="0"/>
              <w:rPr>
                <w:sz w:val="17"/>
                <w:szCs w:val="17"/>
                <w:color w:val="auto"/>
              </w:rPr>
            </w:pPr>
          </w:p>
        </w:tc>
      </w:tr>
      <w:tr>
        <w:trPr>
          <w:trHeight w:val="520"/>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10.11*</w:t>
            </w:r>
          </w:p>
        </w:tc>
        <w:tc>
          <w:tcPr>
            <w:tcW w:w="300" w:type="dxa"/>
            <w:vAlign w:val="bottom"/>
          </w:tcPr>
          <w:p>
            <w:pPr>
              <w:spacing w:after="0"/>
              <w:rPr>
                <w:sz w:val="24"/>
                <w:szCs w:val="24"/>
                <w:color w:val="auto"/>
              </w:rPr>
            </w:pPr>
          </w:p>
        </w:tc>
        <w:tc>
          <w:tcPr>
            <w:tcW w:w="9380" w:type="dxa"/>
            <w:vAlign w:val="bottom"/>
            <w:gridSpan w:val="30"/>
          </w:tcPr>
          <w:p>
            <w:pPr>
              <w:spacing w:after="0"/>
              <w:rPr>
                <w:rFonts w:ascii="Times New Roman" w:cs="Times New Roman" w:eastAsia="Times New Roman" w:hAnsi="Times New Roman"/>
                <w:sz w:val="18"/>
                <w:szCs w:val="18"/>
                <w:color w:val="0000FF"/>
              </w:rPr>
            </w:pPr>
            <w:hyperlink w:anchor="page97">
              <w:r>
                <w:rPr>
                  <w:rFonts w:ascii="Times New Roman" w:cs="Times New Roman" w:eastAsia="Times New Roman" w:hAnsi="Times New Roman"/>
                  <w:sz w:val="18"/>
                  <w:szCs w:val="18"/>
                  <w:color w:val="0000FF"/>
                </w:rPr>
                <w:t>Mistras Group Severance Plan</w:t>
              </w:r>
            </w:hyperlink>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372"/>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10.12</w:t>
            </w:r>
          </w:p>
        </w:tc>
        <w:tc>
          <w:tcPr>
            <w:tcW w:w="300" w:type="dxa"/>
            <w:vAlign w:val="bottom"/>
          </w:tcPr>
          <w:p>
            <w:pPr>
              <w:spacing w:after="0"/>
              <w:rPr>
                <w:sz w:val="24"/>
                <w:szCs w:val="24"/>
                <w:color w:val="auto"/>
              </w:rPr>
            </w:pPr>
          </w:p>
        </w:tc>
        <w:tc>
          <w:tcPr>
            <w:tcW w:w="89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Employment Agreement between the Company and Sotirios J. Vahaviolos, dated February 28, 2018 (filed as Exhibit 10.1 to</w:t>
              </w:r>
            </w:hyperlink>
          </w:p>
        </w:tc>
        <w:tc>
          <w:tcPr>
            <w:tcW w:w="420" w:type="dxa"/>
            <w:vAlign w:val="bottom"/>
            <w:gridSpan w:val="8"/>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Quarterly Report on Form 10-Q filed May 8, 2018 and incorporated by reference herein)</w:t>
              </w:r>
            </w:hyperlink>
          </w:p>
        </w:tc>
        <w:tc>
          <w:tcPr>
            <w:tcW w:w="2980" w:type="dxa"/>
            <w:vAlign w:val="bottom"/>
            <w:gridSpan w:val="19"/>
          </w:tcPr>
          <w:p>
            <w:pPr>
              <w:spacing w:after="0"/>
              <w:rPr>
                <w:sz w:val="17"/>
                <w:szCs w:val="17"/>
                <w:color w:val="auto"/>
              </w:rPr>
            </w:pPr>
          </w:p>
        </w:tc>
      </w:tr>
      <w:tr>
        <w:trPr>
          <w:trHeight w:val="372"/>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10.13</w:t>
            </w:r>
          </w:p>
        </w:tc>
        <w:tc>
          <w:tcPr>
            <w:tcW w:w="300" w:type="dxa"/>
            <w:vAlign w:val="bottom"/>
          </w:tcPr>
          <w:p>
            <w:pPr>
              <w:spacing w:after="0"/>
              <w:rPr>
                <w:sz w:val="24"/>
                <w:szCs w:val="24"/>
                <w:color w:val="auto"/>
              </w:rPr>
            </w:pPr>
          </w:p>
        </w:tc>
        <w:tc>
          <w:tcPr>
            <w:tcW w:w="9380" w:type="dxa"/>
            <w:vAlign w:val="bottom"/>
            <w:gridSpan w:val="30"/>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Employment Agreement between the Company and Dennis Bertolotti, dated March 13, 2018 (filed as Exhibit 10.2 to Quarterly</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180" w:type="dxa"/>
            <w:vAlign w:val="bottom"/>
            <w:tcBorders>
              <w:top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Report on Form 10-Q filed May 8, 2018 and incorporated by reference herein)</w:t>
              </w:r>
            </w:hyperlink>
          </w:p>
        </w:tc>
        <w:tc>
          <w:tcPr>
            <w:tcW w:w="200" w:type="dxa"/>
            <w:vAlign w:val="bottom"/>
            <w:gridSpan w:val="4"/>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372"/>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10.14</w:t>
            </w:r>
          </w:p>
        </w:tc>
        <w:tc>
          <w:tcPr>
            <w:tcW w:w="300" w:type="dxa"/>
            <w:vAlign w:val="bottom"/>
          </w:tcPr>
          <w:p>
            <w:pPr>
              <w:spacing w:after="0"/>
              <w:rPr>
                <w:sz w:val="24"/>
                <w:szCs w:val="24"/>
                <w:color w:val="auto"/>
              </w:rPr>
            </w:pPr>
          </w:p>
        </w:tc>
        <w:tc>
          <w:tcPr>
            <w:tcW w:w="91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Description of Compensation for Non-Employee Directors (filed as Exhibit 10.19 to Annual Report on Form 10-K filed March</w:t>
              </w:r>
            </w:hyperlink>
          </w:p>
        </w:tc>
        <w:tc>
          <w:tcPr>
            <w:tcW w:w="220" w:type="dxa"/>
            <w:vAlign w:val="bottom"/>
            <w:gridSpan w:val="5"/>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14, 2018 and incorporated herein by reference)</w:t>
              </w:r>
            </w:hyperlink>
          </w:p>
        </w:tc>
        <w:tc>
          <w:tcPr>
            <w:tcW w:w="5980" w:type="dxa"/>
            <w:vAlign w:val="bottom"/>
            <w:gridSpan w:val="26"/>
          </w:tcPr>
          <w:p>
            <w:pPr>
              <w:spacing w:after="0"/>
              <w:rPr>
                <w:sz w:val="17"/>
                <w:szCs w:val="17"/>
                <w:color w:val="auto"/>
              </w:rPr>
            </w:pPr>
          </w:p>
        </w:tc>
      </w:tr>
      <w:tr>
        <w:trPr>
          <w:trHeight w:val="520"/>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21.1*</w:t>
            </w:r>
          </w:p>
        </w:tc>
        <w:tc>
          <w:tcPr>
            <w:tcW w:w="300" w:type="dxa"/>
            <w:vAlign w:val="bottom"/>
          </w:tcPr>
          <w:p>
            <w:pPr>
              <w:spacing w:after="0"/>
              <w:rPr>
                <w:sz w:val="24"/>
                <w:szCs w:val="24"/>
                <w:color w:val="auto"/>
              </w:rPr>
            </w:pPr>
          </w:p>
        </w:tc>
        <w:tc>
          <w:tcPr>
            <w:tcW w:w="220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rPr>
            </w:pPr>
            <w:hyperlink w:anchor="page103">
              <w:r>
                <w:rPr>
                  <w:rFonts w:ascii="Times New Roman" w:cs="Times New Roman" w:eastAsia="Times New Roman" w:hAnsi="Times New Roman"/>
                  <w:sz w:val="18"/>
                  <w:szCs w:val="18"/>
                  <w:color w:val="0000FF"/>
                </w:rPr>
                <w:t>Subsidiaries of the Registrant</w:t>
              </w:r>
            </w:hyperlink>
          </w:p>
        </w:tc>
        <w:tc>
          <w:tcPr>
            <w:tcW w:w="7180" w:type="dxa"/>
            <w:vAlign w:val="bottom"/>
            <w:gridSpan w:val="27"/>
          </w:tcPr>
          <w:p>
            <w:pPr>
              <w:spacing w:after="0"/>
              <w:rPr>
                <w:sz w:val="24"/>
                <w:szCs w:val="24"/>
                <w:color w:val="auto"/>
              </w:rPr>
            </w:pPr>
          </w:p>
        </w:tc>
      </w:tr>
      <w:tr>
        <w:trPr>
          <w:trHeight w:val="520"/>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23.1*</w:t>
            </w:r>
          </w:p>
        </w:tc>
        <w:tc>
          <w:tcPr>
            <w:tcW w:w="300" w:type="dxa"/>
            <w:vAlign w:val="bottom"/>
          </w:tcPr>
          <w:p>
            <w:pPr>
              <w:spacing w:after="0"/>
              <w:rPr>
                <w:sz w:val="24"/>
                <w:szCs w:val="24"/>
                <w:color w:val="auto"/>
              </w:rPr>
            </w:pPr>
          </w:p>
        </w:tc>
        <w:tc>
          <w:tcPr>
            <w:tcW w:w="9380" w:type="dxa"/>
            <w:vAlign w:val="bottom"/>
            <w:gridSpan w:val="30"/>
          </w:tcPr>
          <w:p>
            <w:pPr>
              <w:spacing w:after="0"/>
              <w:rPr>
                <w:rFonts w:ascii="Times New Roman" w:cs="Times New Roman" w:eastAsia="Times New Roman" w:hAnsi="Times New Roman"/>
                <w:sz w:val="18"/>
                <w:szCs w:val="18"/>
                <w:color w:val="0000FF"/>
              </w:rPr>
            </w:pPr>
            <w:hyperlink w:anchor="page104">
              <w:r>
                <w:rPr>
                  <w:rFonts w:ascii="Times New Roman" w:cs="Times New Roman" w:eastAsia="Times New Roman" w:hAnsi="Times New Roman"/>
                  <w:sz w:val="18"/>
                  <w:szCs w:val="18"/>
                  <w:color w:val="0000FF"/>
                </w:rPr>
                <w:t>Consent of KPMG LLP</w:t>
              </w:r>
            </w:hyperlink>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2840" w:type="dxa"/>
            <w:vAlign w:val="bottom"/>
            <w:gridSpan w:val="7"/>
          </w:tcPr>
          <w:p>
            <w:pPr>
              <w:spacing w:after="0" w:line="20" w:lineRule="exact"/>
              <w:rPr>
                <w:sz w:val="1"/>
                <w:szCs w:val="1"/>
                <w:color w:val="auto"/>
              </w:rPr>
            </w:pPr>
          </w:p>
        </w:tc>
        <w:tc>
          <w:tcPr>
            <w:tcW w:w="1380" w:type="dxa"/>
            <w:vAlign w:val="bottom"/>
            <w:gridSpan w:val="15"/>
          </w:tcPr>
          <w:p>
            <w:pPr>
              <w:spacing w:after="0" w:line="20" w:lineRule="exact"/>
              <w:rPr>
                <w:sz w:val="1"/>
                <w:szCs w:val="1"/>
                <w:color w:val="auto"/>
              </w:rPr>
            </w:pPr>
          </w:p>
        </w:tc>
      </w:tr>
      <w:tr>
        <w:trPr>
          <w:trHeight w:val="520"/>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24.1*</w:t>
            </w:r>
          </w:p>
        </w:tc>
        <w:tc>
          <w:tcPr>
            <w:tcW w:w="300" w:type="dxa"/>
            <w:vAlign w:val="bottom"/>
          </w:tcPr>
          <w:p>
            <w:pPr>
              <w:spacing w:after="0"/>
              <w:rPr>
                <w:sz w:val="24"/>
                <w:szCs w:val="24"/>
                <w:color w:val="auto"/>
              </w:rPr>
            </w:pPr>
          </w:p>
        </w:tc>
        <w:tc>
          <w:tcPr>
            <w:tcW w:w="9380" w:type="dxa"/>
            <w:vAlign w:val="bottom"/>
            <w:gridSpan w:val="30"/>
          </w:tcPr>
          <w:p>
            <w:pPr>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Power of Attorney (included as part of the signature page to this report)</w:t>
              </w:r>
            </w:hyperlink>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160" w:type="dxa"/>
            <w:vAlign w:val="bottom"/>
            <w:gridSpan w:val="8"/>
            <w:shd w:val="clear" w:color="auto" w:fill="0000EE"/>
          </w:tcPr>
          <w:p>
            <w:pPr>
              <w:spacing w:after="0" w:line="20" w:lineRule="exact"/>
              <w:rPr>
                <w:sz w:val="1"/>
                <w:szCs w:val="1"/>
                <w:color w:val="auto"/>
              </w:rPr>
            </w:pPr>
          </w:p>
        </w:tc>
        <w:tc>
          <w:tcPr>
            <w:tcW w:w="2840" w:type="dxa"/>
            <w:vAlign w:val="bottom"/>
            <w:gridSpan w:val="7"/>
          </w:tcPr>
          <w:p>
            <w:pPr>
              <w:spacing w:after="0" w:line="20" w:lineRule="exact"/>
              <w:rPr>
                <w:sz w:val="1"/>
                <w:szCs w:val="1"/>
                <w:color w:val="auto"/>
              </w:rPr>
            </w:pPr>
          </w:p>
        </w:tc>
        <w:tc>
          <w:tcPr>
            <w:tcW w:w="1380" w:type="dxa"/>
            <w:vAlign w:val="bottom"/>
            <w:gridSpan w:val="15"/>
          </w:tcPr>
          <w:p>
            <w:pPr>
              <w:spacing w:after="0" w:line="20" w:lineRule="exact"/>
              <w:rPr>
                <w:sz w:val="1"/>
                <w:szCs w:val="1"/>
                <w:color w:val="auto"/>
              </w:rPr>
            </w:pPr>
          </w:p>
        </w:tc>
      </w:tr>
      <w:tr>
        <w:trPr>
          <w:trHeight w:val="520"/>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300" w:type="dxa"/>
            <w:vAlign w:val="bottom"/>
          </w:tcPr>
          <w:p>
            <w:pPr>
              <w:spacing w:after="0"/>
              <w:rPr>
                <w:sz w:val="24"/>
                <w:szCs w:val="24"/>
                <w:color w:val="auto"/>
              </w:rPr>
            </w:pPr>
          </w:p>
        </w:tc>
        <w:tc>
          <w:tcPr>
            <w:tcW w:w="80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w:anchor="page105">
              <w:r>
                <w:rPr>
                  <w:rFonts w:ascii="Times New Roman" w:cs="Times New Roman" w:eastAsia="Times New Roman" w:hAnsi="Times New Roman"/>
                  <w:sz w:val="18"/>
                  <w:szCs w:val="18"/>
                  <w:color w:val="0000FF"/>
                  <w:w w:val="99"/>
                </w:rPr>
                <w:t>Certification of Chief Executive Officer pursuant to Rule 13a-14(a) under the Securities Exchange Act of 1934</w:t>
              </w:r>
            </w:hyperlink>
          </w:p>
        </w:tc>
        <w:tc>
          <w:tcPr>
            <w:tcW w:w="1380" w:type="dxa"/>
            <w:vAlign w:val="bottom"/>
            <w:gridSpan w:val="15"/>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960"/>
          </w:cols>
          <w:pgMar w:left="240" w:top="108" w:right="699" w:bottom="1440" w:gutter="0" w:footer="0" w:header="0"/>
        </w:sectPr>
      </w:pPr>
    </w:p>
    <w:p>
      <w:pPr>
        <w:spacing w:after="0" w:line="20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60"/>
          </w:cols>
          <w:pgMar w:left="240" w:top="108" w:right="69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1580" w:type="dxa"/>
            <w:vAlign w:val="bottom"/>
            <w:gridSpan w:val="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Table of Contents</w:t>
              </w:r>
            </w:hyperlink>
          </w:p>
        </w:tc>
        <w:tc>
          <w:tcPr>
            <w:tcW w:w="5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300" w:type="dxa"/>
            <w:vAlign w:val="bottom"/>
          </w:tcPr>
          <w:p>
            <w:pPr>
              <w:spacing w:after="0"/>
              <w:rPr>
                <w:sz w:val="24"/>
                <w:szCs w:val="24"/>
                <w:color w:val="auto"/>
              </w:rPr>
            </w:pPr>
          </w:p>
        </w:tc>
        <w:tc>
          <w:tcPr>
            <w:tcW w:w="794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w:anchor="page106">
              <w:r>
                <w:rPr>
                  <w:rFonts w:ascii="Times New Roman" w:cs="Times New Roman" w:eastAsia="Times New Roman" w:hAnsi="Times New Roman"/>
                  <w:sz w:val="18"/>
                  <w:szCs w:val="18"/>
                  <w:color w:val="0000FF"/>
                  <w:w w:val="99"/>
                </w:rPr>
                <w:t>Certification of Chief Financial Officer pursuant to Rule 13a-14(a) under the Securities Exchange Act of 1934</w:t>
              </w:r>
            </w:hyperlink>
          </w:p>
        </w:tc>
      </w:tr>
      <w:tr>
        <w:trPr>
          <w:trHeight w:val="520"/>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300" w:type="dxa"/>
            <w:vAlign w:val="bottom"/>
          </w:tcPr>
          <w:p>
            <w:pPr>
              <w:spacing w:after="0"/>
              <w:rPr>
                <w:sz w:val="24"/>
                <w:szCs w:val="24"/>
                <w:color w:val="auto"/>
              </w:rPr>
            </w:pPr>
          </w:p>
        </w:tc>
        <w:tc>
          <w:tcPr>
            <w:tcW w:w="524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rPr>
            </w:pPr>
            <w:hyperlink w:anchor="page107">
              <w:r>
                <w:rPr>
                  <w:rFonts w:ascii="Times New Roman" w:cs="Times New Roman" w:eastAsia="Times New Roman" w:hAnsi="Times New Roman"/>
                  <w:sz w:val="18"/>
                  <w:szCs w:val="18"/>
                  <w:color w:val="0000FF"/>
                </w:rPr>
                <w:t>Certification pursuant to Section 906 of the Sarbanes-Oxley Act of 2002</w:t>
              </w:r>
            </w:hyperlink>
          </w:p>
        </w:tc>
        <w:tc>
          <w:tcPr>
            <w:tcW w:w="2700" w:type="dxa"/>
            <w:vAlign w:val="bottom"/>
          </w:tcPr>
          <w:p>
            <w:pPr>
              <w:spacing w:after="0"/>
              <w:rPr>
                <w:sz w:val="24"/>
                <w:szCs w:val="24"/>
                <w:color w:val="auto"/>
              </w:rPr>
            </w:pPr>
          </w:p>
        </w:tc>
      </w:tr>
      <w:tr>
        <w:trPr>
          <w:trHeight w:val="520"/>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300" w:type="dxa"/>
            <w:vAlign w:val="bottom"/>
          </w:tcPr>
          <w:p>
            <w:pPr>
              <w:spacing w:after="0"/>
              <w:rPr>
                <w:sz w:val="24"/>
                <w:szCs w:val="24"/>
                <w:color w:val="auto"/>
              </w:rPr>
            </w:pPr>
          </w:p>
        </w:tc>
        <w:tc>
          <w:tcPr>
            <w:tcW w:w="7940" w:type="dxa"/>
            <w:vAlign w:val="bottom"/>
            <w:gridSpan w:val="3"/>
          </w:tcPr>
          <w:p>
            <w:pPr>
              <w:spacing w:after="0"/>
              <w:rPr>
                <w:rFonts w:ascii="Times New Roman" w:cs="Times New Roman" w:eastAsia="Times New Roman" w:hAnsi="Times New Roman"/>
                <w:sz w:val="18"/>
                <w:szCs w:val="18"/>
                <w:color w:val="0000FF"/>
              </w:rPr>
            </w:pPr>
            <w:hyperlink w:anchor="page108">
              <w:r>
                <w:rPr>
                  <w:rFonts w:ascii="Times New Roman" w:cs="Times New Roman" w:eastAsia="Times New Roman" w:hAnsi="Times New Roman"/>
                  <w:sz w:val="18"/>
                  <w:szCs w:val="18"/>
                  <w:color w:val="0000FF"/>
                </w:rPr>
                <w:t>Certification pursuant to Section 906 of the Sarbanes-Oxley Act of 2002</w:t>
              </w:r>
            </w:hyperlink>
          </w:p>
        </w:tc>
      </w:tr>
      <w:tr>
        <w:trPr>
          <w:trHeight w:val="561"/>
        </w:trPr>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52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2720" w:type="dxa"/>
            <w:vAlign w:val="bottom"/>
            <w:gridSpan w:val="2"/>
          </w:tcPr>
          <w:p>
            <w:pPr>
              <w:spacing w:after="0"/>
              <w:rPr>
                <w:sz w:val="24"/>
                <w:szCs w:val="24"/>
                <w:color w:val="auto"/>
              </w:rPr>
            </w:pPr>
          </w:p>
        </w:tc>
      </w:tr>
      <w:tr>
        <w:trPr>
          <w:trHeight w:val="392"/>
        </w:trPr>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540"/>
        </w:trPr>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392"/>
        </w:trPr>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Labels Linkbase Document</w:t>
            </w:r>
          </w:p>
        </w:tc>
      </w:tr>
      <w:tr>
        <w:trPr>
          <w:trHeight w:val="540"/>
        </w:trPr>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392"/>
        </w:trPr>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 10.3 to 10.14 are management contracts or compensatory plans, contracts, or arrangements.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219"/>
          </w:cols>
          <w:pgMar w:left="240" w:top="108" w:right="1440"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MISTRAS GROUP, INC.</w:t>
      </w:r>
    </w:p>
    <w:p>
      <w:pPr>
        <w:spacing w:after="0" w:line="63" w:lineRule="exact"/>
        <w:rPr>
          <w:sz w:val="20"/>
          <w:szCs w:val="20"/>
          <w:color w:val="auto"/>
        </w:rPr>
      </w:pPr>
    </w:p>
    <w:p>
      <w:pPr>
        <w:ind w:left="5860"/>
        <w:spacing w:after="0"/>
        <w:tabs>
          <w:tab w:leader="none" w:pos="6300" w:val="left"/>
        </w:tabs>
        <w:rPr>
          <w:sz w:val="20"/>
          <w:szCs w:val="20"/>
          <w:color w:val="auto"/>
        </w:rPr>
      </w:pPr>
      <w:r>
        <w:rPr>
          <w:rFonts w:ascii="Times New Roman" w:cs="Times New Roman" w:eastAsia="Times New Roman" w:hAnsi="Times New Roman"/>
          <w:sz w:val="18"/>
          <w:szCs w:val="18"/>
          <w:color w:val="auto"/>
        </w:rPr>
        <w:t>By:</w:t>
        <w:tab/>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Dennis Bertolotti</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15, 2019</w:t>
      </w:r>
    </w:p>
    <w:p>
      <w:pPr>
        <w:spacing w:after="0" w:line="22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the undersigned directors and officers of Mistras Group, Inc., hereby severally constitute Dennis Bertolotti, Edward J. Prajzner and Michael C. Keefe, and each of them singly, as our true and lawful attorneys with full power to each of them to sign for us, in our names in the capacities indicated below, any and all amendments to this Annual Report on Form 10-K filed with the Securities and Exchange Commission.</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power of attorney may only be revoked by a written document executed by the undersigned that expressly revokes this power by referring to the date and subject hereof.</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121" w:right="23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58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21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512"/>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/s/Dr. Sotirios J. Vahaviolos</w:t>
            </w:r>
          </w:p>
        </w:tc>
        <w:tc>
          <w:tcPr>
            <w:tcW w:w="120" w:type="dxa"/>
            <w:vAlign w:val="bottom"/>
          </w:tcPr>
          <w:p>
            <w:pPr>
              <w:spacing w:after="0"/>
              <w:rPr>
                <w:sz w:val="24"/>
                <w:szCs w:val="24"/>
                <w:color w:val="auto"/>
              </w:rPr>
            </w:pPr>
          </w:p>
        </w:tc>
        <w:tc>
          <w:tcPr>
            <w:tcW w:w="4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Executive Chairman and Director</w:t>
            </w:r>
          </w:p>
        </w:tc>
        <w:tc>
          <w:tcPr>
            <w:tcW w:w="2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 15, 2019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Dr. Sotirios J. Vahaviolos</w:t>
            </w: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0"/>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/s/Dennis Bertolotti</w:t>
            </w:r>
          </w:p>
        </w:tc>
        <w:tc>
          <w:tcPr>
            <w:tcW w:w="120" w:type="dxa"/>
            <w:vAlign w:val="bottom"/>
          </w:tcPr>
          <w:p>
            <w:pPr>
              <w:spacing w:after="0"/>
              <w:rPr>
                <w:sz w:val="24"/>
                <w:szCs w:val="24"/>
                <w:color w:val="auto"/>
              </w:rPr>
            </w:pPr>
          </w:p>
        </w:tc>
        <w:tc>
          <w:tcPr>
            <w:tcW w:w="4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President, Chief Executive Officer and Director </w:t>
            </w:r>
            <w:r>
              <w:rPr>
                <w:rFonts w:ascii="Times New Roman" w:cs="Times New Roman" w:eastAsia="Times New Roman" w:hAnsi="Times New Roman"/>
                <w:sz w:val="18"/>
                <w:szCs w:val="18"/>
                <w:i w:val="1"/>
                <w:iCs w:val="1"/>
                <w:color w:val="auto"/>
              </w:rPr>
              <w:t>(Principal</w:t>
            </w:r>
          </w:p>
        </w:tc>
        <w:tc>
          <w:tcPr>
            <w:tcW w:w="2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 15, 2019</w:t>
            </w:r>
          </w:p>
        </w:tc>
        <w:tc>
          <w:tcPr>
            <w:tcW w:w="0" w:type="dxa"/>
            <w:vAlign w:val="bottom"/>
          </w:tcPr>
          <w:p>
            <w:pPr>
              <w:spacing w:after="0"/>
              <w:rPr>
                <w:sz w:val="1"/>
                <w:szCs w:val="1"/>
                <w:color w:val="auto"/>
              </w:rPr>
            </w:pPr>
          </w:p>
        </w:tc>
      </w:tr>
      <w:tr>
        <w:trPr>
          <w:trHeight w:val="47"/>
        </w:trPr>
        <w:tc>
          <w:tcPr>
            <w:tcW w:w="446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4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44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Dennis Bertolotti</w:t>
            </w:r>
          </w:p>
        </w:tc>
        <w:tc>
          <w:tcPr>
            <w:tcW w:w="120" w:type="dxa"/>
            <w:vAlign w:val="bottom"/>
            <w:vMerge w:val="continue"/>
          </w:tcPr>
          <w:p>
            <w:pPr>
              <w:spacing w:after="0"/>
              <w:rPr>
                <w:sz w:val="14"/>
                <w:szCs w:val="14"/>
                <w:color w:val="auto"/>
              </w:rPr>
            </w:pPr>
          </w:p>
        </w:tc>
        <w:tc>
          <w:tcPr>
            <w:tcW w:w="4680" w:type="dxa"/>
            <w:vAlign w:val="bottom"/>
            <w:gridSpan w:val="2"/>
            <w:vMerge w:val="continue"/>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4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0"/>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Edward J. Prajzner</w:t>
            </w:r>
          </w:p>
        </w:tc>
        <w:tc>
          <w:tcPr>
            <w:tcW w:w="120" w:type="dxa"/>
            <w:vAlign w:val="bottom"/>
          </w:tcPr>
          <w:p>
            <w:pPr>
              <w:spacing w:after="0"/>
              <w:rPr>
                <w:sz w:val="24"/>
                <w:szCs w:val="24"/>
                <w:color w:val="auto"/>
              </w:rPr>
            </w:pPr>
          </w:p>
        </w:tc>
        <w:tc>
          <w:tcPr>
            <w:tcW w:w="4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tc>
        <w:tc>
          <w:tcPr>
            <w:tcW w:w="2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 15, 2019</w:t>
            </w:r>
          </w:p>
        </w:tc>
        <w:tc>
          <w:tcPr>
            <w:tcW w:w="0" w:type="dxa"/>
            <w:vAlign w:val="bottom"/>
          </w:tcPr>
          <w:p>
            <w:pPr>
              <w:spacing w:after="0"/>
              <w:rPr>
                <w:sz w:val="1"/>
                <w:szCs w:val="1"/>
                <w:color w:val="auto"/>
              </w:rPr>
            </w:pPr>
          </w:p>
        </w:tc>
      </w:tr>
      <w:tr>
        <w:trPr>
          <w:trHeight w:val="115"/>
        </w:trPr>
        <w:tc>
          <w:tcPr>
            <w:tcW w:w="4460" w:type="dxa"/>
            <w:vAlign w:val="bottom"/>
            <w:tcBorders>
              <w:bottom w:val="single" w:sz="8" w:color="auto"/>
            </w:tcBorders>
          </w:tcPr>
          <w:p>
            <w:pPr>
              <w:spacing w:after="0"/>
              <w:rPr>
                <w:sz w:val="9"/>
                <w:szCs w:val="9"/>
                <w:color w:val="auto"/>
              </w:rPr>
            </w:pPr>
          </w:p>
        </w:tc>
        <w:tc>
          <w:tcPr>
            <w:tcW w:w="120" w:type="dxa"/>
            <w:vAlign w:val="bottom"/>
            <w:vMerge w:val="restart"/>
          </w:tcPr>
          <w:p>
            <w:pPr>
              <w:spacing w:after="0"/>
              <w:rPr>
                <w:sz w:val="9"/>
                <w:szCs w:val="9"/>
                <w:color w:val="auto"/>
              </w:rPr>
            </w:pPr>
          </w:p>
        </w:tc>
        <w:tc>
          <w:tcPr>
            <w:tcW w:w="4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(Principal Financial and</w:t>
            </w: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4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Edward J. Prajzner</w:t>
            </w:r>
          </w:p>
        </w:tc>
        <w:tc>
          <w:tcPr>
            <w:tcW w:w="120" w:type="dxa"/>
            <w:vAlign w:val="bottom"/>
            <w:vMerge w:val="continue"/>
          </w:tcPr>
          <w:p>
            <w:pPr>
              <w:spacing w:after="0"/>
              <w:rPr>
                <w:sz w:val="7"/>
                <w:szCs w:val="7"/>
                <w:color w:val="auto"/>
              </w:rPr>
            </w:pPr>
          </w:p>
        </w:tc>
        <w:tc>
          <w:tcPr>
            <w:tcW w:w="4680" w:type="dxa"/>
            <w:vAlign w:val="bottom"/>
            <w:gridSpan w:val="2"/>
            <w:vMerge w:val="continue"/>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44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Accounting Officer)</w:t>
            </w: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4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80" w:type="dxa"/>
            <w:vAlign w:val="bottom"/>
            <w:gridSpan w:val="2"/>
            <w:vMerge w:val="continue"/>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7"/>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James J. Forese</w:t>
            </w:r>
          </w:p>
        </w:tc>
        <w:tc>
          <w:tcPr>
            <w:tcW w:w="120" w:type="dxa"/>
            <w:vAlign w:val="bottom"/>
          </w:tcPr>
          <w:p>
            <w:pPr>
              <w:spacing w:after="0"/>
              <w:rPr>
                <w:sz w:val="24"/>
                <w:szCs w:val="24"/>
                <w:color w:val="auto"/>
              </w:rPr>
            </w:pPr>
          </w:p>
        </w:tc>
        <w:tc>
          <w:tcPr>
            <w:tcW w:w="4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 15, 2019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James J. Forese</w:t>
            </w: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Richard H. Glanton</w:t>
            </w:r>
          </w:p>
        </w:tc>
        <w:tc>
          <w:tcPr>
            <w:tcW w:w="120" w:type="dxa"/>
            <w:vAlign w:val="bottom"/>
          </w:tcPr>
          <w:p>
            <w:pPr>
              <w:spacing w:after="0"/>
              <w:rPr>
                <w:sz w:val="24"/>
                <w:szCs w:val="24"/>
                <w:color w:val="auto"/>
              </w:rPr>
            </w:pPr>
          </w:p>
        </w:tc>
        <w:tc>
          <w:tcPr>
            <w:tcW w:w="4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 15, 2019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Richard H. Glanton</w:t>
            </w: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Nicholas DeBenedictis</w:t>
            </w:r>
          </w:p>
        </w:tc>
        <w:tc>
          <w:tcPr>
            <w:tcW w:w="120" w:type="dxa"/>
            <w:vAlign w:val="bottom"/>
          </w:tcPr>
          <w:p>
            <w:pPr>
              <w:spacing w:after="0"/>
              <w:rPr>
                <w:sz w:val="24"/>
                <w:szCs w:val="24"/>
                <w:color w:val="auto"/>
              </w:rPr>
            </w:pPr>
          </w:p>
        </w:tc>
        <w:tc>
          <w:tcPr>
            <w:tcW w:w="4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 15, 2019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Nicholas DeBenedictis</w:t>
            </w: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Michael J. Lange</w:t>
            </w:r>
          </w:p>
        </w:tc>
        <w:tc>
          <w:tcPr>
            <w:tcW w:w="120" w:type="dxa"/>
            <w:vAlign w:val="bottom"/>
          </w:tcPr>
          <w:p>
            <w:pPr>
              <w:spacing w:after="0"/>
              <w:rPr>
                <w:sz w:val="24"/>
                <w:szCs w:val="24"/>
                <w:color w:val="auto"/>
              </w:rPr>
            </w:pPr>
          </w:p>
        </w:tc>
        <w:tc>
          <w:tcPr>
            <w:tcW w:w="4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 15, 2019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Michael J. Lange</w:t>
            </w: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Manuel N. Stamatakis</w:t>
            </w:r>
          </w:p>
        </w:tc>
        <w:tc>
          <w:tcPr>
            <w:tcW w:w="120" w:type="dxa"/>
            <w:vAlign w:val="bottom"/>
          </w:tcPr>
          <w:p>
            <w:pPr>
              <w:spacing w:after="0"/>
              <w:rPr>
                <w:sz w:val="24"/>
                <w:szCs w:val="24"/>
                <w:color w:val="auto"/>
              </w:rPr>
            </w:pPr>
          </w:p>
        </w:tc>
        <w:tc>
          <w:tcPr>
            <w:tcW w:w="4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 15, 2019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Manuel N. Stamatakis</w:t>
            </w: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W. Curtis Weldon</w:t>
            </w:r>
          </w:p>
        </w:tc>
        <w:tc>
          <w:tcPr>
            <w:tcW w:w="120" w:type="dxa"/>
            <w:vAlign w:val="bottom"/>
          </w:tcPr>
          <w:p>
            <w:pPr>
              <w:spacing w:after="0"/>
              <w:rPr>
                <w:sz w:val="24"/>
                <w:szCs w:val="24"/>
                <w:color w:val="auto"/>
              </w:rPr>
            </w:pPr>
          </w:p>
        </w:tc>
        <w:tc>
          <w:tcPr>
            <w:tcW w:w="4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 15, 2019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 Curtis Weldon</w:t>
            </w: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4460" w:type="dxa"/>
            <w:vAlign w:val="bottom"/>
          </w:tcPr>
          <w:p>
            <w:pPr>
              <w:spacing w:after="0"/>
              <w:rPr>
                <w:sz w:val="24"/>
                <w:szCs w:val="24"/>
                <w:color w:val="auto"/>
              </w:rPr>
            </w:pPr>
          </w:p>
        </w:tc>
        <w:tc>
          <w:tcPr>
            <w:tcW w:w="4700" w:type="dxa"/>
            <w:vAlign w:val="bottom"/>
            <w:gridSpan w:val="2"/>
          </w:tcPr>
          <w:p>
            <w:pPr>
              <w:jc w:val="right"/>
              <w:ind w:right="3271"/>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6" w:name="page97"/>
    <w:bookmarkEnd w:id="96"/>
    <w:p>
      <w:pPr>
        <w:ind w:left="7780"/>
        <w:spacing w:after="0"/>
        <w:rPr>
          <w:sz w:val="20"/>
          <w:szCs w:val="20"/>
          <w:color w:val="auto"/>
        </w:rPr>
      </w:pPr>
      <w:r>
        <w:rPr>
          <w:rFonts w:ascii="Times New Roman" w:cs="Times New Roman" w:eastAsia="Times New Roman" w:hAnsi="Times New Roman"/>
          <w:sz w:val="22"/>
          <w:szCs w:val="22"/>
          <w:b w:val="1"/>
          <w:bCs w:val="1"/>
          <w:color w:val="auto"/>
        </w:rPr>
        <w:t>Exhibit 10.11</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Severance Plan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[Modified February 28, 2018]</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MISTRAS GROUP, INC.</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SEVERANCE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Introduction</w:t>
      </w:r>
    </w:p>
    <w:p>
      <w:pPr>
        <w:spacing w:after="0" w:line="22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Due to the competitive nature of the NDT business and the need for executive and managerial talent in the industry, executives and managers of Mistras Group, Inc. (“</w:t>
      </w:r>
      <w:r>
        <w:rPr>
          <w:rFonts w:ascii="Times New Roman" w:cs="Times New Roman" w:eastAsia="Times New Roman" w:hAnsi="Times New Roman"/>
          <w:sz w:val="20"/>
          <w:szCs w:val="20"/>
          <w:u w:val="single" w:color="auto"/>
          <w:color w:val="auto"/>
        </w:rPr>
        <w:t>Mistras</w:t>
      </w:r>
      <w:r>
        <w:rPr>
          <w:rFonts w:ascii="Times New Roman" w:cs="Times New Roman" w:eastAsia="Times New Roman" w:hAnsi="Times New Roman"/>
          <w:sz w:val="20"/>
          <w:szCs w:val="20"/>
          <w:color w:val="auto"/>
        </w:rPr>
        <w:t>”) and its subsidiaries (Mistras and its subsidiaries are collectively referred to as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have been and will continue to be recruited by other companies. In order to attract and retain executive and managerial talent, the Compensation Committee of the Board of Directors of Mistras, in consultation with management, has implemented this severance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This Plan is designed to provide its participants with some level of continued income and benefits upon the termination of their employment with the Company under certain circumstances.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Participants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Participants who receive the benefit of this Plan (“</w:t>
      </w:r>
      <w:r>
        <w:rPr>
          <w:rFonts w:ascii="Times New Roman" w:cs="Times New Roman" w:eastAsia="Times New Roman" w:hAnsi="Times New Roman"/>
          <w:sz w:val="20"/>
          <w:szCs w:val="20"/>
          <w:u w:val="single" w:color="auto"/>
          <w:color w:val="auto"/>
        </w:rPr>
        <w:t>Participants</w:t>
      </w:r>
      <w:r>
        <w:rPr>
          <w:rFonts w:ascii="Times New Roman" w:cs="Times New Roman" w:eastAsia="Times New Roman" w:hAnsi="Times New Roman"/>
          <w:sz w:val="20"/>
          <w:szCs w:val="20"/>
          <w:color w:val="auto"/>
        </w:rPr>
        <w:t>”) are U.S. based full time employees of the Company who are: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Executive Officers</w:t>
      </w:r>
    </w:p>
    <w:p>
      <w:pPr>
        <w:spacing w:after="0"/>
        <w:rPr>
          <w:sz w:val="20"/>
          <w:szCs w:val="20"/>
          <w:color w:val="auto"/>
        </w:rPr>
      </w:pPr>
      <w:r>
        <w:rPr>
          <w:rFonts w:ascii="Times New Roman" w:cs="Times New Roman" w:eastAsia="Times New Roman" w:hAnsi="Times New Roman"/>
          <w:sz w:val="20"/>
          <w:szCs w:val="20"/>
          <w:color w:val="auto"/>
        </w:rPr>
        <w:t>Senior Vice Presidents</w:t>
      </w:r>
    </w:p>
    <w:p>
      <w:pPr>
        <w:spacing w:after="0"/>
        <w:rPr>
          <w:sz w:val="20"/>
          <w:szCs w:val="20"/>
          <w:color w:val="auto"/>
        </w:rPr>
      </w:pPr>
      <w:r>
        <w:rPr>
          <w:rFonts w:ascii="Times New Roman" w:cs="Times New Roman" w:eastAsia="Times New Roman" w:hAnsi="Times New Roman"/>
          <w:sz w:val="20"/>
          <w:szCs w:val="20"/>
          <w:color w:val="auto"/>
        </w:rPr>
        <w:t>Corporate / Group Vice Presidents</w:t>
      </w:r>
    </w:p>
    <w:p>
      <w:pPr>
        <w:spacing w:after="0"/>
        <w:rPr>
          <w:sz w:val="20"/>
          <w:szCs w:val="20"/>
          <w:color w:val="auto"/>
        </w:rPr>
      </w:pPr>
      <w:r>
        <w:rPr>
          <w:rFonts w:ascii="Times New Roman" w:cs="Times New Roman" w:eastAsia="Times New Roman" w:hAnsi="Times New Roman"/>
          <w:sz w:val="20"/>
          <w:szCs w:val="20"/>
          <w:color w:val="auto"/>
        </w:rPr>
        <w:t>Other managers or divisional vice presidents selected by the CEO and approved by the Compensation Committee</w:t>
      </w:r>
    </w:p>
    <w:p>
      <w:pPr>
        <w:spacing w:after="0" w:line="194"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9"/>
          <w:szCs w:val="19"/>
          <w:color w:val="auto"/>
        </w:rPr>
        <w:t>If any Participant is party to an individual agreement with the Company that provides for severance benefits in the event of termination of employment with the Company, the individual will not be eligible to participate in the Plan until the termination or expiration of the agreement.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Circumstance for Severance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Severance benefits are payable to a Participant pursuant to this Plan in the following circumstances:</w:t>
      </w:r>
    </w:p>
    <w:p>
      <w:pPr>
        <w:spacing w:after="0" w:line="216"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Termination without Cause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Participant’s employment with the Company is terminated by the Company without Cause, with “Cause” being any of the following:</w:t>
      </w:r>
    </w:p>
    <w:p>
      <w:pPr>
        <w:spacing w:after="0" w:line="216"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Participant is convicted of or pleads nolo contendere to a felony;</w:t>
      </w:r>
    </w:p>
    <w:p>
      <w:pPr>
        <w:spacing w:after="0" w:line="21" w:lineRule="exact"/>
        <w:rPr>
          <w:rFonts w:ascii="Times New Roman" w:cs="Times New Roman" w:eastAsia="Times New Roman" w:hAnsi="Times New Roman"/>
          <w:sz w:val="18"/>
          <w:szCs w:val="18"/>
          <w:color w:val="auto"/>
        </w:rPr>
      </w:pPr>
    </w:p>
    <w:p>
      <w:pPr>
        <w:ind w:left="660" w:hanging="328"/>
        <w:spacing w:after="0" w:line="239"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Participant is indicted for the commission of a felony against the Company that has a materially adverse effect on the Company’s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Participant commits fraud or a material act or omission involving dishonesty with respect to the Company;</w:t>
      </w: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Participant willfully fails or refuses to carry out the material responsibilities of his or her employment;</w:t>
      </w: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Participant commits a willful act (or failure to act) that constitutes gross negligence which is materially injurious to the Company; or</w:t>
      </w:r>
    </w:p>
    <w:p>
      <w:pPr>
        <w:ind w:left="660" w:right="20" w:hanging="328"/>
        <w:spacing w:after="0" w:line="239"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Participant willfully violates a material policy of the Company, including policies on business ethics and conduct, and policies on the use of inside information and insider trading.</w:t>
      </w:r>
    </w:p>
    <w:p>
      <w:pPr>
        <w:spacing w:after="0" w:line="1"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color w:val="auto"/>
        </w:rPr>
        <w:t>A willful act or omission by a Participant means an act or omission not in good faith and without reasonable belief that the action or omission was in the best interest of the Company.</w:t>
      </w:r>
    </w:p>
    <w:p>
      <w:pPr>
        <w:sectPr>
          <w:pgSz w:w="11900" w:h="16838" w:orient="portrait"/>
          <w:cols w:equalWidth="0" w:num="1">
            <w:col w:w="11420"/>
          </w:cols>
          <w:pgMar w:left="240" w:top="581" w:right="239" w:bottom="1440" w:gutter="0" w:footer="0" w:header="0"/>
        </w:sectPr>
      </w:pPr>
    </w:p>
    <w:bookmarkStart w:id="97" w:name="page98"/>
    <w:bookmarkEnd w:id="97"/>
    <w:p>
      <w:pPr>
        <w:ind w:left="340"/>
        <w:spacing w:after="0"/>
        <w:tabs>
          <w:tab w:leader="none" w:pos="640" w:val="left"/>
        </w:tabs>
        <w:rPr>
          <w:sz w:val="20"/>
          <w:szCs w:val="20"/>
          <w:color w:val="auto"/>
        </w:rPr>
      </w:pP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19"/>
          <w:szCs w:val="19"/>
          <w:color w:val="auto"/>
        </w:rPr>
        <w:t>Termination for Good Reason.</w:t>
      </w:r>
    </w:p>
    <w:p>
      <w:pPr>
        <w:spacing w:after="0" w:line="229"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The Participant’s employment with the Company is terminated by the Participant for “Good Reason,” with “Good Reason” being any of the following:</w:t>
      </w:r>
    </w:p>
    <w:p>
      <w:pPr>
        <w:spacing w:after="0" w:line="173" w:lineRule="exact"/>
        <w:rPr>
          <w:sz w:val="20"/>
          <w:szCs w:val="20"/>
          <w:color w:val="auto"/>
        </w:rPr>
      </w:pPr>
    </w:p>
    <w:p>
      <w:pPr>
        <w:jc w:val="both"/>
        <w:ind w:left="660" w:hanging="328"/>
        <w:spacing w:after="0" w:line="247" w:lineRule="auto"/>
        <w:tabs>
          <w:tab w:leader="none" w:pos="6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a material adverse change in Participant’s status or position, including a material diminution of his or her position, duties, responsibilities or authority or the assignment to him of duties or responsibilities that are materially inconsistent with his status or position;</w:t>
      </w:r>
    </w:p>
    <w:p>
      <w:pPr>
        <w:ind w:left="660" w:hanging="328"/>
        <w:spacing w:after="0"/>
        <w:tabs>
          <w:tab w:leader="none" w:pos="6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Participant’s annual base salary or failure to pay same;</w:t>
      </w:r>
    </w:p>
    <w:p>
      <w:pPr>
        <w:ind w:left="660" w:hanging="328"/>
        <w:spacing w:after="0"/>
        <w:tabs>
          <w:tab w:leader="none" w:pos="6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Participant’s total target incentive award opportunities during a fiscal year;</w:t>
      </w:r>
    </w:p>
    <w:p>
      <w:pPr>
        <w:ind w:left="660" w:hanging="328"/>
        <w:spacing w:after="0"/>
        <w:tabs>
          <w:tab w:leader="none" w:pos="6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relocation of Participant’s principal place of employment by more than 50 miles from the then current location;</w:t>
      </w:r>
    </w:p>
    <w:p>
      <w:pPr>
        <w:ind w:left="660" w:hanging="328"/>
        <w:spacing w:after="0" w:line="239" w:lineRule="auto"/>
        <w:tabs>
          <w:tab w:leader="none" w:pos="6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directed by the Board of Directors of Mistras or a higher level officer of the Company to engage in conduct that is unethical or illegal;</w:t>
      </w:r>
    </w:p>
    <w:p>
      <w:pPr>
        <w:spacing w:after="0" w:line="1" w:lineRule="exact"/>
        <w:rPr>
          <w:rFonts w:ascii="Times New Roman" w:cs="Times New Roman" w:eastAsia="Times New Roman" w:hAnsi="Times New Roman"/>
          <w:sz w:val="20"/>
          <w:szCs w:val="20"/>
          <w:color w:val="auto"/>
        </w:rPr>
      </w:pPr>
    </w:p>
    <w:p>
      <w:pPr>
        <w:ind w:left="660" w:hanging="328"/>
        <w:spacing w:after="0" w:line="239" w:lineRule="auto"/>
        <w:tabs>
          <w:tab w:leader="none" w:pos="6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 Change in Control (as defined below), the failure or refusal by the successor or acquiring company to expressly assume the obligations of the Company under this Plan at the time of the Change in Control; or</w:t>
      </w:r>
    </w:p>
    <w:p>
      <w:pPr>
        <w:spacing w:after="0" w:line="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a material adverse change to this Plan.</w:t>
      </w:r>
    </w:p>
    <w:p>
      <w:pPr>
        <w:ind w:right="220"/>
        <w:spacing w:after="0" w:line="241" w:lineRule="auto"/>
        <w:rPr>
          <w:sz w:val="20"/>
          <w:szCs w:val="20"/>
          <w:color w:val="auto"/>
        </w:rPr>
      </w:pPr>
      <w:r>
        <w:rPr>
          <w:rFonts w:ascii="Times New Roman" w:cs="Times New Roman" w:eastAsia="Times New Roman" w:hAnsi="Times New Roman"/>
          <w:sz w:val="20"/>
          <w:szCs w:val="20"/>
          <w:color w:val="auto"/>
        </w:rPr>
        <w:t>The Plan does not apply to the termination of employment under any other circumstances or for any reason except as expressly enumerated above. This Plan does not apply to the termination of a Participant’s employment due to the Participant’s death or disability. Disability means the Participant cannot perform, with reasonable accommodations, the essential and customary functions and responsibilities of his or her position for 150 consecutive calendar days or 150 or more calendar days in any 365 consecutive calendar period.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Conditions to Receive Severance</w:t>
      </w:r>
    </w:p>
    <w:p>
      <w:pPr>
        <w:spacing w:after="0" w:line="229"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20"/>
          <w:szCs w:val="20"/>
          <w:color w:val="auto"/>
        </w:rPr>
        <w:t>In order to receive any benefits under this Plan, a Participant must sign a release agreement as a condition for severance benefits. The release agreement will provide the Company, its affiliates, and all officers, directors, employees and other representatives of the Company and its affiliates with a full release of any claims the Participant may have against them. In addition, the release agreement will have customary confidential requirements, non-compete/non-solicitation restrictions during the period a Participant is receiving severance payments (the “Restricted Period”), an acknowledgement of the Company’s ownership of intellectual property, and a requirement to return all Company property.</w:t>
      </w:r>
    </w:p>
    <w:p>
      <w:pPr>
        <w:spacing w:after="0" w:line="19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In order for the release agreement to be binding and effective, the Participant must sign the release agreement and return it to the Company within 21 days after he or she receives it and not have rescinded it within any applicable rescission period, which will generally be 7 days unless a longer period is required by law. The Company will endeavor to provide the Participant with the release agreement within 10 days after his or her termination of employment.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Benefits</w:t>
      </w:r>
    </w:p>
    <w:p>
      <w:pPr>
        <w:spacing w:after="0" w:line="229"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20"/>
          <w:szCs w:val="20"/>
          <w:color w:val="auto"/>
        </w:rPr>
        <w:t>1.</w:t>
        <w:tab/>
        <w:t>Pay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Change in Control</w:t>
      </w:r>
    </w:p>
    <w:p>
      <w:pPr>
        <w:spacing w:after="0" w:line="229" w:lineRule="exact"/>
        <w:rPr>
          <w:sz w:val="20"/>
          <w:szCs w:val="20"/>
          <w:color w:val="auto"/>
        </w:rPr>
      </w:pPr>
    </w:p>
    <w:p>
      <w:pPr>
        <w:ind w:right="520"/>
        <w:spacing w:after="0" w:line="269" w:lineRule="auto"/>
        <w:rPr>
          <w:sz w:val="20"/>
          <w:szCs w:val="20"/>
          <w:color w:val="auto"/>
        </w:rPr>
      </w:pPr>
      <w:r>
        <w:rPr>
          <w:rFonts w:ascii="Times New Roman" w:cs="Times New Roman" w:eastAsia="Times New Roman" w:hAnsi="Times New Roman"/>
          <w:sz w:val="20"/>
          <w:szCs w:val="20"/>
          <w:color w:val="auto"/>
        </w:rPr>
        <w:t>If a Participant’s employment is terminated by the Company without Cause or a Participant terminates employment for Good Reason in a situation not involving a Change in Control, as defined below, the following shall be the paid to the Participant:</w:t>
      </w:r>
    </w:p>
    <w:p>
      <w:pPr>
        <w:sectPr>
          <w:pgSz w:w="11900" w:h="16838" w:orient="portrait"/>
          <w:cols w:equalWidth="0" w:num="1">
            <w:col w:w="11420"/>
          </w:cols>
          <w:pgMar w:left="240" w:top="805" w:right="2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9"/>
          <w:szCs w:val="19"/>
          <w:color w:val="auto"/>
        </w:rPr>
        <w:t>Chief Executive Officer: 18 months base salary plus a pro rata portion of the annual cash bonus for the year in which Participant is terminated.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bonus amount shall be at the payout rate based upon Company performance at Participant’s target bonus opportunity.</w:t>
      </w:r>
    </w:p>
    <w:p>
      <w:pPr>
        <w:spacing w:after="0" w:line="20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Other Executive Officers and Senior Vice Presidents: 12 months base salary plus a pro rata portion of the annual cash bonus for the year in which Participant is terminated. The bonus amount shall be at the payout rate based upon Company performance at Participant’s target bonus opportunity.</w:t>
      </w:r>
    </w:p>
    <w:p>
      <w:pPr>
        <w:spacing w:after="0" w:line="188"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Corporate / Group Vice Presidents: 9 months base salary plus a pro rata portion of the annual cash bonus for the year in which Participant is terminated. The bonus amount shall be at the payout rate based upon Company performance at Participant’s target bonus opportunity.</w:t>
      </w:r>
    </w:p>
    <w:p>
      <w:pPr>
        <w:spacing w:after="0" w:line="173"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All other Participants: 6 months base salary plus a pro rata portion of the annual cash bonus for the year in which employee is terminated. The bonus amount shall be at the payout rate based upon Company performance at Participant’s target bonus opportunity.</w:t>
      </w:r>
    </w:p>
    <w:p>
      <w:pPr>
        <w:spacing w:after="0" w:line="173"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The annual cash bonus for the most recently completed fiscal year shall be payable as if a Participant was still employed with the Company at time the bonuses are paid, should termination occur after the end of the fiscal year and before payment of the annual bonus.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Change in Control</w:t>
      </w:r>
    </w:p>
    <w:p>
      <w:pPr>
        <w:spacing w:after="0" w:line="22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If a Participant’s employment is terminated by the Company without Cause or a Participant terminates employment for Good Reason, in either case within 6 months before or 2 years after a Change in Control, as defined below, the following shall be the paid to the Participant: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Executive Officer: 24 months base salary plus 2 years of annual cash bonus at Participant’s target bonus opportunity.</w:t>
      </w:r>
    </w:p>
    <w:p>
      <w:pPr>
        <w:spacing w:after="0" w:line="22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Other Executive Officers and Senior Vice Presidents: 18 months base salary plus 1-1/2 years of annual cash bonus at Participant’s target bonus opportunity.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Corporate / Group Vice Presidents: 12 months base salary plus 1 year of annual cash bonus at Participant’s target bonus opportunity.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other Participants: 9 months base salary plus 75% of one year of annual cash bonus at Participant’s target bonus opportunity.</w:t>
      </w:r>
    </w:p>
    <w:p>
      <w:pPr>
        <w:spacing w:after="0" w:line="229"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The annual cash bonus for the most recently completed fiscal year shall be payable as if a Participant was still employed with the Company at time the bonuses are paid, should termination occur after the end of the fiscal year and before payment of the annual bonus.</w:t>
      </w:r>
    </w:p>
    <w:p>
      <w:pPr>
        <w:spacing w:after="0" w:line="17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For purposes of this Plan, a “Change in Control” shall be deemed to have occurred if (a) any person (within the meaning of Section 13(d)(3) or 14(d)(2) of the Securities Exchange Act of 1934 (“Exchange Act”)) becomes the beneficial owner (within the meaning of Exchange Act Rule 13d-3) of securities of Mistras (not including in the securities beneficially owned by such person any securities acquired directly from Mistras or its affiliates) representing 40% or more of the combined voting power of the Mistras’ then outstanding voting securities, other than (1) Sotirios Vahaviolos, (2) Mistras, (3) any employee benefit plan of Mistras, (4) any entity owned directly or indirectly by the shareholders of Mistras in substantially the same proportion as their ownership of stock of Mistras, or (5) any person who becomes a beneficial owner directly or indirectly of securities of Mistras pursuant to a transaction described in (b) below which meets the exceptions in (b) (1) - (3) below; or (b) there shall have been consummated a consolidation, merger or reorganization of Mistras, unless (1) the stockholders of Mistras immediately before such consolidation, merger or reorganization own, directly or indirectly, at least a majority of</w:t>
      </w:r>
    </w:p>
    <w:p>
      <w:pPr>
        <w:sectPr>
          <w:pgSz w:w="11900" w:h="16838" w:orient="portrait"/>
          <w:cols w:equalWidth="0" w:num="1">
            <w:col w:w="11340"/>
          </w:cols>
          <w:pgMar w:left="240" w:top="576" w:right="319" w:bottom="1440" w:gutter="0" w:footer="0" w:header="0"/>
        </w:sectPr>
      </w:pPr>
    </w:p>
    <w:bookmarkStart w:id="99" w:name="page100"/>
    <w:bookmarkEnd w:id="99"/>
    <w:p>
      <w:pPr>
        <w:spacing w:after="0" w:line="242" w:lineRule="auto"/>
        <w:rPr>
          <w:sz w:val="20"/>
          <w:szCs w:val="20"/>
          <w:color w:val="auto"/>
        </w:rPr>
      </w:pPr>
      <w:r>
        <w:rPr>
          <w:rFonts w:ascii="Times New Roman" w:cs="Times New Roman" w:eastAsia="Times New Roman" w:hAnsi="Times New Roman"/>
          <w:sz w:val="20"/>
          <w:szCs w:val="20"/>
          <w:color w:val="auto"/>
        </w:rPr>
        <w:t>the combined voting power of the outstanding voting securities of Mistras or other entity resulting from such consolidation, merger or reorganization, (2) individuals who were members of the Board of Directors of Mistras (the “Board”) immediately prior to the execution of the agreement providing for such consolidation, merger or reorganization constitute a majority of the board of directors of the surviving corporation or of a corporation directly or indirectly beneficially owning a majority of the voting securities of the surviving corporation, and (3) no person beneficially owns more than 50% of the combined voting power of the then outstanding voting securities of the surviving corporation (other than a person who is (A) Mistras or a subsidiary of Mistras, (B) an employee benefit plan maintained by Mistras, the surviving corporation or any subsidiary, or (C) the beneficial owner of 50% or more of the combined voting power of the outstanding voting securities of Mistras immediately prior to such consolidation, merger or reorganization); or (c) individuals who are directors or director nominees of Mistras as of January 1, 2013 (the “Incumbent Board”) cease for any reason to constitute a majority of the Board, provided that any individual becoming a director subsequent to January 1, 2013 whose appointment or nomination for election by Mistras’ stockholders, was approved by a vote of at least two-thirds of the Incumbent Board shall be considered as though such individual was a member of the Incumbent Board; or (d) the stockholders of Mistras approve the complete liquidation or dissolution of Mistras, or a sale or other disposition of all or substantially all of the assets of Mistras (other than to an entity described in (a)(5) above).</w:t>
      </w:r>
    </w:p>
    <w:p>
      <w:pPr>
        <w:spacing w:after="0" w:line="200"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0"/>
          <w:szCs w:val="20"/>
          <w:color w:val="auto"/>
        </w:rPr>
        <w:t>Timing of Payments. Severance payments under this Plan shall be paid pursuant to the Company’s normal payroll cycle in which the Participant was paid immediately prior to the termination of employment. Each payment shall be treated as a separate payment for purposes of Section 409A of the Internal Revenue Code (or any successor provision). Payments will begin being paid as promptly as reasonably possible following the Participant’s return of the signed release agreement and the expiration of any relevant rescission period. If a Participant has the ability to enable payments hereunder to commence in the year employment is terminated or the following year, based upon the amount of time the Participant takes to return the signed release, payments will not commence until the year following termination of employment. If a Participant is entitled to payment pursuant to this Plan of deferred compensation subject to section 409A prior to six months after such Participant’s termination of employment, such payments will be deferred and paid in a lump sum after the end of such six-month period. Any such delay shall not affect the timing of other payments under this Plan.</w:t>
      </w:r>
    </w:p>
    <w:p>
      <w:pPr>
        <w:spacing w:after="0" w:line="200"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Severance not Earnings. Amounts payable under this Plan will not be included as earnings under any other Company plan, such Mistras 401(k) Savings Plan contributions subject to matching.</w:t>
      </w:r>
    </w:p>
    <w:p>
      <w:pPr>
        <w:spacing w:after="0" w:line="187" w:lineRule="exact"/>
        <w:rPr>
          <w:sz w:val="20"/>
          <w:szCs w:val="20"/>
          <w:color w:val="auto"/>
        </w:rPr>
      </w:pPr>
    </w:p>
    <w:p>
      <w:pPr>
        <w:ind w:left="1460" w:hanging="480"/>
        <w:spacing w:after="0"/>
        <w:tabs>
          <w:tab w:leader="none" w:pos="14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Benefits</w:t>
      </w:r>
    </w:p>
    <w:p>
      <w:pPr>
        <w:spacing w:after="0" w:line="24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Medical Coverage. If a Participant is enrolled in a Company-sponsored medical plan at the time his or her employment is terminated, he or she may continue to participate in the medical plan for up to twelve (12) months following termination at the active employee rate. After the 12 months of active rate coverage, the Participant will be eligible to continue to participate in the medical plan for up to an additional 18 months at full cost under COBRA.</w:t>
      </w:r>
    </w:p>
    <w:p>
      <w:pPr>
        <w:spacing w:after="0" w:line="194"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Life Insurance. A Participant may continue his or her group term life insurance coverage existing at the time employment is terminated at the active employee rate for up to 12 months following termination.</w:t>
      </w:r>
    </w:p>
    <w:p>
      <w:pPr>
        <w:spacing w:after="0" w:line="173" w:lineRule="exact"/>
        <w:rPr>
          <w:sz w:val="20"/>
          <w:szCs w:val="20"/>
          <w:color w:val="auto"/>
        </w:rPr>
      </w:pPr>
    </w:p>
    <w:p>
      <w:pPr>
        <w:ind w:right="800"/>
        <w:spacing w:after="0" w:line="269" w:lineRule="auto"/>
        <w:rPr>
          <w:sz w:val="20"/>
          <w:szCs w:val="20"/>
          <w:color w:val="auto"/>
        </w:rPr>
      </w:pPr>
      <w:r>
        <w:rPr>
          <w:rFonts w:ascii="Times New Roman" w:cs="Times New Roman" w:eastAsia="Times New Roman" w:hAnsi="Times New Roman"/>
          <w:sz w:val="20"/>
          <w:szCs w:val="20"/>
          <w:color w:val="auto"/>
        </w:rPr>
        <w:t>Base Salary. For purposes of benefits under this plan, base salary shall mean the highest annualized rate of base salary in effect for the Participant during the 12 month period preceding termination of employment.</w:t>
      </w:r>
    </w:p>
    <w:p>
      <w:pPr>
        <w:spacing w:after="0" w:line="173"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Other Benefits. Benefits under all Company benefit plans and programs will terminate in accordance with the terms of those plans as they are normally applied to employees who resign or are terminated from their employment with the Company.</w:t>
      </w:r>
    </w:p>
    <w:p>
      <w:pPr>
        <w:spacing w:after="0" w:line="187" w:lineRule="exact"/>
        <w:rPr>
          <w:sz w:val="20"/>
          <w:szCs w:val="20"/>
          <w:color w:val="auto"/>
        </w:rPr>
      </w:pPr>
    </w:p>
    <w:p>
      <w:pPr>
        <w:ind w:left="1460" w:hanging="480"/>
        <w:spacing w:after="0"/>
        <w:tabs>
          <w:tab w:leader="none" w:pos="14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 Awards.</w:t>
      </w:r>
    </w:p>
    <w:p>
      <w:pPr>
        <w:sectPr>
          <w:pgSz w:w="11900" w:h="16838" w:orient="portrait"/>
          <w:cols w:equalWidth="0" w:num="1">
            <w:col w:w="11420"/>
          </w:cols>
          <w:pgMar w:left="240" w:top="576" w:right="239" w:bottom="1440" w:gutter="0" w:footer="0" w:header="0"/>
        </w:sectPr>
      </w:pPr>
    </w:p>
    <w:bookmarkStart w:id="100" w:name="page101"/>
    <w:bookmarkEnd w:id="100"/>
    <w:p>
      <w:pPr>
        <w:ind w:right="160"/>
        <w:spacing w:after="0" w:line="251" w:lineRule="auto"/>
        <w:rPr>
          <w:sz w:val="20"/>
          <w:szCs w:val="20"/>
          <w:color w:val="auto"/>
        </w:rPr>
      </w:pPr>
      <w:r>
        <w:rPr>
          <w:rFonts w:ascii="Times New Roman" w:cs="Times New Roman" w:eastAsia="Times New Roman" w:hAnsi="Times New Roman"/>
          <w:sz w:val="20"/>
          <w:szCs w:val="20"/>
          <w:color w:val="auto"/>
        </w:rPr>
        <w:t>If a Participant’s employment is terminated by the Company without Cause or the Participant terminates employment for Good Reason, not in connection with a Change in Control, then equity awards will be treated as follows:</w:t>
      </w:r>
    </w:p>
    <w:p>
      <w:pPr>
        <w:ind w:left="980" w:right="180" w:hanging="486"/>
        <w:spacing w:after="0" w:line="239" w:lineRule="auto"/>
        <w:tabs>
          <w:tab w:leader="none" w:pos="9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options, RSUs and other time-based equity awards: During the Restricted Period (so long as the Participant is complying with the confidentiality requirements and the non-compete and non-solicitation restrictions in his or her release agreement), all stock options, RSUs and other time-based equity awards will continue to vest. Any vested stock options shall expire 90 days after the end of the Restricted Period. Upon the expiration of the Restricted Period, all unvested awards shall terminate.</w:t>
      </w:r>
    </w:p>
    <w:p>
      <w:pPr>
        <w:spacing w:after="0" w:line="2" w:lineRule="exact"/>
        <w:rPr>
          <w:rFonts w:ascii="Times New Roman" w:cs="Times New Roman" w:eastAsia="Times New Roman" w:hAnsi="Times New Roman"/>
          <w:sz w:val="20"/>
          <w:szCs w:val="20"/>
          <w:color w:val="auto"/>
        </w:rPr>
      </w:pPr>
    </w:p>
    <w:p>
      <w:pPr>
        <w:ind w:left="980" w:right="60" w:hanging="486"/>
        <w:spacing w:after="0" w:line="241" w:lineRule="auto"/>
        <w:tabs>
          <w:tab w:leader="none" w:pos="9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Performance-based awards: Any outstanding performance-based awards will be earned and vested on a pro rata basis to the date of termination, on the condition that the Participant complies with the confidentiality requirements and the non-compete and non-solicitation restrictions in his or her release agreement during the Restricted Period. The amount of the payout shall be based upon actual performance for the respective performance cycle and payout will be made at the end of the performance cycle, provided that the Company may elect to make the payout in cash rather than equity, if the end of cycle payout is in equity.</w:t>
      </w:r>
    </w:p>
    <w:p>
      <w:pPr>
        <w:spacing w:after="0" w:line="20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If a Participant’s employment is terminated by the Company without Cause or the Participant terminates employment for Good Reason within 6 months before or 2 years after a Change in Control, all equity-based incentive awards granted to the Participant which were not paid out or fully vested in connection with the Change in Control shall become fully vested immediately, with the payout under any performance-based awards being equal to the target amount.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Administration</w:t>
      </w:r>
    </w:p>
    <w:p>
      <w:pPr>
        <w:spacing w:after="0" w:line="22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The Compensation Committee of the Board (the “Committee”) shall administer this Plan and shall delegate administration of the Plan to a designated Plan Administrator (“Plan Administrator”). The Plan Administrator shall be initially the Vice President, Human Resources, until such time as another Plan Administrator is designated by the Committee. In addition, the Plan Administrator shall make, in his or her reasonable discretion, all determinations arising in the administration, construction, or interpretation of the Plan, including the rights to construe disputed Plan terms and provisions. All such determinations shall be conclusive and binding on all persons, except as otherwise provided by law. The Plan Administrator is authorized to approve exceptions to this Plan, in his or her reasonable discretion, within the limits prescribed by Section 409A of the Internal Revenue Code and other applicable laws. This Plan is intended to constitute separation pay for purposes of Section 409A of the Internal Revenue Code and ERISA to the extent permissible and is otherwise intended to be a deferred compensation plan maintained primarily for a select group of management or highly compensated employees and to comply with section 409A of the Code, and shall be interpreted strictly in accordance with such foregoing intent. The Company reserves the right to decide whether the circumstances justify the payment of benefits under this Plan in any particular case, and the decision of the Company is final.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Claims Procedure</w:t>
      </w:r>
    </w:p>
    <w:p>
      <w:pPr>
        <w:spacing w:after="0" w:line="229"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If a dispute arises between the Plan Administrator and a Participant or beneficiary over the amount of benefits payable under the Plan, the Participant or beneficiary may file a claim for benefits by notifying the Plan Administrator in writing of his or her claim. The Plan Administrator will review and adjudicate the claim. If the claimant and the Plan Administrator are unable to reach a mutually satisfactory resolution of the dispute, it will be submitted to arbitration under the rules of the American Arbitration Association. Each Participant agrees by continuing in his or her position which makes the Participant eligible to be a Participant, that arbitration will be the sole means of resolving disputes arising under the Plan and waives, on behalf of the Participant and any of his or her beneficiaries, any right to litigate any such dispute in a court of law.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Amendment &amp; Termination</w:t>
      </w:r>
    </w:p>
    <w:p>
      <w:pPr>
        <w:sectPr>
          <w:pgSz w:w="11900" w:h="16838" w:orient="portrait"/>
          <w:cols w:equalWidth="0" w:num="1">
            <w:col w:w="11420"/>
          </w:cols>
          <w:pgMar w:left="240" w:top="576" w:right="239" w:bottom="1440" w:gutter="0" w:footer="0" w:header="0"/>
        </w:sectPr>
      </w:pPr>
    </w:p>
    <w:bookmarkStart w:id="101" w:name="page102"/>
    <w:bookmarkEnd w:id="101"/>
    <w:p>
      <w:pPr>
        <w:jc w:val="both"/>
        <w:spacing w:after="0" w:line="249" w:lineRule="auto"/>
        <w:rPr>
          <w:sz w:val="20"/>
          <w:szCs w:val="20"/>
          <w:color w:val="auto"/>
        </w:rPr>
      </w:pPr>
      <w:r>
        <w:rPr>
          <w:rFonts w:ascii="Times New Roman" w:cs="Times New Roman" w:eastAsia="Times New Roman" w:hAnsi="Times New Roman"/>
          <w:sz w:val="20"/>
          <w:szCs w:val="20"/>
          <w:color w:val="auto"/>
        </w:rPr>
        <w:t>The Plan may be amended or terminated by the Company at any time for any reason, with or without notice. The Company reserves the right, by action of the Compensation Committee of the Board, or by any duly appointed successor committee or authorized delegate of the Board, to amend, modify, suspend or terminate this Plan and to disqualify employees from eligibility under the Plan at any time for any reason or for no reason with or without notice. Any such action is not contingent upon the financial condition of Mistras.</w:t>
      </w:r>
    </w:p>
    <w:p>
      <w:pPr>
        <w:sectPr>
          <w:pgSz w:w="11900" w:h="16838" w:orient="portrait"/>
          <w:cols w:equalWidth="0" w:num="1">
            <w:col w:w="11280"/>
          </w:cols>
          <w:pgMar w:left="240" w:top="576" w:right="379" w:bottom="1440" w:gutter="0" w:footer="0" w:header="0"/>
        </w:sectPr>
      </w:pPr>
    </w:p>
    <w:bookmarkStart w:id="102" w:name="page103"/>
    <w:bookmarkEnd w:id="102"/>
    <w:p>
      <w:pPr>
        <w:ind w:left="1048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subsidiaries of the registrant. The list omits some subsidiaries which, in the aggregate, would not constitute a significant subsidiary.</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 of</w:t>
            </w:r>
          </w:p>
        </w:tc>
      </w:tr>
      <w:tr>
        <w:trPr>
          <w:trHeight w:val="275"/>
        </w:trPr>
        <w:tc>
          <w:tcPr>
            <w:tcW w:w="8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tcPr>
          <w:p>
            <w:pPr>
              <w:spacing w:after="0"/>
              <w:rPr>
                <w:sz w:val="23"/>
                <w:szCs w:val="23"/>
                <w:color w:val="auto"/>
              </w:rPr>
            </w:pPr>
          </w:p>
        </w:tc>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Organization</w:t>
            </w:r>
          </w:p>
        </w:tc>
      </w:tr>
      <w:tr>
        <w:trPr>
          <w:trHeight w:val="242"/>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2159562 Alberta Ltd.</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Aetos Group, Inc.</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CISMIS Springfield Corp.</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Conam Inspection and Engineering Services, Inc.</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Conam Inspection Services Inc.</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GMA Aeronautica S.L.U.</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GMA Engineering GmbH</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GMA Holding B.V.</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GMA Werkstoffprufung GmbH</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Mistras Arizona Inspection Services Inc.</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Mistras Canada, Inc.</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Mistras Engineering Services Inc.</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Mistras GMA Holdings GmbH</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Mistras Group B.V.</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Mistras Group BVBA</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Belgium</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Mistras Group GmbH</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Mistras Group Limited</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England and Wales</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Mistras Group SAS</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Mistras Group Hellas A.B.E.E.</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Greece</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Mistras Group South America Ltda</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Mistras International Holdings Inc.</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Mistras Quebec Holdings Inc.</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Mistras Western Canada Holdings Inc.</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MWC Management Inc.</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NDT do Brasil Ltd.</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Onstream Holdings, Inc.</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Onstream Pipeline Inspection Services Inc.</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Onstream Pipeline Inspection USA Inc.</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Physical Acoustics India Private Ltd.</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Physical Acoustics South America Ltda.</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Quality Services Laboratories, Inc. (1)</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QSL NDT Inc.</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QSL NDT Quebec Inc.</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R.A.C. Group Inc.</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Rope Access Calgary, Inc.</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 Nacher Corporation</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Louisiana</w:t>
            </w:r>
          </w:p>
        </w:tc>
      </w:tr>
      <w:tr>
        <w:trPr>
          <w:trHeight w:val="27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West Penn Non-Destructive Testing, LLC</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Also does business under the names QSL and QSL Plus.</w:t>
      </w:r>
    </w:p>
    <w:p>
      <w:pPr>
        <w:sectPr>
          <w:pgSz w:w="11900" w:h="16838" w:orient="portrait"/>
          <w:cols w:equalWidth="0" w:num="1">
            <w:col w:w="11420"/>
          </w:cols>
          <w:pgMar w:left="240" w:top="117" w:right="2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Mistras Group, Inc.:</w:t>
      </w:r>
    </w:p>
    <w:p>
      <w:pPr>
        <w:spacing w:after="0" w:line="24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333-164688 and 333-217047) on Form S-8 of Mistras Group, Inc. of our report dated March 15, 2019, with respect to the consolidated balance sheets of Mistras Group, Inc. and subsidiaries as of December 31, 2018 and 2017, the related consolidated statements of income (loss), comprehensive income (loss), equity, and cash flows for each of the years in the two year period ended December 31, 2018, the seven month transition period ended December 31, 2016, and the year ended May 31, 2016, and the related notes (collectively, the “consolidated financial statements”), and the effectiveness of internal control over financial reporting as of December 31, 2018, which report appears in the December 31, 2018 Annual Report on Form 10-K of Mistras Group, Inc.</w:t>
      </w:r>
    </w:p>
    <w:p>
      <w:pPr>
        <w:spacing w:after="0" w:line="1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report includes an explanatory paragraph indicating that management excluded from its assessment of the effectiveness of the Company’s internal control over financial reporting as of December 31, 2018, internal control over financial reporting associated with one entity acquired during 2018, associated with total assets of 2.1% and total revenues of 0.1% included in the consolidated financial statements of the Company as of and for the year ended December 31, 2018. Our audit of internal control over financial reporting of the Company also excluded an evaluation of the internal control over financial reporting of these entities.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 Hills,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2019</w:t>
      </w:r>
    </w:p>
    <w:p>
      <w:pPr>
        <w:sectPr>
          <w:pgSz w:w="11900" w:h="16838" w:orient="portrait"/>
          <w:cols w:equalWidth="0" w:num="1">
            <w:col w:w="11420"/>
          </w:cols>
          <w:pgMar w:left="240" w:top="117" w:right="2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Dennis Bertolotti, certify that:</w:t>
      </w:r>
    </w:p>
    <w:p>
      <w:pPr>
        <w:spacing w:after="0" w:line="225" w:lineRule="exact"/>
        <w:rPr>
          <w:sz w:val="20"/>
          <w:szCs w:val="20"/>
          <w:color w:val="auto"/>
        </w:rPr>
      </w:pPr>
    </w:p>
    <w:p>
      <w:pPr>
        <w:ind w:left="360" w:hanging="352"/>
        <w:spacing w:after="0"/>
        <w:tabs>
          <w:tab w:leader="none" w:pos="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Mistras Group, Inc.;</w:t>
      </w:r>
    </w:p>
    <w:p>
      <w:pPr>
        <w:spacing w:after="0" w:line="265" w:lineRule="exact"/>
        <w:rPr>
          <w:rFonts w:ascii="Times New Roman" w:cs="Times New Roman" w:eastAsia="Times New Roman" w:hAnsi="Times New Roman"/>
          <w:sz w:val="18"/>
          <w:szCs w:val="18"/>
          <w:color w:val="auto"/>
        </w:rPr>
      </w:pPr>
    </w:p>
    <w:p>
      <w:pPr>
        <w:ind w:right="440" w:firstLine="8"/>
        <w:spacing w:after="0" w:line="329" w:lineRule="auto"/>
        <w:tabs>
          <w:tab w:leader="none" w:pos="3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right="540" w:firstLine="8"/>
        <w:spacing w:after="0" w:line="329" w:lineRule="auto"/>
        <w:tabs>
          <w:tab w:leader="none" w:pos="3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w:t>
      </w:r>
    </w:p>
    <w:p>
      <w:pPr>
        <w:spacing w:after="0" w:line="5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162" w:lineRule="exact"/>
        <w:rPr>
          <w:sz w:val="20"/>
          <w:szCs w:val="20"/>
          <w:color w:val="auto"/>
        </w:rPr>
      </w:pPr>
    </w:p>
    <w:p>
      <w:pPr>
        <w:ind w:left="680" w:hanging="348"/>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w:t>
      </w:r>
    </w:p>
    <w:p>
      <w:pPr>
        <w:spacing w:after="0" w:line="50" w:lineRule="exact"/>
        <w:rPr>
          <w:sz w:val="20"/>
          <w:szCs w:val="20"/>
          <w:color w:val="auto"/>
        </w:rPr>
      </w:pPr>
    </w:p>
    <w:p>
      <w:pPr>
        <w:ind w:left="660" w:right="540"/>
        <w:spacing w:after="0" w:line="282" w:lineRule="auto"/>
        <w:rPr>
          <w:sz w:val="20"/>
          <w:szCs w:val="20"/>
          <w:color w:val="auto"/>
        </w:rPr>
      </w:pPr>
      <w:r>
        <w:rPr>
          <w:rFonts w:ascii="Times New Roman" w:cs="Times New Roman" w:eastAsia="Times New Roman" w:hAnsi="Times New Roman"/>
          <w:sz w:val="18"/>
          <w:szCs w:val="18"/>
          <w:color w:val="auto"/>
        </w:rPr>
        <w:t>that material information relating to the registrant, including its consolidated subsidiaries, is made known to us by others within those entities, particularly during the period in which this report is being prepared;</w:t>
      </w:r>
    </w:p>
    <w:p>
      <w:pPr>
        <w:spacing w:after="0" w:line="162" w:lineRule="exact"/>
        <w:rPr>
          <w:sz w:val="20"/>
          <w:szCs w:val="20"/>
          <w:color w:val="auto"/>
        </w:rPr>
      </w:pPr>
    </w:p>
    <w:p>
      <w:pPr>
        <w:ind w:left="680" w:hanging="348"/>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w:t>
      </w:r>
    </w:p>
    <w:p>
      <w:pPr>
        <w:spacing w:after="0" w:line="50" w:lineRule="exact"/>
        <w:rPr>
          <w:sz w:val="20"/>
          <w:szCs w:val="20"/>
          <w:color w:val="auto"/>
        </w:rPr>
      </w:pPr>
    </w:p>
    <w:p>
      <w:pPr>
        <w:ind w:left="660" w:right="300"/>
        <w:spacing w:after="0" w:line="282" w:lineRule="auto"/>
        <w:rPr>
          <w:sz w:val="20"/>
          <w:szCs w:val="20"/>
          <w:color w:val="auto"/>
        </w:rPr>
      </w:pPr>
      <w:r>
        <w:rPr>
          <w:rFonts w:ascii="Times New Roman" w:cs="Times New Roman" w:eastAsia="Times New Roman" w:hAnsi="Times New Roman"/>
          <w:sz w:val="18"/>
          <w:szCs w:val="18"/>
          <w:color w:val="auto"/>
        </w:rPr>
        <w:t>to provide reasonable assurance regarding the reliability of financial reporting and the preparation of financial statements for external purposes in accordance with generally accepted accounting principles;</w:t>
      </w:r>
    </w:p>
    <w:p>
      <w:pPr>
        <w:spacing w:after="0" w:line="162" w:lineRule="exact"/>
        <w:rPr>
          <w:sz w:val="20"/>
          <w:szCs w:val="20"/>
          <w:color w:val="auto"/>
        </w:rPr>
      </w:pPr>
    </w:p>
    <w:p>
      <w:pPr>
        <w:ind w:left="660" w:right="80" w:hanging="328"/>
        <w:spacing w:after="0" w:line="329"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680" w:hanging="348"/>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w:t>
      </w:r>
    </w:p>
    <w:p>
      <w:pPr>
        <w:spacing w:after="0" w:line="50"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62" w:lineRule="exact"/>
        <w:rPr>
          <w:sz w:val="20"/>
          <w:szCs w:val="20"/>
          <w:color w:val="auto"/>
        </w:rPr>
      </w:pPr>
    </w:p>
    <w:p>
      <w:pPr>
        <w:ind w:right="280" w:firstLine="8"/>
        <w:spacing w:after="0" w:line="329" w:lineRule="auto"/>
        <w:tabs>
          <w:tab w:leader="none" w:pos="3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right="20" w:hanging="328"/>
        <w:spacing w:after="0" w:line="329" w:lineRule="auto"/>
        <w:tabs>
          <w:tab w:leader="none" w:pos="68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right="60" w:hanging="328"/>
        <w:spacing w:after="0" w:line="329" w:lineRule="auto"/>
        <w:tabs>
          <w:tab w:leader="none" w:pos="69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2019</w:t>
      </w:r>
    </w:p>
    <w:p>
      <w:pPr>
        <w:spacing w:after="0" w:line="38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DENNIS BERTOLOTTI</w:t>
            </w:r>
          </w:p>
        </w:tc>
      </w:tr>
      <w:tr>
        <w:trPr>
          <w:trHeight w:val="27"/>
        </w:trPr>
        <w:tc>
          <w:tcPr>
            <w:tcW w:w="6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Dennis Bertolotti</w:t>
            </w:r>
          </w:p>
        </w:tc>
      </w:tr>
      <w:tr>
        <w:trPr>
          <w:trHeight w:val="252"/>
        </w:trPr>
        <w:tc>
          <w:tcPr>
            <w:tcW w:w="640" w:type="dxa"/>
            <w:vAlign w:val="bottom"/>
          </w:tcPr>
          <w:p>
            <w:pPr>
              <w:spacing w:after="0"/>
              <w:rPr>
                <w:sz w:val="21"/>
                <w:szCs w:val="21"/>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576" w:right="2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Edward J. Prajzner, certify that:</w:t>
      </w:r>
    </w:p>
    <w:p>
      <w:pPr>
        <w:spacing w:after="0" w:line="225" w:lineRule="exact"/>
        <w:rPr>
          <w:sz w:val="20"/>
          <w:szCs w:val="20"/>
          <w:color w:val="auto"/>
        </w:rPr>
      </w:pPr>
    </w:p>
    <w:p>
      <w:pPr>
        <w:ind w:left="360" w:hanging="352"/>
        <w:spacing w:after="0"/>
        <w:tabs>
          <w:tab w:leader="none" w:pos="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Mistras Group, Inc.;</w:t>
      </w:r>
    </w:p>
    <w:p>
      <w:pPr>
        <w:spacing w:after="0" w:line="265" w:lineRule="exact"/>
        <w:rPr>
          <w:rFonts w:ascii="Times New Roman" w:cs="Times New Roman" w:eastAsia="Times New Roman" w:hAnsi="Times New Roman"/>
          <w:sz w:val="18"/>
          <w:szCs w:val="18"/>
          <w:color w:val="auto"/>
        </w:rPr>
      </w:pPr>
    </w:p>
    <w:p>
      <w:pPr>
        <w:ind w:right="440" w:firstLine="8"/>
        <w:spacing w:after="0" w:line="329" w:lineRule="auto"/>
        <w:tabs>
          <w:tab w:leader="none" w:pos="3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right="540" w:firstLine="8"/>
        <w:spacing w:after="0" w:line="329" w:lineRule="auto"/>
        <w:tabs>
          <w:tab w:leader="none" w:pos="3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w:t>
      </w:r>
    </w:p>
    <w:p>
      <w:pPr>
        <w:spacing w:after="0" w:line="5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162" w:lineRule="exact"/>
        <w:rPr>
          <w:sz w:val="20"/>
          <w:szCs w:val="20"/>
          <w:color w:val="auto"/>
        </w:rPr>
      </w:pPr>
    </w:p>
    <w:p>
      <w:pPr>
        <w:ind w:left="680" w:hanging="348"/>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w:t>
      </w:r>
    </w:p>
    <w:p>
      <w:pPr>
        <w:spacing w:after="0" w:line="50" w:lineRule="exact"/>
        <w:rPr>
          <w:sz w:val="20"/>
          <w:szCs w:val="20"/>
          <w:color w:val="auto"/>
        </w:rPr>
      </w:pPr>
    </w:p>
    <w:p>
      <w:pPr>
        <w:ind w:left="660" w:right="540"/>
        <w:spacing w:after="0" w:line="282" w:lineRule="auto"/>
        <w:rPr>
          <w:sz w:val="20"/>
          <w:szCs w:val="20"/>
          <w:color w:val="auto"/>
        </w:rPr>
      </w:pPr>
      <w:r>
        <w:rPr>
          <w:rFonts w:ascii="Times New Roman" w:cs="Times New Roman" w:eastAsia="Times New Roman" w:hAnsi="Times New Roman"/>
          <w:sz w:val="18"/>
          <w:szCs w:val="18"/>
          <w:color w:val="auto"/>
        </w:rPr>
        <w:t>that material information relating to the registrant, including its consolidated subsidiaries, is made known to us by others within those entities, particularly during the period in which this report is being prepared;</w:t>
      </w:r>
    </w:p>
    <w:p>
      <w:pPr>
        <w:spacing w:after="0" w:line="162" w:lineRule="exact"/>
        <w:rPr>
          <w:sz w:val="20"/>
          <w:szCs w:val="20"/>
          <w:color w:val="auto"/>
        </w:rPr>
      </w:pPr>
    </w:p>
    <w:p>
      <w:pPr>
        <w:ind w:left="680" w:hanging="348"/>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w:t>
      </w:r>
    </w:p>
    <w:p>
      <w:pPr>
        <w:spacing w:after="0" w:line="50" w:lineRule="exact"/>
        <w:rPr>
          <w:sz w:val="20"/>
          <w:szCs w:val="20"/>
          <w:color w:val="auto"/>
        </w:rPr>
      </w:pPr>
    </w:p>
    <w:p>
      <w:pPr>
        <w:ind w:left="660" w:right="300"/>
        <w:spacing w:after="0" w:line="282" w:lineRule="auto"/>
        <w:rPr>
          <w:sz w:val="20"/>
          <w:szCs w:val="20"/>
          <w:color w:val="auto"/>
        </w:rPr>
      </w:pPr>
      <w:r>
        <w:rPr>
          <w:rFonts w:ascii="Times New Roman" w:cs="Times New Roman" w:eastAsia="Times New Roman" w:hAnsi="Times New Roman"/>
          <w:sz w:val="18"/>
          <w:szCs w:val="18"/>
          <w:color w:val="auto"/>
        </w:rPr>
        <w:t>to provide reasonable assurance regarding the reliability of financial reporting and the preparation of financial statements for external purposes in accordance with generally accepted accounting principles;</w:t>
      </w:r>
    </w:p>
    <w:p>
      <w:pPr>
        <w:spacing w:after="0" w:line="162" w:lineRule="exact"/>
        <w:rPr>
          <w:sz w:val="20"/>
          <w:szCs w:val="20"/>
          <w:color w:val="auto"/>
        </w:rPr>
      </w:pPr>
    </w:p>
    <w:p>
      <w:pPr>
        <w:ind w:left="660" w:right="80" w:hanging="328"/>
        <w:spacing w:after="0" w:line="329" w:lineRule="auto"/>
        <w:tabs>
          <w:tab w:leader="none" w:pos="6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680" w:hanging="348"/>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w:t>
      </w:r>
    </w:p>
    <w:p>
      <w:pPr>
        <w:spacing w:after="0" w:line="50"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62" w:lineRule="exact"/>
        <w:rPr>
          <w:sz w:val="20"/>
          <w:szCs w:val="20"/>
          <w:color w:val="auto"/>
        </w:rPr>
      </w:pPr>
    </w:p>
    <w:p>
      <w:pPr>
        <w:ind w:right="280" w:firstLine="8"/>
        <w:spacing w:after="0" w:line="329" w:lineRule="auto"/>
        <w:tabs>
          <w:tab w:leader="none" w:pos="3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right="20" w:hanging="328"/>
        <w:spacing w:after="0" w:line="329" w:lineRule="auto"/>
        <w:tabs>
          <w:tab w:leader="none" w:pos="68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right="60" w:hanging="328"/>
        <w:spacing w:after="0" w:line="329" w:lineRule="auto"/>
        <w:tabs>
          <w:tab w:leader="none" w:pos="69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2019</w:t>
      </w:r>
    </w:p>
    <w:p>
      <w:pPr>
        <w:spacing w:after="0" w:line="38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EDWARD J. PRAJZNER</w:t>
            </w:r>
          </w:p>
        </w:tc>
      </w:tr>
      <w:tr>
        <w:trPr>
          <w:trHeight w:val="27"/>
        </w:trPr>
        <w:tc>
          <w:tcPr>
            <w:tcW w:w="6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Edward J. Prajzner</w:t>
            </w:r>
          </w:p>
        </w:tc>
      </w:tr>
      <w:tr>
        <w:trPr>
          <w:trHeight w:val="252"/>
        </w:trPr>
        <w:tc>
          <w:tcPr>
            <w:tcW w:w="640" w:type="dxa"/>
            <w:vAlign w:val="bottom"/>
          </w:tcPr>
          <w:p>
            <w:pPr>
              <w:spacing w:after="0"/>
              <w:rPr>
                <w:sz w:val="21"/>
                <w:szCs w:val="21"/>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tc>
      </w:tr>
      <w:tr>
        <w:trPr>
          <w:trHeight w:val="234"/>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420"/>
          </w:cols>
          <w:pgMar w:left="240" w:top="576" w:right="2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Mistras Group, Inc. (the Company) for the year ended December 31, 2018, I, Dennis Bertolotti, President and Chief Executive Officer, hereby certify pursuant to 18 U.S.C. Section 1350, as adopted pursuant to Section 906 of the Sarbanes-Oxley Act of 2002, to the best of my knowledge and belief, that:</w:t>
      </w:r>
    </w:p>
    <w:p>
      <w:pPr>
        <w:spacing w:after="0" w:line="176" w:lineRule="exact"/>
        <w:rPr>
          <w:sz w:val="20"/>
          <w:szCs w:val="20"/>
          <w:color w:val="auto"/>
        </w:rPr>
      </w:pPr>
    </w:p>
    <w:p>
      <w:pPr>
        <w:ind w:right="360" w:firstLine="440"/>
        <w:spacing w:after="0" w:line="282" w:lineRule="auto"/>
        <w:tabs>
          <w:tab w:leader="none" w:pos="68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Annual Report on Form 10-K for the year ended December 31, 2018,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right="180" w:firstLine="440"/>
        <w:spacing w:after="0" w:line="282" w:lineRule="auto"/>
        <w:tabs>
          <w:tab w:leader="none" w:pos="68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Annual Report on Form 10-K for the year ended December 31, 2018, fairly presents, in all material respects, the financial condition and results of operations of the Company.</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such Annual Report on Form 10-K for the year ended December 31, 2018,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338" w:lineRule="exact"/>
        <w:rPr>
          <w:sz w:val="20"/>
          <w:szCs w:val="20"/>
          <w:color w:val="auto"/>
        </w:rPr>
      </w:pPr>
    </w:p>
    <w:p>
      <w:pPr>
        <w:ind w:left="40"/>
        <w:spacing w:after="0"/>
        <w:tabs>
          <w:tab w:leader="none" w:pos="700" w:val="left"/>
          <w:tab w:leader="none" w:pos="77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15, 2019</w:t>
      </w:r>
      <w:r>
        <w:rPr>
          <w:sz w:val="20"/>
          <w:szCs w:val="20"/>
          <w:color w:val="auto"/>
        </w:rPr>
        <w:tab/>
      </w:r>
      <w:r>
        <w:rPr>
          <w:rFonts w:ascii="Times New Roman" w:cs="Times New Roman" w:eastAsia="Times New Roman" w:hAnsi="Times New Roman"/>
          <w:sz w:val="17"/>
          <w:szCs w:val="17"/>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Dennis Bertolotti</w:t>
      </w:r>
    </w:p>
    <w:p>
      <w:pPr>
        <w:spacing w:after="0" w:line="63"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63"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Annual Report on Form 10-K of Mistras Group, Inc. (the Company) for the year ended December 31, 2018, I, Edward J. Prajzner, Principal Financial and Accounting Officer, hereby certify pursuant to 18 U.S.C. Section 1350, as adopted pursuant to Section 906 of the Sarbanes-Oxley Act of 2002, to the best of my knowledge and belief, that:</w:t>
      </w:r>
    </w:p>
    <w:p>
      <w:pPr>
        <w:spacing w:after="0" w:line="176" w:lineRule="exact"/>
        <w:rPr>
          <w:sz w:val="20"/>
          <w:szCs w:val="20"/>
          <w:color w:val="auto"/>
        </w:rPr>
      </w:pPr>
    </w:p>
    <w:p>
      <w:pPr>
        <w:ind w:right="360" w:firstLine="440"/>
        <w:spacing w:after="0" w:line="282" w:lineRule="auto"/>
        <w:tabs>
          <w:tab w:leader="none" w:pos="68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Annual Report on Form 10-K for the year ended December 31, 2018,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right="180" w:firstLine="440"/>
        <w:spacing w:after="0" w:line="282" w:lineRule="auto"/>
        <w:tabs>
          <w:tab w:leader="none" w:pos="68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Annual Report on Form 10-K for the year ended December 31, 2018, fairly presents, in all material respects, the financial condition and results of operations of the Company.</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such Annual Report on Form 10-K for the year ended December 31, 2018,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338" w:lineRule="exact"/>
        <w:rPr>
          <w:sz w:val="20"/>
          <w:szCs w:val="20"/>
          <w:color w:val="auto"/>
        </w:rPr>
      </w:pPr>
    </w:p>
    <w:p>
      <w:pPr>
        <w:ind w:left="40"/>
        <w:spacing w:after="0"/>
        <w:tabs>
          <w:tab w:leader="none" w:pos="700" w:val="left"/>
          <w:tab w:leader="none" w:pos="76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15, 2019</w:t>
      </w:r>
      <w:r>
        <w:rPr>
          <w:sz w:val="20"/>
          <w:szCs w:val="20"/>
          <w:color w:val="auto"/>
        </w:rPr>
        <w:tab/>
      </w:r>
      <w:r>
        <w:rPr>
          <w:rFonts w:ascii="Times New Roman" w:cs="Times New Roman" w:eastAsia="Times New Roman" w:hAnsi="Times New Roman"/>
          <w:sz w:val="17"/>
          <w:szCs w:val="17"/>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63"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63"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o"/>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1)"/>
      <w:numFmt w:val="lowerRoman"/>
      <w:start w:val="2"/>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1)"/>
      <w:numFmt w:val="decimal"/>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1)"/>
      <w:numFmt w:val="decimal"/>
      <w:start w:val="409"/>
    </w:lvl>
  </w:abstractNum>
  <w:abstractNum w:abstractNumId="24">
    <w:nsid w:val="70A64E2A"/>
    <w:multiLevelType w:val="hybridMultilevel"/>
    <w:lvl w:ilvl="0">
      <w:lvlJc w:val="left"/>
      <w:lvlText w:val="\emdash "/>
      <w:numFmt w:val="bullet"/>
      <w:start w:val="1"/>
    </w:lvl>
  </w:abstractNum>
  <w:abstractNum w:abstractNumId="25">
    <w:nsid w:val="6A2342EC"/>
    <w:multiLevelType w:val="hybridMultilevel"/>
    <w:lvl w:ilvl="0">
      <w:lvlJc w:val="left"/>
      <w:lvlText w:val="%1"/>
      <w:numFmt w:val="decimal"/>
      <w:start w:val="29"/>
    </w:lvl>
  </w:abstractNum>
  <w:abstractNum w:abstractNumId="26">
    <w:nsid w:val="2A487CB0"/>
    <w:multiLevelType w:val="hybridMultilevel"/>
    <w:lvl w:ilvl="0">
      <w:lvlJc w:val="left"/>
      <w:lvlText w:val="%1"/>
      <w:numFmt w:val="decimal"/>
      <w:start w:val="13"/>
    </w:lvl>
  </w:abstractNum>
  <w:abstractNum w:abstractNumId="27">
    <w:nsid w:val="1D4ED43B"/>
    <w:multiLevelType w:val="hybridMultilevel"/>
    <w:lvl w:ilvl="0">
      <w:lvlJc w:val="left"/>
      <w:lvlText w:val="\emdash "/>
      <w:numFmt w:val="bullet"/>
      <w:start w:val="1"/>
    </w:lvl>
  </w:abstractNum>
  <w:abstractNum w:abstractNumId="28">
    <w:nsid w:val="725A06FB"/>
    <w:multiLevelType w:val="hybridMultilevel"/>
    <w:lvl w:ilvl="0">
      <w:lvlJc w:val="left"/>
      <w:lvlText w:val="%1"/>
      <w:numFmt w:val="decimal"/>
      <w:start w:val="305"/>
    </w:lvl>
  </w:abstractNum>
  <w:abstractNum w:abstractNumId="29">
    <w:nsid w:val="2CD89A32"/>
    <w:multiLevelType w:val="hybridMultilevel"/>
    <w:lvl w:ilvl="0">
      <w:lvlJc w:val="left"/>
      <w:lvlText w:val="%1"/>
      <w:numFmt w:val="decimal"/>
      <w:start w:val="365"/>
    </w:lvl>
  </w:abstractNum>
  <w:abstractNum w:abstractNumId="30">
    <w:nsid w:val="57E4CCAF"/>
    <w:multiLevelType w:val="hybridMultilevel"/>
    <w:lvl w:ilvl="0">
      <w:lvlJc w:val="left"/>
      <w:lvlText w:val="(%1)"/>
      <w:numFmt w:val="lowerLetter"/>
      <w:start w:val="5"/>
    </w:lvl>
  </w:abstractNum>
  <w:abstractNum w:abstractNumId="31">
    <w:nsid w:val="7A6D8D3C"/>
    <w:multiLevelType w:val="hybridMultilevel"/>
    <w:lvl w:ilvl="0">
      <w:lvlJc w:val="left"/>
      <w:lvlText w:val="(%1)"/>
      <w:numFmt w:val="lowerLetter"/>
      <w:start w:val="11"/>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lowerRoman"/>
      <w:start w:val="2"/>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1)"/>
      <w:numFmt w:val="lowerLetter"/>
      <w:start w:val="5"/>
    </w:lvl>
  </w:abstractNum>
  <w:abstractNum w:abstractNumId="38">
    <w:nsid w:val="684A481A"/>
    <w:multiLevelType w:val="hybridMultilevel"/>
    <w:lvl w:ilvl="0">
      <w:lvlJc w:val="left"/>
      <w:lvlText w:val="%1."/>
      <w:numFmt w:val="decimal"/>
      <w:start w:val="12"/>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1."/>
      <w:numFmt w:val="decimal"/>
      <w:start w:val="1"/>
    </w:lvl>
  </w:abstractNum>
  <w:abstractNum w:abstractNumId="42">
    <w:nsid w:val="1BA026FA"/>
    <w:multiLevelType w:val="hybridMultilevel"/>
    <w:lvl w:ilvl="0">
      <w:lvlJc w:val="left"/>
      <w:lvlText w:val="%1."/>
      <w:numFmt w:val="lowerLetter"/>
      <w:start w:val="1"/>
    </w:lvl>
  </w:abstractNum>
  <w:abstractNum w:abstractNumId="43">
    <w:nsid w:val="79A1DEAA"/>
    <w:multiLevelType w:val="hybridMultilevel"/>
    <w:lvl w:ilvl="0">
      <w:lvlJc w:val="left"/>
      <w:lvlText w:val="%1."/>
      <w:numFmt w:val="lowerLetter"/>
      <w:start w:val="1"/>
    </w:lvl>
  </w:abstractNum>
  <w:abstractNum w:abstractNumId="44">
    <w:nsid w:val="75C6C33A"/>
    <w:multiLevelType w:val="hybridMultilevel"/>
    <w:lvl w:ilvl="0">
      <w:lvlJc w:val="left"/>
      <w:lvlText w:val="%1."/>
      <w:numFmt w:val="decimal"/>
      <w:start w:val="2"/>
    </w:lvl>
  </w:abstractNum>
  <w:abstractNum w:abstractNumId="45">
    <w:nsid w:val="12E685FB"/>
    <w:multiLevelType w:val="hybridMultilevel"/>
    <w:lvl w:ilvl="0">
      <w:lvlJc w:val="left"/>
      <w:lvlText w:val="%1."/>
      <w:numFmt w:val="decimal"/>
      <w:start w:val="3"/>
    </w:lvl>
  </w:abstractNum>
  <w:abstractNum w:abstractNumId="46">
    <w:nsid w:val="70C6A529"/>
    <w:multiLevelType w:val="hybridMultilevel"/>
    <w:lvl w:ilvl="0">
      <w:lvlJc w:val="left"/>
      <w:lvlText w:val="(%1)"/>
      <w:numFmt w:val="lowerLetter"/>
      <w:start w:val="1"/>
    </w:lvl>
  </w:abstractNum>
  <w:abstractNum w:abstractNumId="47">
    <w:nsid w:val="520EEDD1"/>
    <w:multiLevelType w:val="hybridMultilevel"/>
    <w:lvl w:ilvl="0">
      <w:lvlJc w:val="left"/>
      <w:lvlText w:val="%1."/>
      <w:numFmt w:val="decimal"/>
      <w:start w:val="1"/>
    </w:lvl>
  </w:abstractNum>
  <w:abstractNum w:abstractNumId="48">
    <w:nsid w:val="374A3FE6"/>
    <w:multiLevelType w:val="hybridMultilevel"/>
    <w:lvl w:ilvl="0">
      <w:lvlJc w:val="left"/>
      <w:lvlText w:val="%1."/>
      <w:numFmt w:val="lowerLetter"/>
      <w:start w:val="1"/>
    </w:lvl>
  </w:abstractNum>
  <w:abstractNum w:abstractNumId="49">
    <w:nsid w:val="4F4EF005"/>
    <w:multiLevelType w:val="hybridMultilevel"/>
    <w:lvl w:ilvl="0">
      <w:lvlJc w:val="left"/>
      <w:lvlText w:val="%1."/>
      <w:numFmt w:val="lowerLetter"/>
      <w:start w:val="2"/>
    </w:lvl>
  </w:abstractNum>
  <w:abstractNum w:abstractNumId="50">
    <w:nsid w:val="23F9C13C"/>
    <w:multiLevelType w:val="hybridMultilevel"/>
    <w:lvl w:ilvl="0">
      <w:lvlJc w:val="left"/>
      <w:lvlText w:val="%1."/>
      <w:numFmt w:val="lowerLetter"/>
      <w:start w:val="3"/>
    </w:lvl>
  </w:abstractNum>
  <w:abstractNum w:abstractNumId="51">
    <w:nsid w:val="649BB77C"/>
    <w:multiLevelType w:val="hybridMultilevel"/>
    <w:lvl w:ilvl="0">
      <w:lvlJc w:val="left"/>
      <w:lvlText w:val="%1."/>
      <w:numFmt w:val="decimal"/>
      <w:start w:val="5"/>
    </w:lvl>
    <w:lvl w:ilvl="1">
      <w:lvlJc w:val="left"/>
      <w:lvlText w:val="%2."/>
      <w:numFmt w:val="lowerLetter"/>
      <w:start w:val="1"/>
    </w:lvl>
  </w:abstractNum>
  <w:abstractNum w:abstractNumId="52">
    <w:nsid w:val="275AC794"/>
    <w:multiLevelType w:val="hybridMultilevel"/>
    <w:lvl w:ilvl="0">
      <w:lvlJc w:val="left"/>
      <w:lvlText w:val="%1."/>
      <w:numFmt w:val="decimal"/>
      <w:start w:val="1"/>
    </w:lvl>
  </w:abstractNum>
  <w:abstractNum w:abstractNumId="53">
    <w:nsid w:val="39386575"/>
    <w:multiLevelType w:val="hybridMultilevel"/>
    <w:lvl w:ilvl="0">
      <w:lvlJc w:val="left"/>
      <w:lvlText w:val="%1."/>
      <w:numFmt w:val="lowerLetter"/>
      <w:start w:val="1"/>
    </w:lvl>
  </w:abstractNum>
  <w:abstractNum w:abstractNumId="54">
    <w:nsid w:val="1CF10FD8"/>
    <w:multiLevelType w:val="hybridMultilevel"/>
    <w:lvl w:ilvl="0">
      <w:lvlJc w:val="left"/>
      <w:lvlText w:val="%1."/>
      <w:numFmt w:val="lowerLetter"/>
      <w:start w:val="2"/>
    </w:lvl>
  </w:abstractNum>
  <w:abstractNum w:abstractNumId="55">
    <w:nsid w:val="180115BE"/>
    <w:multiLevelType w:val="hybridMultilevel"/>
    <w:lvl w:ilvl="0">
      <w:lvlJc w:val="left"/>
      <w:lvlText w:val="%1."/>
      <w:numFmt w:val="lowerLetter"/>
      <w:start w:val="3"/>
    </w:lvl>
  </w:abstractNum>
  <w:abstractNum w:abstractNumId="56">
    <w:nsid w:val="235BA861"/>
    <w:multiLevelType w:val="hybridMultilevel"/>
    <w:lvl w:ilvl="0">
      <w:lvlJc w:val="left"/>
      <w:lvlText w:val="%1."/>
      <w:numFmt w:val="decimal"/>
      <w:start w:val="5"/>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57" Type="http://schemas.openxmlformats.org/officeDocument/2006/relationships/hyperlink" Target="http://www.sec.gov/Archives/edgar/data/1436126/000143612617000059/westpennacqagreement.htm" TargetMode="External"/><Relationship Id="rId58" Type="http://schemas.openxmlformats.org/officeDocument/2006/relationships/hyperlink" Target="http://www.sec.gov/Archives/edgar/data/1436126/000143612618000050/sharepurchaseagreement.htm" TargetMode="External"/><Relationship Id="rId59" Type="http://schemas.openxmlformats.org/officeDocument/2006/relationships/hyperlink" Target="http://www.sec.gov/Archives/edgar/data/1436126/000143612618000050/sharepurchaseagreement-5ow.htm" TargetMode="External"/><Relationship Id="rId60" Type="http://schemas.openxmlformats.org/officeDocument/2006/relationships/hyperlink" Target="http://www.sec.gov/Archives/edgar/data/1436126/000095012309044623/y02145a4exv3w1.htm" TargetMode="External"/><Relationship Id="rId61" Type="http://schemas.openxmlformats.org/officeDocument/2006/relationships/hyperlink" Target="http://www.sec.gov/Archives/edgar/data/1436126/000143612617000011/fy17q2exhibit31.htm" TargetMode="External"/><Relationship Id="rId62" Type="http://schemas.openxmlformats.org/officeDocument/2006/relationships/hyperlink" Target="http://www.sec.gov/Archives/edgar/data/1436126/000143612616000069/fy17q1exhibit31.htm" TargetMode="External"/><Relationship Id="rId63" Type="http://schemas.openxmlformats.org/officeDocument/2006/relationships/hyperlink" Target="http://www.sec.gov/Archives/edgar/data/1436126/000095012309045063/y02145a5exv4w1.htm" TargetMode="External"/><Relationship Id="rId64" Type="http://schemas.openxmlformats.org/officeDocument/2006/relationships/hyperlink" Target="http://www.sec.gov/Archives/edgar/data/1436126/000095012309044623/y02145a4exv10w1.htm" TargetMode="External"/><Relationship Id="rId65" Type="http://schemas.openxmlformats.org/officeDocument/2006/relationships/hyperlink" Target="http://www.sec.gov/Archives/edgar/data/1436126/000095012309044623/y02145a4exv10w5.htm" TargetMode="External"/><Relationship Id="rId66" Type="http://schemas.openxmlformats.org/officeDocument/2006/relationships/hyperlink" Target="http://www.sec.gov/Archives/edgar/data/1436126/000095012309044623/y02145a4exv10w6.htm" TargetMode="External"/><Relationship Id="rId67" Type="http://schemas.openxmlformats.org/officeDocument/2006/relationships/hyperlink" Target="http://www.sec.gov/Archives/edgar/data/1436126/000095012309044623/y02145a4exv10w7.htm" TargetMode="External"/><Relationship Id="rId68" Type="http://schemas.openxmlformats.org/officeDocument/2006/relationships/hyperlink" Target="http://www.sec.gov/Archives/edgar/data/1436126/000095012309044623/y02145a4exv10w8.htm" TargetMode="External"/><Relationship Id="rId69" Type="http://schemas.openxmlformats.org/officeDocument/2006/relationships/hyperlink" Target="http://www.sec.gov/Archives/edgar/data/1436126/000101905611000062/ex10_1.htm" TargetMode="External"/><Relationship Id="rId70" Type="http://schemas.openxmlformats.org/officeDocument/2006/relationships/hyperlink" Target="http://www.sec.gov/Archives/edgar/data/1436126/000162612916000819/my-def14a_090716.htm" TargetMode="External"/><Relationship Id="rId71" Type="http://schemas.openxmlformats.org/officeDocument/2006/relationships/hyperlink" Target="http://www.sec.gov/Archives/edgar/data/1436126/000143612617000024/mg-2016123110kexhibit1016.htm" TargetMode="External"/><Relationship Id="rId72" Type="http://schemas.openxmlformats.org/officeDocument/2006/relationships/hyperlink" Target="http://www.sec.gov/Archives/edgar/data/1436126/000143612618000027/sjv2-28x18employmentagreem.htm" TargetMode="External"/><Relationship Id="rId73" Type="http://schemas.openxmlformats.org/officeDocument/2006/relationships/hyperlink" Target="http://www.sec.gov/Archives/edgar/data/1436126/000143612618000027/db3-13x18employmentagreeme.htm" TargetMode="External"/><Relationship Id="rId74" Type="http://schemas.openxmlformats.org/officeDocument/2006/relationships/hyperlink" Target="http://www.sec.gov/Archives/edgar/data/1436126/000143612618000017/mg-2017123110kexhibit10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2019-12-28T14:28:43Z</dcterms:created>
  <dcterms:modified xsi:type="dcterms:W3CDTF">2019-12-28T14:28:43Z</dcterms:modified>
</cp:coreProperties>
</file>