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0" w:lineRule="exact"/>
        <w:rPr>
          <w:sz w:val="24"/>
          <w:szCs w:val="24"/>
          <w:color w:val="auto"/>
        </w:rPr>
      </w:pPr>
    </w:p>
    <w:p>
      <w:pPr>
        <w:ind w:left="340" w:hanging="258"/>
        <w:spacing w:after="0"/>
        <w:tabs>
          <w:tab w:leader="none" w:pos="3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340" w:hanging="258"/>
        <w:spacing w:after="0"/>
        <w:tabs>
          <w:tab w:leader="none" w:pos="3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33"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For the transition period from __ to __</w:t>
      </w:r>
    </w:p>
    <w:p>
      <w:pPr>
        <w:spacing w:after="0" w:line="225" w:lineRule="exact"/>
        <w:rPr>
          <w:sz w:val="24"/>
          <w:szCs w:val="24"/>
          <w:color w:val="auto"/>
        </w:rPr>
      </w:pPr>
    </w:p>
    <w:p>
      <w:pPr>
        <w:ind w:left="1780"/>
        <w:spacing w:after="0"/>
        <w:rPr>
          <w:sz w:val="20"/>
          <w:szCs w:val="20"/>
          <w:color w:val="auto"/>
        </w:rPr>
      </w:pPr>
      <w:r>
        <w:rPr>
          <w:rFonts w:ascii="Arial" w:cs="Arial" w:eastAsia="Arial" w:hAnsi="Arial"/>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-85090</wp:posOffset>
            </wp:positionV>
            <wp:extent cx="31629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100"/>
        </w:trPr>
        <w:tc>
          <w:tcPr>
            <w:tcW w:w="5020" w:type="dxa"/>
            <w:vAlign w:val="bottom"/>
            <w:gridSpan w:val="4"/>
            <w:vMerge w:val="restart"/>
          </w:tcPr>
          <w:p>
            <w:pPr>
              <w:jc w:val="right"/>
              <w:spacing w:after="0"/>
              <w:rPr>
                <w:sz w:val="20"/>
                <w:szCs w:val="20"/>
                <w:color w:val="auto"/>
              </w:rPr>
            </w:pPr>
            <w:r>
              <w:rPr>
                <w:rFonts w:ascii="Arial" w:cs="Arial" w:eastAsia="Arial" w:hAnsi="Arial"/>
                <w:sz w:val="18"/>
                <w:szCs w:val="18"/>
                <w:i w:val="1"/>
                <w:iCs w:val="1"/>
                <w:color w:val="auto"/>
              </w:rPr>
              <w:t>(Exact name of registrant as specified in its charter)</w:t>
            </w:r>
          </w:p>
        </w:tc>
        <w:tc>
          <w:tcPr>
            <w:tcW w:w="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502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3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20" w:type="dxa"/>
            <w:vAlign w:val="bottom"/>
            <w:gridSpan w:val="4"/>
          </w:tcPr>
          <w:p>
            <w:pPr>
              <w:jc w:val="center"/>
              <w:ind w:right="1090"/>
              <w:spacing w:after="0"/>
              <w:rPr>
                <w:sz w:val="20"/>
                <w:szCs w:val="20"/>
                <w:color w:val="auto"/>
              </w:rPr>
            </w:pPr>
            <w:r>
              <w:rPr>
                <w:rFonts w:ascii="Arial" w:cs="Arial" w:eastAsia="Arial" w:hAnsi="Arial"/>
                <w:sz w:val="18"/>
                <w:szCs w:val="18"/>
                <w:b w:val="1"/>
                <w:bCs w:val="1"/>
                <w:color w:val="auto"/>
                <w:w w:val="93"/>
              </w:rPr>
              <w:t>Delaware</w:t>
            </w:r>
          </w:p>
        </w:tc>
        <w:tc>
          <w:tcPr>
            <w:tcW w:w="3600" w:type="dxa"/>
            <w:vAlign w:val="bottom"/>
            <w:gridSpan w:val="3"/>
          </w:tcPr>
          <w:p>
            <w:pPr>
              <w:jc w:val="right"/>
              <w:ind w:right="2270"/>
              <w:spacing w:after="0"/>
              <w:rPr>
                <w:sz w:val="20"/>
                <w:szCs w:val="20"/>
                <w:color w:val="auto"/>
              </w:rPr>
            </w:pPr>
            <w:r>
              <w:rPr>
                <w:rFonts w:ascii="Arial" w:cs="Arial" w:eastAsia="Arial" w:hAnsi="Arial"/>
                <w:sz w:val="18"/>
                <w:szCs w:val="18"/>
                <w:b w:val="1"/>
                <w:bCs w:val="1"/>
                <w:color w:val="auto"/>
              </w:rPr>
              <w:t>22-3341267</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2980" w:type="dxa"/>
            <w:vAlign w:val="bottom"/>
            <w:gridSpan w:val="5"/>
          </w:tcPr>
          <w:p>
            <w:pPr>
              <w:jc w:val="center"/>
              <w:ind w:right="30"/>
              <w:spacing w:after="0" w:line="189" w:lineRule="exact"/>
              <w:rPr>
                <w:sz w:val="20"/>
                <w:szCs w:val="20"/>
                <w:color w:val="auto"/>
              </w:rPr>
            </w:pPr>
            <w:r>
              <w:rPr>
                <w:rFonts w:ascii="Arial" w:cs="Arial" w:eastAsia="Arial" w:hAnsi="Arial"/>
                <w:sz w:val="18"/>
                <w:szCs w:val="18"/>
                <w:i w:val="1"/>
                <w:iCs w:val="1"/>
                <w:color w:val="auto"/>
                <w:w w:val="93"/>
              </w:rPr>
              <w:t>(State or other jurisdiction of</w:t>
            </w:r>
          </w:p>
        </w:tc>
        <w:tc>
          <w:tcPr>
            <w:tcW w:w="4820" w:type="dxa"/>
            <w:vAlign w:val="bottom"/>
            <w:gridSpan w:val="5"/>
          </w:tcPr>
          <w:p>
            <w:pPr>
              <w:jc w:val="center"/>
              <w:ind w:right="3220"/>
              <w:spacing w:after="0" w:line="189" w:lineRule="exact"/>
              <w:rPr>
                <w:sz w:val="20"/>
                <w:szCs w:val="20"/>
                <w:color w:val="auto"/>
              </w:rPr>
            </w:pPr>
            <w:r>
              <w:rPr>
                <w:rFonts w:ascii="Arial" w:cs="Arial" w:eastAsia="Arial" w:hAnsi="Arial"/>
                <w:sz w:val="18"/>
                <w:szCs w:val="18"/>
                <w:i w:val="1"/>
                <w:iCs w:val="1"/>
                <w:color w:val="auto"/>
                <w:w w:val="90"/>
              </w:rPr>
              <w:t>(I.R.S. Employer</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2980" w:type="dxa"/>
            <w:vAlign w:val="bottom"/>
            <w:gridSpan w:val="5"/>
          </w:tcPr>
          <w:p>
            <w:pPr>
              <w:jc w:val="center"/>
              <w:ind w:right="30"/>
              <w:spacing w:after="0"/>
              <w:rPr>
                <w:sz w:val="20"/>
                <w:szCs w:val="20"/>
                <w:color w:val="auto"/>
              </w:rPr>
            </w:pPr>
            <w:r>
              <w:rPr>
                <w:rFonts w:ascii="Arial" w:cs="Arial" w:eastAsia="Arial" w:hAnsi="Arial"/>
                <w:sz w:val="18"/>
                <w:szCs w:val="18"/>
                <w:i w:val="1"/>
                <w:iCs w:val="1"/>
                <w:color w:val="auto"/>
                <w:w w:val="94"/>
              </w:rPr>
              <w:t>incorporation or organization)</w:t>
            </w:r>
          </w:p>
        </w:tc>
        <w:tc>
          <w:tcPr>
            <w:tcW w:w="4820" w:type="dxa"/>
            <w:vAlign w:val="bottom"/>
            <w:gridSpan w:val="5"/>
          </w:tcPr>
          <w:p>
            <w:pPr>
              <w:jc w:val="center"/>
              <w:ind w:right="3220"/>
              <w:spacing w:after="0"/>
              <w:rPr>
                <w:sz w:val="20"/>
                <w:szCs w:val="20"/>
                <w:color w:val="auto"/>
              </w:rPr>
            </w:pPr>
            <w:r>
              <w:rPr>
                <w:rFonts w:ascii="Arial" w:cs="Arial" w:eastAsia="Arial" w:hAnsi="Arial"/>
                <w:sz w:val="18"/>
                <w:szCs w:val="18"/>
                <w:i w:val="1"/>
                <w:iCs w:val="1"/>
                <w:color w:val="auto"/>
                <w:w w:val="94"/>
              </w:rPr>
              <w:t>Identification No.)</w:t>
            </w:r>
          </w:p>
        </w:tc>
        <w:tc>
          <w:tcPr>
            <w:tcW w:w="0" w:type="dxa"/>
            <w:vAlign w:val="bottom"/>
          </w:tcPr>
          <w:p>
            <w:pPr>
              <w:spacing w:after="0"/>
              <w:rPr>
                <w:sz w:val="1"/>
                <w:szCs w:val="1"/>
                <w:color w:val="auto"/>
              </w:rPr>
            </w:pPr>
          </w:p>
        </w:tc>
      </w:tr>
      <w:tr>
        <w:trPr>
          <w:trHeight w:val="499"/>
        </w:trPr>
        <w:tc>
          <w:tcPr>
            <w:tcW w:w="3420" w:type="dxa"/>
            <w:vAlign w:val="bottom"/>
          </w:tcPr>
          <w:p>
            <w:pPr>
              <w:spacing w:after="0"/>
              <w:rPr>
                <w:sz w:val="24"/>
                <w:szCs w:val="24"/>
                <w:color w:val="auto"/>
              </w:rPr>
            </w:pPr>
          </w:p>
        </w:tc>
        <w:tc>
          <w:tcPr>
            <w:tcW w:w="298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2"/>
              </w:rPr>
              <w:t>195 Clarksville Road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20" w:type="dxa"/>
            <w:vAlign w:val="bottom"/>
          </w:tcPr>
          <w:p>
            <w:pPr>
              <w:spacing w:after="0"/>
              <w:rPr>
                <w:sz w:val="22"/>
                <w:szCs w:val="22"/>
                <w:color w:val="auto"/>
              </w:rPr>
            </w:pPr>
          </w:p>
        </w:tc>
        <w:tc>
          <w:tcPr>
            <w:tcW w:w="298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w w:val="91"/>
              </w:rPr>
              <w:t>Princeton Junction, New Jersey</w:t>
            </w:r>
          </w:p>
        </w:tc>
        <w:tc>
          <w:tcPr>
            <w:tcW w:w="3600" w:type="dxa"/>
            <w:vAlign w:val="bottom"/>
            <w:gridSpan w:val="3"/>
          </w:tcPr>
          <w:p>
            <w:pPr>
              <w:jc w:val="right"/>
              <w:ind w:right="2490"/>
              <w:spacing w:after="0"/>
              <w:rPr>
                <w:sz w:val="20"/>
                <w:szCs w:val="20"/>
                <w:color w:val="auto"/>
              </w:rPr>
            </w:pPr>
            <w:r>
              <w:rPr>
                <w:rFonts w:ascii="Arial" w:cs="Arial" w:eastAsia="Arial" w:hAnsi="Arial"/>
                <w:sz w:val="18"/>
                <w:szCs w:val="18"/>
                <w:b w:val="1"/>
                <w:bCs w:val="1"/>
                <w:color w:val="auto"/>
              </w:rPr>
              <w:t>08550</w:t>
            </w: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2980" w:type="dxa"/>
            <w:vAlign w:val="bottom"/>
            <w:gridSpan w:val="5"/>
          </w:tcPr>
          <w:p>
            <w:pPr>
              <w:jc w:val="center"/>
              <w:ind w:right="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gridSpan w:val="3"/>
          </w:tcPr>
          <w:p>
            <w:pPr>
              <w:jc w:val="center"/>
              <w:ind w:right="3540"/>
              <w:spacing w:after="0"/>
              <w:rPr>
                <w:sz w:val="20"/>
                <w:szCs w:val="20"/>
                <w:color w:val="auto"/>
              </w:rPr>
            </w:pPr>
            <w:r>
              <w:rPr>
                <w:rFonts w:ascii="Arial" w:cs="Arial" w:eastAsia="Arial" w:hAnsi="Arial"/>
                <w:sz w:val="18"/>
                <w:szCs w:val="18"/>
                <w:i w:val="1"/>
                <w:iCs w:val="1"/>
                <w:color w:val="auto"/>
                <w:w w:val="94"/>
              </w:rPr>
              <w:t>(Zip Code)</w:t>
            </w:r>
          </w:p>
        </w:tc>
        <w:tc>
          <w:tcPr>
            <w:tcW w:w="0" w:type="dxa"/>
            <w:vAlign w:val="bottom"/>
          </w:tcPr>
          <w:p>
            <w:pPr>
              <w:spacing w:after="0"/>
              <w:rPr>
                <w:sz w:val="1"/>
                <w:szCs w:val="1"/>
                <w:color w:val="auto"/>
              </w:rPr>
            </w:pPr>
          </w:p>
        </w:tc>
      </w:tr>
      <w:tr>
        <w:trPr>
          <w:trHeight w:val="540"/>
        </w:trPr>
        <w:tc>
          <w:tcPr>
            <w:tcW w:w="3420" w:type="dxa"/>
            <w:vAlign w:val="bottom"/>
          </w:tcPr>
          <w:p>
            <w:pPr>
              <w:spacing w:after="0"/>
              <w:rPr>
                <w:sz w:val="24"/>
                <w:szCs w:val="24"/>
                <w:color w:val="auto"/>
              </w:rPr>
            </w:pPr>
          </w:p>
        </w:tc>
        <w:tc>
          <w:tcPr>
            <w:tcW w:w="298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(609) 716-4000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080" w:type="dxa"/>
            <w:vAlign w:val="bottom"/>
            <w:gridSpan w:val="5"/>
            <w:vMerge w:val="restart"/>
          </w:tcPr>
          <w:p>
            <w:pPr>
              <w:jc w:val="right"/>
              <w:ind w:right="60"/>
              <w:spacing w:after="0"/>
              <w:rPr>
                <w:sz w:val="20"/>
                <w:szCs w:val="20"/>
                <w:color w:val="auto"/>
              </w:rPr>
            </w:pPr>
            <w:r>
              <w:rPr>
                <w:rFonts w:ascii="Arial" w:cs="Arial" w:eastAsia="Arial" w:hAnsi="Arial"/>
                <w:sz w:val="18"/>
                <w:szCs w:val="18"/>
                <w:i w:val="1"/>
                <w:iCs w:val="1"/>
                <w:color w:val="auto"/>
              </w:rPr>
              <w:t>(Registrant’s telephone number, including area code)</w:t>
            </w: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80" w:type="dxa"/>
            <w:vAlign w:val="bottom"/>
            <w:gridSpan w:val="5"/>
            <w:vMerge w:val="continue"/>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1"/>
        </w:trPr>
        <w:tc>
          <w:tcPr>
            <w:tcW w:w="6400" w:type="dxa"/>
            <w:vAlign w:val="bottom"/>
            <w:gridSpan w:val="6"/>
          </w:tcPr>
          <w:p>
            <w:pPr>
              <w:jc w:val="right"/>
              <w:ind w:right="215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2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i w:val="1"/>
                <w:iCs w:val="1"/>
                <w:color w:val="auto"/>
                <w:w w:val="88"/>
              </w:rPr>
              <w:t>Title of each class</w:t>
            </w:r>
          </w:p>
        </w:tc>
        <w:tc>
          <w:tcPr>
            <w:tcW w:w="10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40" w:type="dxa"/>
            <w:vAlign w:val="bottom"/>
            <w:tcBorders>
              <w:bottom w:val="single" w:sz="8" w:color="auto"/>
            </w:tcBorders>
            <w:gridSpan w:val="3"/>
          </w:tcPr>
          <w:p>
            <w:pPr>
              <w:jc w:val="center"/>
              <w:ind w:left="130"/>
              <w:spacing w:after="0"/>
              <w:rPr>
                <w:sz w:val="20"/>
                <w:szCs w:val="20"/>
                <w:color w:val="auto"/>
              </w:rPr>
            </w:pPr>
            <w:r>
              <w:rPr>
                <w:rFonts w:ascii="Arial" w:cs="Arial" w:eastAsia="Arial" w:hAnsi="Arial"/>
                <w:sz w:val="18"/>
                <w:szCs w:val="18"/>
                <w:i w:val="1"/>
                <w:iCs w:val="1"/>
                <w:color w:val="auto"/>
                <w:w w:val="91"/>
              </w:rPr>
              <w:t>Trading Symbol(s)</w:t>
            </w:r>
          </w:p>
        </w:tc>
        <w:tc>
          <w:tcPr>
            <w:tcW w:w="2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89"/>
              </w:rPr>
              <w:t>Name of each exchange on which registered</w:t>
            </w:r>
          </w:p>
        </w:tc>
        <w:tc>
          <w:tcPr>
            <w:tcW w:w="0" w:type="dxa"/>
            <w:vAlign w:val="bottom"/>
          </w:tcPr>
          <w:p>
            <w:pPr>
              <w:spacing w:after="0"/>
              <w:rPr>
                <w:sz w:val="1"/>
                <w:szCs w:val="1"/>
                <w:color w:val="auto"/>
              </w:rPr>
            </w:pPr>
          </w:p>
        </w:tc>
      </w:tr>
      <w:tr>
        <w:trPr>
          <w:trHeight w:val="224"/>
        </w:trPr>
        <w:tc>
          <w:tcPr>
            <w:tcW w:w="3420" w:type="dxa"/>
            <w:vAlign w:val="bottom"/>
          </w:tcPr>
          <w:p>
            <w:pPr>
              <w:jc w:val="center"/>
              <w:ind w:left="970"/>
              <w:spacing w:after="0"/>
              <w:rPr>
                <w:sz w:val="20"/>
                <w:szCs w:val="20"/>
                <w:color w:val="auto"/>
              </w:rPr>
            </w:pPr>
            <w:r>
              <w:rPr>
                <w:rFonts w:ascii="Arial" w:cs="Arial" w:eastAsia="Arial" w:hAnsi="Arial"/>
                <w:sz w:val="18"/>
                <w:szCs w:val="18"/>
                <w:color w:val="auto"/>
                <w:w w:val="90"/>
              </w:rPr>
              <w:t>Common Stock, $0.01 par value</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color w:val="auto"/>
                <w:w w:val="96"/>
              </w:rPr>
              <w:t>MG</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4" w:lineRule="exact"/>
        <w:rPr>
          <w:sz w:val="24"/>
          <w:szCs w:val="24"/>
          <w:color w:val="auto"/>
        </w:rPr>
      </w:pPr>
    </w:p>
    <w:p>
      <w:pPr>
        <w:ind w:right="3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3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227" w:lineRule="exact"/>
        <w:rPr>
          <w:sz w:val="24"/>
          <w:szCs w:val="24"/>
          <w:color w:val="auto"/>
        </w:rPr>
      </w:pPr>
    </w:p>
    <w:p>
      <w:pPr>
        <w:ind w:right="12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3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227"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320" w:type="dxa"/>
        <w:tblCellMar>
          <w:top w:w="0" w:type="dxa"/>
          <w:left w:w="0" w:type="dxa"/>
          <w:bottom w:w="0" w:type="dxa"/>
          <w:right w:w="0" w:type="dxa"/>
        </w:tblCellMar>
      </w:tblPr>
      <w:tr>
        <w:trPr>
          <w:trHeight w:val="205"/>
        </w:trPr>
        <w:tc>
          <w:tcPr>
            <w:tcW w:w="1980" w:type="dxa"/>
            <w:vAlign w:val="bottom"/>
          </w:tcPr>
          <w:p>
            <w:pPr>
              <w:spacing w:after="0" w:line="205" w:lineRule="exact"/>
              <w:rPr>
                <w:sz w:val="20"/>
                <w:szCs w:val="20"/>
                <w:color w:val="auto"/>
              </w:rPr>
            </w:pPr>
            <w:r>
              <w:rPr>
                <w:rFonts w:ascii="Arial" w:cs="Arial" w:eastAsia="Arial" w:hAnsi="Arial"/>
                <w:sz w:val="18"/>
                <w:szCs w:val="18"/>
                <w:color w:val="auto"/>
              </w:rPr>
              <w:t>Large accelerated filer</w:t>
            </w:r>
          </w:p>
        </w:tc>
        <w:tc>
          <w:tcPr>
            <w:tcW w:w="2500" w:type="dxa"/>
            <w:vAlign w:val="bottom"/>
          </w:tcPr>
          <w:p>
            <w:pPr>
              <w:ind w:left="380"/>
              <w:spacing w:after="0" w:line="205" w:lineRule="exact"/>
              <w:rPr>
                <w:sz w:val="20"/>
                <w:szCs w:val="20"/>
                <w:color w:val="auto"/>
              </w:rPr>
            </w:pPr>
            <w:r>
              <w:rPr>
                <w:rFonts w:ascii="Arial" w:cs="Arial" w:eastAsia="Arial" w:hAnsi="Arial"/>
                <w:sz w:val="18"/>
                <w:szCs w:val="18"/>
                <w:color w:val="auto"/>
              </w:rPr>
              <w:t>o</w:t>
            </w:r>
          </w:p>
        </w:tc>
        <w:tc>
          <w:tcPr>
            <w:tcW w:w="4500" w:type="dxa"/>
            <w:vAlign w:val="bottom"/>
          </w:tcPr>
          <w:p>
            <w:pPr>
              <w:ind w:left="2040"/>
              <w:spacing w:after="0" w:line="205" w:lineRule="exact"/>
              <w:rPr>
                <w:sz w:val="20"/>
                <w:szCs w:val="20"/>
                <w:color w:val="auto"/>
              </w:rPr>
            </w:pPr>
            <w:r>
              <w:rPr>
                <w:rFonts w:ascii="Arial" w:cs="Arial" w:eastAsia="Arial" w:hAnsi="Arial"/>
                <w:sz w:val="18"/>
                <w:szCs w:val="18"/>
                <w:color w:val="auto"/>
              </w:rPr>
              <w:t>Accelerated filer</w:t>
            </w:r>
          </w:p>
        </w:tc>
        <w:tc>
          <w:tcPr>
            <w:tcW w:w="560" w:type="dxa"/>
            <w:vAlign w:val="bottom"/>
          </w:tcPr>
          <w:p>
            <w:pPr>
              <w:jc w:val="center"/>
              <w:ind w:left="330"/>
              <w:spacing w:after="0" w:line="205" w:lineRule="exact"/>
              <w:rPr>
                <w:sz w:val="20"/>
                <w:szCs w:val="20"/>
                <w:color w:val="auto"/>
              </w:rPr>
            </w:pPr>
            <w:r>
              <w:rPr>
                <w:rFonts w:ascii="Arial" w:cs="Arial" w:eastAsia="Arial" w:hAnsi="Arial"/>
                <w:sz w:val="18"/>
                <w:szCs w:val="18"/>
                <w:color w:val="auto"/>
              </w:rPr>
              <w:t>x</w:t>
            </w:r>
          </w:p>
        </w:tc>
      </w:tr>
      <w:tr>
        <w:trPr>
          <w:trHeight w:val="229"/>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2500" w:type="dxa"/>
            <w:vAlign w:val="bottom"/>
          </w:tcPr>
          <w:p>
            <w:pPr>
              <w:ind w:left="380"/>
              <w:spacing w:after="0"/>
              <w:rPr>
                <w:sz w:val="20"/>
                <w:szCs w:val="20"/>
                <w:color w:val="auto"/>
              </w:rPr>
            </w:pPr>
            <w:r>
              <w:rPr>
                <w:rFonts w:ascii="Arial" w:cs="Arial" w:eastAsia="Arial" w:hAnsi="Arial"/>
                <w:sz w:val="18"/>
                <w:szCs w:val="18"/>
                <w:color w:val="auto"/>
              </w:rPr>
              <w:t>o</w:t>
            </w:r>
          </w:p>
        </w:tc>
        <w:tc>
          <w:tcPr>
            <w:tcW w:w="4500" w:type="dxa"/>
            <w:vAlign w:val="bottom"/>
          </w:tcPr>
          <w:p>
            <w:pPr>
              <w:ind w:left="204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9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00" w:type="dxa"/>
            <w:vAlign w:val="bottom"/>
          </w:tcPr>
          <w:p>
            <w:pPr>
              <w:ind w:left="204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63"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1">
            <w:col w:w="11240"/>
          </w:cols>
          <w:pgMar w:left="320" w:top="229" w:right="339" w:bottom="169" w:gutter="0" w:footer="0" w:header="0"/>
        </w:sectPr>
      </w:pP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2, 2022, the registrant had 29,895,487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69"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710565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TABLE OF CONTENTS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980" w:type="dxa"/>
            <w:vAlign w:val="bottom"/>
            <w:gridSpan w:val="11"/>
            <w:vMerge w:val="restart"/>
          </w:tcPr>
          <w:p>
            <w:pPr>
              <w:spacing w:after="0"/>
              <w:rPr>
                <w:sz w:val="20"/>
                <w:szCs w:val="20"/>
                <w:color w:val="auto"/>
              </w:rPr>
            </w:pPr>
            <w:r>
              <w:rPr>
                <w:rFonts w:ascii="Arial" w:cs="Arial" w:eastAsia="Arial" w:hAnsi="Arial"/>
                <w:sz w:val="18"/>
                <w:szCs w:val="18"/>
                <w:color w:val="0000FF"/>
                <w:w w:val="98"/>
              </w:rPr>
              <w:t>PART I—FINANCIAL INFORMATION</w:t>
            </w:r>
          </w:p>
        </w:tc>
        <w:tc>
          <w:tcPr>
            <w:tcW w:w="7520" w:type="dxa"/>
            <w:vAlign w:val="bottom"/>
            <w:gridSpan w:val="17"/>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980" w:type="dxa"/>
            <w:vAlign w:val="bottom"/>
            <w:tcBorders>
              <w:bottom w:val="single" w:sz="8" w:color="0000FF"/>
            </w:tcBorders>
            <w:gridSpan w:val="11"/>
            <w:vMerge w:val="continue"/>
          </w:tcPr>
          <w:p>
            <w:pPr>
              <w:spacing w:after="0"/>
              <w:rPr>
                <w:sz w:val="14"/>
                <w:szCs w:val="14"/>
                <w:color w:val="auto"/>
              </w:rPr>
            </w:pPr>
          </w:p>
        </w:tc>
        <w:tc>
          <w:tcPr>
            <w:tcW w:w="7520" w:type="dxa"/>
            <w:vAlign w:val="bottom"/>
            <w:gridSpan w:val="17"/>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8900" w:type="dxa"/>
            <w:vAlign w:val="bottom"/>
            <w:gridSpan w:val="23"/>
          </w:tcPr>
          <w:p>
            <w:pPr>
              <w:spacing w:after="0"/>
              <w:rPr>
                <w:sz w:val="20"/>
                <w:szCs w:val="20"/>
                <w:color w:val="auto"/>
              </w:rPr>
            </w:pPr>
            <w:r>
              <w:rPr>
                <w:rFonts w:ascii="Arial" w:cs="Arial" w:eastAsia="Arial" w:hAnsi="Arial"/>
                <w:sz w:val="18"/>
                <w:szCs w:val="18"/>
                <w:color w:val="0000FF"/>
              </w:rPr>
              <w:t>Financial Statements</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3"/>
          </w:tcPr>
          <w:p>
            <w:pPr>
              <w:spacing w:after="0"/>
              <w:rPr>
                <w:sz w:val="20"/>
                <w:szCs w:val="20"/>
                <w:color w:val="auto"/>
              </w:rPr>
            </w:pPr>
            <w:r>
              <w:rPr>
                <w:rFonts w:ascii="Arial" w:cs="Arial" w:eastAsia="Arial" w:hAnsi="Arial"/>
                <w:sz w:val="18"/>
                <w:szCs w:val="18"/>
                <w:color w:val="0E32E1"/>
              </w:rPr>
              <w:t>Condensed Consolidated Balance Sheets as of September 30, 2022 (unaudited) and December 31, 2021</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920" w:type="dxa"/>
            <w:vAlign w:val="bottom"/>
            <w:shd w:val="clear" w:color="auto" w:fill="0E32E1"/>
          </w:tcPr>
          <w:p>
            <w:pPr>
              <w:spacing w:after="0" w:line="20" w:lineRule="exact"/>
              <w:rPr>
                <w:sz w:val="1"/>
                <w:szCs w:val="1"/>
                <w:color w:val="auto"/>
              </w:rPr>
            </w:pPr>
          </w:p>
        </w:tc>
        <w:tc>
          <w:tcPr>
            <w:tcW w:w="10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680" w:type="dxa"/>
            <w:vAlign w:val="bottom"/>
            <w:shd w:val="clear" w:color="auto" w:fill="0E32E1"/>
          </w:tcPr>
          <w:p>
            <w:pPr>
              <w:spacing w:after="0" w:line="20" w:lineRule="exact"/>
              <w:rPr>
                <w:sz w:val="1"/>
                <w:szCs w:val="1"/>
                <w:color w:val="auto"/>
              </w:rPr>
            </w:pPr>
          </w:p>
        </w:tc>
        <w:tc>
          <w:tcPr>
            <w:tcW w:w="980" w:type="dxa"/>
            <w:vAlign w:val="bottom"/>
            <w:shd w:val="clear" w:color="auto" w:fill="0E32E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3"/>
          </w:tcPr>
          <w:p>
            <w:pPr>
              <w:spacing w:after="0"/>
              <w:rPr>
                <w:sz w:val="20"/>
                <w:szCs w:val="20"/>
                <w:color w:val="auto"/>
              </w:rPr>
            </w:pPr>
            <w:r>
              <w:rPr>
                <w:rFonts w:ascii="Arial" w:cs="Arial" w:eastAsia="Arial" w:hAnsi="Arial"/>
                <w:sz w:val="18"/>
                <w:szCs w:val="18"/>
                <w:color w:val="0E32E1"/>
                <w:w w:val="91"/>
              </w:rPr>
              <w:t>Unaudited Condensed Consolidated Statements of Income for the three and nine months ended September 30, 2022 and</w:t>
            </w:r>
          </w:p>
        </w:tc>
        <w:tc>
          <w:tcPr>
            <w:tcW w:w="6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720" w:type="dxa"/>
            <w:vAlign w:val="bottom"/>
            <w:tcBorders>
              <w:top w:val="single" w:sz="8" w:color="0E32E1"/>
            </w:tcBorders>
            <w:gridSpan w:val="14"/>
          </w:tcPr>
          <w:p>
            <w:pPr>
              <w:spacing w:after="0" w:line="142" w:lineRule="exact"/>
              <w:rPr>
                <w:sz w:val="20"/>
                <w:szCs w:val="20"/>
                <w:color w:val="auto"/>
              </w:rPr>
            </w:pPr>
            <w:r>
              <w:rPr>
                <w:rFonts w:ascii="Arial" w:cs="Arial" w:eastAsia="Arial" w:hAnsi="Arial"/>
                <w:sz w:val="16"/>
                <w:szCs w:val="16"/>
                <w:color w:val="0E32E1"/>
              </w:rPr>
              <w:t>September 30, 2021</w:t>
            </w:r>
          </w:p>
        </w:tc>
        <w:tc>
          <w:tcPr>
            <w:tcW w:w="40" w:type="dxa"/>
            <w:vAlign w:val="bottom"/>
          </w:tcPr>
          <w:p>
            <w:pPr>
              <w:spacing w:after="0"/>
              <w:rPr>
                <w:sz w:val="13"/>
                <w:szCs w:val="13"/>
                <w:color w:val="auto"/>
              </w:rPr>
            </w:pPr>
          </w:p>
        </w:tc>
        <w:tc>
          <w:tcPr>
            <w:tcW w:w="20" w:type="dxa"/>
            <w:vAlign w:val="bottom"/>
            <w:tcBorders>
              <w:top w:val="single" w:sz="8" w:color="0E32E1"/>
            </w:tcBorders>
          </w:tcPr>
          <w:p>
            <w:pPr>
              <w:spacing w:after="0"/>
              <w:rPr>
                <w:sz w:val="13"/>
                <w:szCs w:val="13"/>
                <w:color w:val="auto"/>
              </w:rPr>
            </w:pPr>
          </w:p>
        </w:tc>
        <w:tc>
          <w:tcPr>
            <w:tcW w:w="1680" w:type="dxa"/>
            <w:vAlign w:val="bottom"/>
            <w:tcBorders>
              <w:top w:val="single" w:sz="8" w:color="0E32E1"/>
            </w:tcBorders>
          </w:tcPr>
          <w:p>
            <w:pPr>
              <w:spacing w:after="0"/>
              <w:rPr>
                <w:sz w:val="13"/>
                <w:szCs w:val="13"/>
                <w:color w:val="auto"/>
              </w:rPr>
            </w:pPr>
          </w:p>
        </w:tc>
        <w:tc>
          <w:tcPr>
            <w:tcW w:w="1760" w:type="dxa"/>
            <w:vAlign w:val="bottom"/>
            <w:tcBorders>
              <w:top w:val="single" w:sz="8" w:color="0E32E1"/>
            </w:tcBorders>
            <w:gridSpan w:val="2"/>
          </w:tcPr>
          <w:p>
            <w:pPr>
              <w:spacing w:after="0"/>
              <w:rPr>
                <w:sz w:val="13"/>
                <w:szCs w:val="13"/>
                <w:color w:val="auto"/>
              </w:rPr>
            </w:pPr>
          </w:p>
        </w:tc>
        <w:tc>
          <w:tcPr>
            <w:tcW w:w="30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60" w:type="dxa"/>
            <w:vAlign w:val="bottom"/>
            <w:tcBorders>
              <w:top w:val="single" w:sz="8" w:color="0E32E1"/>
            </w:tcBorders>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gridSpan w:val="2"/>
            <w:shd w:val="clear" w:color="auto" w:fill="0E32E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3"/>
          </w:tcPr>
          <w:p>
            <w:pPr>
              <w:spacing w:after="0"/>
              <w:rPr>
                <w:sz w:val="20"/>
                <w:szCs w:val="20"/>
                <w:color w:val="auto"/>
              </w:rPr>
            </w:pPr>
            <w:r>
              <w:rPr>
                <w:rFonts w:ascii="Arial" w:cs="Arial" w:eastAsia="Arial" w:hAnsi="Arial"/>
                <w:sz w:val="18"/>
                <w:szCs w:val="18"/>
                <w:color w:val="0E32E1"/>
                <w:w w:val="93"/>
              </w:rPr>
              <w:t>Unaudited Condensed Consolidated Statements of Comprehensive Income (Loss) for the three and nine months ended</w:t>
            </w:r>
          </w:p>
        </w:tc>
        <w:tc>
          <w:tcPr>
            <w:tcW w:w="6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40" w:type="dxa"/>
            <w:vAlign w:val="bottom"/>
            <w:tcBorders>
              <w:top w:val="single" w:sz="8" w:color="0E32E1"/>
            </w:tcBorders>
            <w:gridSpan w:val="11"/>
          </w:tcPr>
          <w:p>
            <w:pPr>
              <w:spacing w:after="0" w:line="142" w:lineRule="exact"/>
              <w:rPr>
                <w:sz w:val="20"/>
                <w:szCs w:val="20"/>
                <w:color w:val="auto"/>
              </w:rPr>
            </w:pPr>
            <w:r>
              <w:rPr>
                <w:rFonts w:ascii="Arial" w:cs="Arial" w:eastAsia="Arial" w:hAnsi="Arial"/>
                <w:sz w:val="16"/>
                <w:szCs w:val="16"/>
                <w:color w:val="0E32E1"/>
                <w:w w:val="98"/>
              </w:rPr>
              <w:t>September 30, 2022 and September 30, 2021</w:t>
            </w:r>
          </w:p>
        </w:tc>
        <w:tc>
          <w:tcPr>
            <w:tcW w:w="5280" w:type="dxa"/>
            <w:vAlign w:val="bottom"/>
            <w:tcBorders>
              <w:top w:val="single" w:sz="8" w:color="0E32E1"/>
            </w:tcBorders>
            <w:gridSpan w:val="9"/>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920" w:type="dxa"/>
            <w:vAlign w:val="bottom"/>
            <w:shd w:val="clear" w:color="auto" w:fill="0E32E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3"/>
          </w:tcPr>
          <w:p>
            <w:pPr>
              <w:spacing w:after="0"/>
              <w:rPr>
                <w:sz w:val="20"/>
                <w:szCs w:val="20"/>
                <w:color w:val="auto"/>
              </w:rPr>
            </w:pPr>
            <w:r>
              <w:rPr>
                <w:rFonts w:ascii="Arial" w:cs="Arial" w:eastAsia="Arial" w:hAnsi="Arial"/>
                <w:sz w:val="18"/>
                <w:szCs w:val="18"/>
                <w:color w:val="0E32E1"/>
                <w:w w:val="92"/>
              </w:rPr>
              <w:t>Unaudited Condensed Consolidated Statements of Equity for the three and nine months ended September 30, 2022 and</w:t>
            </w:r>
          </w:p>
        </w:tc>
        <w:tc>
          <w:tcPr>
            <w:tcW w:w="6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560" w:type="dxa"/>
            <w:vAlign w:val="bottom"/>
            <w:tcBorders>
              <w:top w:val="single" w:sz="8" w:color="0E32E1"/>
            </w:tcBorders>
            <w:gridSpan w:val="21"/>
          </w:tcPr>
          <w:p>
            <w:pPr>
              <w:spacing w:after="0" w:line="142" w:lineRule="exact"/>
              <w:rPr>
                <w:sz w:val="20"/>
                <w:szCs w:val="20"/>
                <w:color w:val="auto"/>
              </w:rPr>
            </w:pPr>
            <w:r>
              <w:rPr>
                <w:rFonts w:ascii="Arial" w:cs="Arial" w:eastAsia="Arial" w:hAnsi="Arial"/>
                <w:sz w:val="16"/>
                <w:szCs w:val="16"/>
                <w:color w:val="0E32E1"/>
              </w:rPr>
              <w:t>September 30, 2021</w:t>
            </w:r>
          </w:p>
        </w:tc>
        <w:tc>
          <w:tcPr>
            <w:tcW w:w="340" w:type="dxa"/>
            <w:vAlign w:val="bottom"/>
            <w:gridSpan w:val="2"/>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gridSpan w:val="2"/>
            <w:shd w:val="clear" w:color="auto" w:fill="0E32E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3"/>
          </w:tcPr>
          <w:p>
            <w:pPr>
              <w:spacing w:after="0"/>
              <w:rPr>
                <w:sz w:val="20"/>
                <w:szCs w:val="20"/>
                <w:color w:val="auto"/>
              </w:rPr>
            </w:pPr>
            <w:r>
              <w:rPr>
                <w:rFonts w:ascii="Arial" w:cs="Arial" w:eastAsia="Arial" w:hAnsi="Arial"/>
                <w:sz w:val="18"/>
                <w:szCs w:val="18"/>
                <w:color w:val="0E32E1"/>
                <w:w w:val="96"/>
              </w:rPr>
              <w:t>Unaudited Condensed Consolidated Statements of Cash Flows for the nine months ended September 30, 2022 and</w:t>
            </w:r>
          </w:p>
        </w:tc>
        <w:tc>
          <w:tcPr>
            <w:tcW w:w="6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tcBorders>
              <w:top w:val="single" w:sz="8" w:color="0E32E1"/>
            </w:tcBorders>
            <w:gridSpan w:val="9"/>
          </w:tcPr>
          <w:p>
            <w:pPr>
              <w:spacing w:after="0" w:line="142" w:lineRule="exact"/>
              <w:rPr>
                <w:sz w:val="20"/>
                <w:szCs w:val="20"/>
                <w:color w:val="auto"/>
              </w:rPr>
            </w:pPr>
            <w:r>
              <w:rPr>
                <w:rFonts w:ascii="Arial" w:cs="Arial" w:eastAsia="Arial" w:hAnsi="Arial"/>
                <w:sz w:val="16"/>
                <w:szCs w:val="16"/>
                <w:color w:val="0E32E1"/>
              </w:rPr>
              <w:t>September 30, 2021</w:t>
            </w:r>
          </w:p>
        </w:tc>
        <w:tc>
          <w:tcPr>
            <w:tcW w:w="6460" w:type="dxa"/>
            <w:vAlign w:val="bottom"/>
            <w:tcBorders>
              <w:top w:val="single" w:sz="8" w:color="0E32E1"/>
            </w:tcBorders>
            <w:gridSpan w:val="10"/>
          </w:tcPr>
          <w:p>
            <w:pPr>
              <w:spacing w:after="0"/>
              <w:rPr>
                <w:sz w:val="13"/>
                <w:szCs w:val="13"/>
                <w:color w:val="auto"/>
              </w:rPr>
            </w:pPr>
          </w:p>
        </w:tc>
        <w:tc>
          <w:tcPr>
            <w:tcW w:w="680" w:type="dxa"/>
            <w:vAlign w:val="bottom"/>
            <w:gridSpan w:val="4"/>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E32E1"/>
          </w:tcPr>
          <w:p>
            <w:pPr>
              <w:spacing w:after="0"/>
              <w:rPr>
                <w:sz w:val="2"/>
                <w:szCs w:val="2"/>
                <w:color w:val="auto"/>
              </w:rPr>
            </w:pPr>
          </w:p>
        </w:tc>
        <w:tc>
          <w:tcPr>
            <w:tcW w:w="300" w:type="dxa"/>
            <w:vAlign w:val="bottom"/>
            <w:shd w:val="clear" w:color="auto" w:fill="0E32E1"/>
          </w:tcPr>
          <w:p>
            <w:pPr>
              <w:spacing w:after="0"/>
              <w:rPr>
                <w:sz w:val="2"/>
                <w:szCs w:val="2"/>
                <w:color w:val="auto"/>
              </w:rPr>
            </w:pPr>
          </w:p>
        </w:tc>
        <w:tc>
          <w:tcPr>
            <w:tcW w:w="160" w:type="dxa"/>
            <w:vAlign w:val="bottom"/>
            <w:shd w:val="clear" w:color="auto" w:fill="0E32E1"/>
          </w:tcPr>
          <w:p>
            <w:pPr>
              <w:spacing w:after="0"/>
              <w:rPr>
                <w:sz w:val="2"/>
                <w:szCs w:val="2"/>
                <w:color w:val="auto"/>
              </w:rPr>
            </w:pPr>
          </w:p>
        </w:tc>
        <w:tc>
          <w:tcPr>
            <w:tcW w:w="260" w:type="dxa"/>
            <w:vAlign w:val="bottom"/>
            <w:shd w:val="clear" w:color="auto" w:fill="0E32E1"/>
          </w:tcPr>
          <w:p>
            <w:pPr>
              <w:spacing w:after="0"/>
              <w:rPr>
                <w:sz w:val="2"/>
                <w:szCs w:val="2"/>
                <w:color w:val="auto"/>
              </w:rPr>
            </w:pPr>
          </w:p>
        </w:tc>
        <w:tc>
          <w:tcPr>
            <w:tcW w:w="20" w:type="dxa"/>
            <w:vAlign w:val="bottom"/>
            <w:shd w:val="clear" w:color="auto" w:fill="0E32E1"/>
          </w:tcPr>
          <w:p>
            <w:pPr>
              <w:spacing w:after="0"/>
              <w:rPr>
                <w:sz w:val="2"/>
                <w:szCs w:val="2"/>
                <w:color w:val="auto"/>
              </w:rPr>
            </w:pPr>
          </w:p>
        </w:tc>
        <w:tc>
          <w:tcPr>
            <w:tcW w:w="420" w:type="dxa"/>
            <w:vAlign w:val="bottom"/>
            <w:gridSpan w:val="4"/>
            <w:shd w:val="clear" w:color="auto" w:fill="0E32E1"/>
          </w:tcPr>
          <w:p>
            <w:pPr>
              <w:spacing w:after="0"/>
              <w:rPr>
                <w:sz w:val="2"/>
                <w:szCs w:val="2"/>
                <w:color w:val="auto"/>
              </w:rPr>
            </w:pPr>
          </w:p>
        </w:tc>
        <w:tc>
          <w:tcPr>
            <w:tcW w:w="56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680" w:type="dxa"/>
            <w:vAlign w:val="bottom"/>
          </w:tcPr>
          <w:p>
            <w:pPr>
              <w:spacing w:after="0"/>
              <w:rPr>
                <w:sz w:val="2"/>
                <w:szCs w:val="2"/>
                <w:color w:val="auto"/>
              </w:rPr>
            </w:pPr>
          </w:p>
        </w:tc>
        <w:tc>
          <w:tcPr>
            <w:tcW w:w="2440" w:type="dxa"/>
            <w:vAlign w:val="bottom"/>
            <w:gridSpan w:val="6"/>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5"/>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3"/>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0000FF"/>
                <w:w w:val="85"/>
              </w:rPr>
              <w:t>ITEM 2.</w:t>
            </w:r>
          </w:p>
        </w:tc>
        <w:tc>
          <w:tcPr>
            <w:tcW w:w="540" w:type="dxa"/>
            <w:vAlign w:val="bottom"/>
            <w:gridSpan w:val="2"/>
          </w:tcPr>
          <w:p>
            <w:pPr>
              <w:spacing w:after="0"/>
              <w:rPr>
                <w:sz w:val="24"/>
                <w:szCs w:val="24"/>
                <w:color w:val="auto"/>
              </w:rPr>
            </w:pPr>
          </w:p>
        </w:tc>
        <w:tc>
          <w:tcPr>
            <w:tcW w:w="6460" w:type="dxa"/>
            <w:vAlign w:val="bottom"/>
            <w:gridSpan w:val="1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44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0000FF"/>
                <w:w w:val="85"/>
              </w:rPr>
              <w:t>ITEM 3.</w:t>
            </w:r>
          </w:p>
        </w:tc>
        <w:tc>
          <w:tcPr>
            <w:tcW w:w="540" w:type="dxa"/>
            <w:vAlign w:val="bottom"/>
            <w:gridSpan w:val="2"/>
          </w:tcPr>
          <w:p>
            <w:pPr>
              <w:spacing w:after="0"/>
              <w:rPr>
                <w:sz w:val="24"/>
                <w:szCs w:val="24"/>
                <w:color w:val="auto"/>
              </w:rPr>
            </w:pPr>
          </w:p>
        </w:tc>
        <w:tc>
          <w:tcPr>
            <w:tcW w:w="646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44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6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0000FF"/>
                <w:w w:val="92"/>
              </w:rPr>
              <w:t>ITEM 4</w:t>
            </w:r>
          </w:p>
        </w:tc>
        <w:tc>
          <w:tcPr>
            <w:tcW w:w="540" w:type="dxa"/>
            <w:vAlign w:val="bottom"/>
            <w:gridSpan w:val="2"/>
          </w:tcPr>
          <w:p>
            <w:pPr>
              <w:spacing w:after="0"/>
              <w:rPr>
                <w:sz w:val="24"/>
                <w:szCs w:val="24"/>
                <w:color w:val="auto"/>
              </w:rPr>
            </w:pPr>
          </w:p>
        </w:tc>
        <w:tc>
          <w:tcPr>
            <w:tcW w:w="4300" w:type="dxa"/>
            <w:vAlign w:val="bottom"/>
            <w:gridSpan w:val="12"/>
          </w:tcPr>
          <w:p>
            <w:pPr>
              <w:spacing w:after="0"/>
              <w:rPr>
                <w:sz w:val="20"/>
                <w:szCs w:val="20"/>
                <w:color w:val="auto"/>
              </w:rPr>
            </w:pPr>
            <w:r>
              <w:rPr>
                <w:rFonts w:ascii="Arial" w:cs="Arial" w:eastAsia="Arial" w:hAnsi="Arial"/>
                <w:sz w:val="18"/>
                <w:szCs w:val="18"/>
                <w:color w:val="0000FF"/>
              </w:rPr>
              <w:t>Controls and Procedures</w:t>
            </w:r>
          </w:p>
        </w:tc>
        <w:tc>
          <w:tcPr>
            <w:tcW w:w="4600" w:type="dxa"/>
            <w:vAlign w:val="bottom"/>
            <w:gridSpan w:val="11"/>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37</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56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500" w:type="dxa"/>
            <w:vAlign w:val="bottom"/>
            <w:gridSpan w:val="28"/>
          </w:tcPr>
          <w:p>
            <w:pPr>
              <w:spacing w:after="0"/>
              <w:rPr>
                <w:sz w:val="20"/>
                <w:szCs w:val="20"/>
                <w:color w:val="auto"/>
              </w:rPr>
            </w:pPr>
            <w:r>
              <w:rPr>
                <w:rFonts w:ascii="Arial" w:cs="Arial" w:eastAsia="Arial" w:hAnsi="Arial"/>
                <w:sz w:val="18"/>
                <w:szCs w:val="18"/>
                <w:color w:val="0000FF"/>
              </w:rPr>
              <w:t>PART II—OTHER INFORMATION</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560" w:type="dxa"/>
            <w:vAlign w:val="bottom"/>
            <w:gridSpan w:val="10"/>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ITEM 1.</w:t>
            </w:r>
          </w:p>
        </w:tc>
        <w:tc>
          <w:tcPr>
            <w:tcW w:w="540" w:type="dxa"/>
            <w:vAlign w:val="bottom"/>
            <w:gridSpan w:val="2"/>
          </w:tcPr>
          <w:p>
            <w:pPr>
              <w:spacing w:after="0"/>
              <w:rPr>
                <w:sz w:val="24"/>
                <w:szCs w:val="24"/>
                <w:color w:val="auto"/>
              </w:rPr>
            </w:pPr>
          </w:p>
        </w:tc>
        <w:tc>
          <w:tcPr>
            <w:tcW w:w="13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Legal Proceedings</w:t>
            </w:r>
          </w:p>
        </w:tc>
        <w:tc>
          <w:tcPr>
            <w:tcW w:w="7560" w:type="dxa"/>
            <w:vAlign w:val="bottom"/>
            <w:gridSpan w:val="18"/>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0000FF"/>
              </w:rPr>
              <w:t>38</w:t>
            </w: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0000FF"/>
                <w:w w:val="97"/>
              </w:rPr>
              <w:t>ITEM 1.A.</w:t>
            </w:r>
          </w:p>
        </w:tc>
        <w:tc>
          <w:tcPr>
            <w:tcW w:w="320" w:type="dxa"/>
            <w:vAlign w:val="bottom"/>
          </w:tcPr>
          <w:p>
            <w:pPr>
              <w:spacing w:after="0"/>
              <w:rPr>
                <w:sz w:val="24"/>
                <w:szCs w:val="24"/>
                <w:color w:val="auto"/>
              </w:rPr>
            </w:pPr>
          </w:p>
        </w:tc>
        <w:tc>
          <w:tcPr>
            <w:tcW w:w="8900" w:type="dxa"/>
            <w:vAlign w:val="bottom"/>
            <w:gridSpan w:val="23"/>
          </w:tcPr>
          <w:p>
            <w:pPr>
              <w:spacing w:after="0"/>
              <w:rPr>
                <w:sz w:val="20"/>
                <w:szCs w:val="20"/>
                <w:color w:val="auto"/>
              </w:rPr>
            </w:pPr>
            <w:r>
              <w:rPr>
                <w:rFonts w:ascii="Arial" w:cs="Arial" w:eastAsia="Arial" w:hAnsi="Arial"/>
                <w:sz w:val="18"/>
                <w:szCs w:val="18"/>
                <w:color w:val="0000FF"/>
              </w:rPr>
              <w:t>Risk Factors</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0000FF"/>
              </w:rPr>
              <w:t>38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56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0000FF"/>
                <w:w w:val="85"/>
              </w:rPr>
              <w:t>ITEM 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3"/>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0000FF"/>
              </w:rPr>
              <w:t>38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gridSpan w:val="6"/>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56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0000FF"/>
                <w:w w:val="85"/>
              </w:rPr>
              <w:t>ITEM 3.</w:t>
            </w:r>
          </w:p>
        </w:tc>
        <w:tc>
          <w:tcPr>
            <w:tcW w:w="540" w:type="dxa"/>
            <w:vAlign w:val="bottom"/>
            <w:gridSpan w:val="2"/>
          </w:tcPr>
          <w:p>
            <w:pPr>
              <w:spacing w:after="0"/>
              <w:rPr>
                <w:sz w:val="24"/>
                <w:szCs w:val="24"/>
                <w:color w:val="auto"/>
              </w:rPr>
            </w:pPr>
          </w:p>
        </w:tc>
        <w:tc>
          <w:tcPr>
            <w:tcW w:w="4340" w:type="dxa"/>
            <w:vAlign w:val="bottom"/>
            <w:gridSpan w:val="13"/>
          </w:tcPr>
          <w:p>
            <w:pPr>
              <w:spacing w:after="0"/>
              <w:rPr>
                <w:sz w:val="20"/>
                <w:szCs w:val="20"/>
                <w:color w:val="auto"/>
              </w:rPr>
            </w:pPr>
            <w:r>
              <w:rPr>
                <w:rFonts w:ascii="Arial" w:cs="Arial" w:eastAsia="Arial" w:hAnsi="Arial"/>
                <w:sz w:val="18"/>
                <w:szCs w:val="18"/>
                <w:color w:val="0000FF"/>
              </w:rPr>
              <w:t>Defaults Upon Senior Securities</w:t>
            </w:r>
          </w:p>
        </w:tc>
        <w:tc>
          <w:tcPr>
            <w:tcW w:w="4560" w:type="dxa"/>
            <w:vAlign w:val="bottom"/>
            <w:gridSpan w:val="10"/>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gridSpan w:val="6"/>
            <w:shd w:val="clear" w:color="auto" w:fill="0000FF"/>
          </w:tcPr>
          <w:p>
            <w:pPr>
              <w:spacing w:after="0" w:line="20" w:lineRule="exact"/>
              <w:rPr>
                <w:sz w:val="1"/>
                <w:szCs w:val="1"/>
                <w:color w:val="auto"/>
              </w:rPr>
            </w:pPr>
          </w:p>
        </w:tc>
        <w:tc>
          <w:tcPr>
            <w:tcW w:w="658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0000FF"/>
                <w:w w:val="85"/>
              </w:rPr>
              <w:t>ITEM 4.</w:t>
            </w:r>
          </w:p>
        </w:tc>
        <w:tc>
          <w:tcPr>
            <w:tcW w:w="540" w:type="dxa"/>
            <w:vAlign w:val="bottom"/>
            <w:gridSpan w:val="2"/>
          </w:tcPr>
          <w:p>
            <w:pPr>
              <w:spacing w:after="0"/>
              <w:rPr>
                <w:sz w:val="24"/>
                <w:szCs w:val="24"/>
                <w:color w:val="auto"/>
              </w:rPr>
            </w:pPr>
          </w:p>
        </w:tc>
        <w:tc>
          <w:tcPr>
            <w:tcW w:w="2320" w:type="dxa"/>
            <w:vAlign w:val="bottom"/>
            <w:gridSpan w:val="10"/>
          </w:tcPr>
          <w:p>
            <w:pPr>
              <w:spacing w:after="0"/>
              <w:rPr>
                <w:sz w:val="20"/>
                <w:szCs w:val="20"/>
                <w:color w:val="auto"/>
              </w:rPr>
            </w:pPr>
            <w:r>
              <w:rPr>
                <w:rFonts w:ascii="Arial" w:cs="Arial" w:eastAsia="Arial" w:hAnsi="Arial"/>
                <w:sz w:val="18"/>
                <w:szCs w:val="18"/>
                <w:color w:val="0000FF"/>
              </w:rPr>
              <w:t>Mine Safety Disclosures</w:t>
            </w:r>
          </w:p>
        </w:tc>
        <w:tc>
          <w:tcPr>
            <w:tcW w:w="6580" w:type="dxa"/>
            <w:vAlign w:val="bottom"/>
            <w:gridSpan w:val="13"/>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38</w:t>
            </w: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85"/>
              </w:rPr>
              <w:t>ITEM 5.</w:t>
            </w:r>
          </w:p>
        </w:tc>
        <w:tc>
          <w:tcPr>
            <w:tcW w:w="540" w:type="dxa"/>
            <w:vAlign w:val="bottom"/>
            <w:gridSpan w:val="2"/>
          </w:tcPr>
          <w:p>
            <w:pPr>
              <w:spacing w:after="0"/>
              <w:rPr>
                <w:sz w:val="24"/>
                <w:szCs w:val="24"/>
                <w:color w:val="auto"/>
              </w:rPr>
            </w:pPr>
          </w:p>
        </w:tc>
        <w:tc>
          <w:tcPr>
            <w:tcW w:w="13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5"/>
          </w:tcPr>
          <w:p>
            <w:pPr>
              <w:spacing w:after="0"/>
              <w:rPr>
                <w:sz w:val="24"/>
                <w:szCs w:val="24"/>
                <w:color w:val="auto"/>
              </w:rPr>
            </w:pPr>
          </w:p>
        </w:tc>
        <w:tc>
          <w:tcPr>
            <w:tcW w:w="7140" w:type="dxa"/>
            <w:vAlign w:val="bottom"/>
            <w:gridSpan w:val="14"/>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580" w:type="dxa"/>
            <w:vAlign w:val="bottom"/>
            <w:gridSpan w:val="1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0000FF"/>
                <w:w w:val="85"/>
              </w:rPr>
              <w:t>ITEM 6.</w:t>
            </w:r>
          </w:p>
        </w:tc>
        <w:tc>
          <w:tcPr>
            <w:tcW w:w="540" w:type="dxa"/>
            <w:vAlign w:val="bottom"/>
            <w:gridSpan w:val="2"/>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0000FF"/>
                <w:w w:val="91"/>
              </w:rPr>
              <w:t>Exhibits</w:t>
            </w:r>
          </w:p>
        </w:tc>
        <w:tc>
          <w:tcPr>
            <w:tcW w:w="720" w:type="dxa"/>
            <w:vAlign w:val="bottom"/>
            <w:gridSpan w:val="3"/>
          </w:tcPr>
          <w:p>
            <w:pPr>
              <w:spacing w:after="0"/>
              <w:rPr>
                <w:sz w:val="24"/>
                <w:szCs w:val="24"/>
                <w:color w:val="auto"/>
              </w:rPr>
            </w:pPr>
          </w:p>
        </w:tc>
        <w:tc>
          <w:tcPr>
            <w:tcW w:w="7580" w:type="dxa"/>
            <w:vAlign w:val="bottom"/>
            <w:gridSpan w:val="19"/>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0" w:type="dxa"/>
            <w:vAlign w:val="bottom"/>
            <w:gridSpan w:val="5"/>
          </w:tcPr>
          <w:p>
            <w:pPr>
              <w:spacing w:after="0"/>
              <w:rPr>
                <w:sz w:val="20"/>
                <w:szCs w:val="20"/>
                <w:color w:val="auto"/>
              </w:rPr>
            </w:pPr>
            <w:r>
              <w:rPr>
                <w:rFonts w:ascii="Arial" w:cs="Arial" w:eastAsia="Arial" w:hAnsi="Arial"/>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0000FF"/>
              </w:rPr>
              <w:t>40</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share and per share data</w:t>
      </w:r>
      <w:r>
        <w:rPr>
          <w:rFonts w:ascii="Arial" w:cs="Arial" w:eastAsia="Arial" w:hAnsi="Arial"/>
          <w:sz w:val="18"/>
          <w:szCs w:val="18"/>
          <w:color w:val="auto"/>
        </w:rPr>
        <w:t>)</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2022</w:t>
            </w:r>
          </w:p>
        </w:tc>
        <w:tc>
          <w:tcPr>
            <w:tcW w:w="14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6"/>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18,084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24,110</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109,511</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13,260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12,686</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15,031</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174,433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161,338</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86,578</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50,337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59,381</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205,439</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47,285</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540,446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562,195</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12,870</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83,070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83,863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20,162</w:t>
            </w: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Current portion of finance lease obligations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107,512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121,415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182,403</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Obligations under finance leases, net of current portion</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9,752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39,328</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361,283</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Arial" w:cs="Arial" w:eastAsia="Arial" w:hAnsi="Arial"/>
                <w:sz w:val="18"/>
                <w:szCs w:val="18"/>
                <w:color w:val="auto"/>
              </w:rPr>
              <w:t>Preferred stock, 10,000,000 shares authorized</w:t>
            </w:r>
          </w:p>
        </w:tc>
        <w:tc>
          <w:tcPr>
            <w:tcW w:w="14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79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0"/>
              </w:rPr>
              <w:t>Common stock, $0.01 par value, 200,000,000 shares authorized, 29,842,496 and 29,546,263 shares issued</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outstanding</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242,093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238,687</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(17,988)</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(41,282)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(20,311)</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Mistras Group, Inc. stockholders’ equity</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200,683</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187,056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200,912</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540,446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562,195</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4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r>
      <w:tr>
        <w:trPr>
          <w:trHeight w:val="68"/>
        </w:trPr>
        <w:tc>
          <w:tcPr>
            <w:tcW w:w="4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505,968</w:t>
            </w: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119,110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116,750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354,848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341,780</w:t>
            </w: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16,635</w:t>
            </w: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53,784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52,216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147,233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147,553</w:t>
            </w: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118,579</w:t>
            </w: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w w:val="92"/>
              </w:rPr>
              <w:t>Bad debt provision for troubled customers, net of recoveries</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insurance recoveries, net</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r>
      <w:tr>
        <w:trPr>
          <w:trHeight w:val="229"/>
        </w:trPr>
        <w:tc>
          <w:tcPr>
            <w:tcW w:w="4560" w:type="dxa"/>
            <w:vAlign w:val="bottom"/>
          </w:tcPr>
          <w:p>
            <w:pPr>
              <w:ind w:left="140"/>
              <w:spacing w:after="0"/>
              <w:rPr>
                <w:sz w:val="20"/>
                <w:szCs w:val="20"/>
                <w:color w:val="auto"/>
              </w:rPr>
            </w:pPr>
            <w:r>
              <w:rPr>
                <w:rFonts w:ascii="Arial" w:cs="Arial" w:eastAsia="Arial" w:hAnsi="Arial"/>
                <w:sz w:val="18"/>
                <w:szCs w:val="18"/>
                <w:color w:val="auto"/>
              </w:rPr>
              <w:t>Research and engineering</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1,942</w:t>
            </w:r>
          </w:p>
        </w:tc>
      </w:tr>
      <w:tr>
        <w:trPr>
          <w:trHeight w:val="230"/>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w:t>
            </w:r>
          </w:p>
        </w:tc>
      </w:tr>
      <w:tr>
        <w:trPr>
          <w:trHeight w:val="229"/>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Acquisition-related expense, net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r>
      <w:tr>
        <w:trPr>
          <w:trHeight w:val="223"/>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15,864</w:t>
            </w:r>
          </w:p>
        </w:tc>
      </w:tr>
      <w:tr>
        <w:trPr>
          <w:trHeight w:val="229"/>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8,694</w:t>
            </w: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7,170</w:t>
            </w:r>
          </w:p>
        </w:tc>
      </w:tr>
      <w:tr>
        <w:trPr>
          <w:trHeight w:val="229"/>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w:t>
            </w: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r>
      <w:tr>
        <w:trPr>
          <w:trHeight w:val="175"/>
        </w:trPr>
        <w:tc>
          <w:tcPr>
            <w:tcW w:w="4560" w:type="dxa"/>
            <w:vAlign w:val="bottom"/>
          </w:tcPr>
          <w:p>
            <w:pPr>
              <w:ind w:left="140"/>
              <w:spacing w:after="0" w:line="176" w:lineRule="exact"/>
              <w:rPr>
                <w:sz w:val="20"/>
                <w:szCs w:val="20"/>
                <w:color w:val="auto"/>
              </w:rPr>
            </w:pPr>
            <w:r>
              <w:rPr>
                <w:rFonts w:ascii="Arial" w:cs="Arial" w:eastAsia="Arial" w:hAnsi="Arial"/>
                <w:sz w:val="18"/>
                <w:szCs w:val="18"/>
                <w:color w:val="auto"/>
                <w:w w:val="92"/>
              </w:rPr>
              <w:t>Less: net income attributable to noncontrolling interests, net</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of taxes</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Mistras Group, Inc.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56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30"/>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29,550</w:t>
            </w:r>
          </w:p>
        </w:tc>
      </w:tr>
      <w:tr>
        <w:trPr>
          <w:trHeight w:val="230"/>
        </w:trPr>
        <w:tc>
          <w:tcPr>
            <w:tcW w:w="4560" w:type="dxa"/>
            <w:vAlign w:val="bottom"/>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30,245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30,127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30,209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30,093</w:t>
            </w: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336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294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5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0" w:type="dxa"/>
            <w:vAlign w:val="bottom"/>
          </w:tcPr>
          <w:p>
            <w:pPr>
              <w:spacing w:after="0"/>
              <w:rPr>
                <w:sz w:val="1"/>
                <w:szCs w:val="1"/>
                <w:color w:val="auto"/>
              </w:rPr>
            </w:pPr>
          </w:p>
        </w:tc>
      </w:tr>
      <w:tr>
        <w:trPr>
          <w:trHeight w:val="230"/>
        </w:trPr>
        <w:tc>
          <w:tcPr>
            <w:tcW w:w="45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(12,995)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23"/>
        </w:trPr>
        <w:tc>
          <w:tcPr>
            <w:tcW w:w="454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(17,264)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net income attributable to noncontrolling interest</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76"/>
        </w:trPr>
        <w:tc>
          <w:tcPr>
            <w:tcW w:w="4540" w:type="dxa"/>
            <w:vAlign w:val="bottom"/>
          </w:tcPr>
          <w:p>
            <w:pPr>
              <w:ind w:left="160"/>
              <w:spacing w:after="0" w:line="176" w:lineRule="exact"/>
              <w:rPr>
                <w:sz w:val="20"/>
                <w:szCs w:val="20"/>
                <w:color w:val="auto"/>
              </w:rPr>
            </w:pPr>
            <w:r>
              <w:rPr>
                <w:rFonts w:ascii="Arial" w:cs="Arial" w:eastAsia="Arial" w:hAnsi="Arial"/>
                <w:sz w:val="18"/>
                <w:szCs w:val="18"/>
                <w:color w:val="auto"/>
                <w:w w:val="93"/>
              </w:rPr>
              <w:t>Less: Foreign currency translation adjustments attributable</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60"/>
              <w:spacing w:after="0"/>
              <w:rPr>
                <w:sz w:val="20"/>
                <w:szCs w:val="20"/>
                <w:color w:val="auto"/>
              </w:rPr>
            </w:pPr>
            <w:r>
              <w:rPr>
                <w:rFonts w:ascii="Arial" w:cs="Arial" w:eastAsia="Arial" w:hAnsi="Arial"/>
                <w:sz w:val="18"/>
                <w:szCs w:val="18"/>
                <w:color w:val="auto"/>
              </w:rPr>
              <w:t>to noncontrolling interests</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56"/>
        </w:trPr>
        <w:tc>
          <w:tcPr>
            <w:tcW w:w="4540" w:type="dxa"/>
            <w:vAlign w:val="bottom"/>
            <w:tcBorders>
              <w:top w:val="single" w:sz="8" w:color="CCEEFF"/>
            </w:tcBorders>
            <w:shd w:val="clear" w:color="auto" w:fill="CCEEFF"/>
          </w:tcPr>
          <w:p>
            <w:pPr>
              <w:ind w:left="40"/>
              <w:spacing w:after="0" w:line="156" w:lineRule="exact"/>
              <w:rPr>
                <w:sz w:val="20"/>
                <w:szCs w:val="20"/>
                <w:color w:val="auto"/>
              </w:rPr>
            </w:pPr>
            <w:r>
              <w:rPr>
                <w:rFonts w:ascii="Arial" w:cs="Arial" w:eastAsia="Arial" w:hAnsi="Arial"/>
                <w:sz w:val="18"/>
                <w:szCs w:val="18"/>
                <w:color w:val="auto"/>
                <w:w w:val="94"/>
              </w:rPr>
              <w:t>Comprehensive income (loss) attributable to Mistras Group,</w:t>
            </w:r>
          </w:p>
        </w:tc>
        <w:tc>
          <w:tcPr>
            <w:tcW w:w="940" w:type="dxa"/>
            <w:vAlign w:val="bottom"/>
            <w:tcBorders>
              <w:top w:val="single" w:sz="8" w:color="auto"/>
            </w:tcBorders>
            <w:vMerge w:val="restart"/>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120" w:type="dxa"/>
            <w:vAlign w:val="bottom"/>
          </w:tcPr>
          <w:p>
            <w:pPr>
              <w:spacing w:after="0"/>
              <w:rPr>
                <w:sz w:val="13"/>
                <w:szCs w:val="13"/>
                <w:color w:val="auto"/>
              </w:rPr>
            </w:pPr>
          </w:p>
        </w:tc>
        <w:tc>
          <w:tcPr>
            <w:tcW w:w="380" w:type="dxa"/>
            <w:vAlign w:val="bottom"/>
            <w:tcBorders>
              <w:top w:val="single" w:sz="8" w:color="auto"/>
            </w:tcBorders>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(17,318)</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36"/>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w:t>
            </w: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Condensed Consolidated Statements of Equity</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1" w:lineRule="exact"/>
        <w:rPr>
          <w:sz w:val="20"/>
          <w:szCs w:val="20"/>
          <w:color w:val="auto"/>
        </w:rPr>
      </w:pPr>
    </w:p>
    <w:tbl>
      <w:tblPr>
        <w:tblLayout w:type="fixed"/>
        <w:tblInd w:w="260" w:type="dxa"/>
        <w:tblCellMar>
          <w:top w:w="0" w:type="dxa"/>
          <w:left w:w="0" w:type="dxa"/>
          <w:bottom w:w="0" w:type="dxa"/>
          <w:right w:w="0" w:type="dxa"/>
        </w:tblCellMar>
      </w:tblPr>
      <w:tr>
        <w:trPr>
          <w:trHeight w:val="174"/>
        </w:trPr>
        <w:tc>
          <w:tcPr>
            <w:tcW w:w="21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5"/>
              </w:rPr>
              <w:t>Three months ended</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2120" w:type="dxa"/>
            <w:vAlign w:val="bottom"/>
          </w:tcPr>
          <w:p>
            <w:pPr>
              <w:spacing w:after="0"/>
              <w:rPr>
                <w:sz w:val="24"/>
                <w:szCs w:val="24"/>
                <w:color w:val="auto"/>
              </w:rPr>
            </w:pPr>
          </w:p>
        </w:tc>
        <w:tc>
          <w:tcPr>
            <w:tcW w:w="1860" w:type="dxa"/>
            <w:vAlign w:val="bottom"/>
            <w:gridSpan w:val="5"/>
            <w:vMerge w:val="restart"/>
          </w:tcPr>
          <w:p>
            <w:pPr>
              <w:ind w:left="4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7"/>
              </w:rPr>
              <w:t>Retained</w:t>
            </w:r>
          </w:p>
        </w:tc>
        <w:tc>
          <w:tcPr>
            <w:tcW w:w="160" w:type="dxa"/>
            <w:vAlign w:val="bottom"/>
          </w:tcPr>
          <w:p>
            <w:pPr>
              <w:spacing w:after="0"/>
              <w:rPr>
                <w:sz w:val="24"/>
                <w:szCs w:val="2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186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91"/>
              </w:rPr>
              <w:t>Mistras Group,</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12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tcPr>
          <w:p>
            <w:pPr>
              <w:ind w:left="20"/>
              <w:spacing w:after="0" w:line="85" w:lineRule="exact"/>
              <w:rPr>
                <w:sz w:val="20"/>
                <w:szCs w:val="20"/>
                <w:color w:val="auto"/>
              </w:rPr>
            </w:pPr>
            <w:r>
              <w:rPr>
                <w:rFonts w:ascii="Arial" w:cs="Arial" w:eastAsia="Arial" w:hAnsi="Arial"/>
                <w:sz w:val="9"/>
                <w:szCs w:val="9"/>
                <w:b w:val="1"/>
                <w:bCs w:val="1"/>
                <w:color w:val="auto"/>
              </w:rPr>
              <w:t>Additional</w:t>
            </w:r>
          </w:p>
        </w:tc>
        <w:tc>
          <w:tcPr>
            <w:tcW w:w="120" w:type="dxa"/>
            <w:vAlign w:val="bottom"/>
          </w:tcPr>
          <w:p>
            <w:pPr>
              <w:spacing w:after="0"/>
              <w:rPr>
                <w:sz w:val="7"/>
                <w:szCs w:val="7"/>
                <w:color w:val="auto"/>
              </w:rPr>
            </w:pPr>
          </w:p>
        </w:tc>
        <w:tc>
          <w:tcPr>
            <w:tcW w:w="800" w:type="dxa"/>
            <w:vAlign w:val="bottom"/>
            <w:gridSpan w:val="2"/>
          </w:tcPr>
          <w:p>
            <w:pPr>
              <w:jc w:val="center"/>
              <w:ind w:right="220"/>
              <w:spacing w:after="0" w:line="85" w:lineRule="exact"/>
              <w:rPr>
                <w:sz w:val="20"/>
                <w:szCs w:val="20"/>
                <w:color w:val="auto"/>
              </w:rPr>
            </w:pPr>
            <w:r>
              <w:rPr>
                <w:rFonts w:ascii="Arial" w:cs="Arial" w:eastAsia="Arial" w:hAnsi="Arial"/>
                <w:sz w:val="9"/>
                <w:szCs w:val="9"/>
                <w:b w:val="1"/>
                <w:bCs w:val="1"/>
                <w:color w:val="auto"/>
              </w:rPr>
              <w:t>earnings</w:t>
            </w:r>
          </w:p>
        </w:tc>
        <w:tc>
          <w:tcPr>
            <w:tcW w:w="160" w:type="dxa"/>
            <w:vAlign w:val="bottom"/>
          </w:tcPr>
          <w:p>
            <w:pPr>
              <w:spacing w:after="0"/>
              <w:rPr>
                <w:sz w:val="7"/>
                <w:szCs w:val="7"/>
                <w:color w:val="auto"/>
              </w:rPr>
            </w:pPr>
          </w:p>
        </w:tc>
        <w:tc>
          <w:tcPr>
            <w:tcW w:w="1120" w:type="dxa"/>
            <w:vAlign w:val="bottom"/>
            <w:gridSpan w:val="2"/>
          </w:tcPr>
          <w:p>
            <w:pPr>
              <w:ind w:left="280"/>
              <w:spacing w:after="0" w:line="85" w:lineRule="exact"/>
              <w:rPr>
                <w:sz w:val="20"/>
                <w:szCs w:val="20"/>
                <w:color w:val="auto"/>
              </w:rPr>
            </w:pPr>
            <w:r>
              <w:rPr>
                <w:rFonts w:ascii="Arial" w:cs="Arial" w:eastAsia="Arial" w:hAnsi="Arial"/>
                <w:sz w:val="9"/>
                <w:szCs w:val="9"/>
                <w:b w:val="1"/>
                <w:bCs w:val="1"/>
                <w:color w:val="auto"/>
              </w:rPr>
              <w:t>other</w:t>
            </w:r>
          </w:p>
        </w:tc>
        <w:tc>
          <w:tcPr>
            <w:tcW w:w="120" w:type="dxa"/>
            <w:vAlign w:val="bottom"/>
          </w:tcPr>
          <w:p>
            <w:pPr>
              <w:spacing w:after="0"/>
              <w:rPr>
                <w:sz w:val="7"/>
                <w:szCs w:val="7"/>
                <w:color w:val="auto"/>
              </w:rPr>
            </w:pPr>
          </w:p>
        </w:tc>
        <w:tc>
          <w:tcPr>
            <w:tcW w:w="1200" w:type="dxa"/>
            <w:vAlign w:val="bottom"/>
            <w:gridSpan w:val="2"/>
          </w:tcPr>
          <w:p>
            <w:pPr>
              <w:jc w:val="center"/>
              <w:ind w:right="240"/>
              <w:spacing w:after="0" w:line="85" w:lineRule="exact"/>
              <w:rPr>
                <w:sz w:val="20"/>
                <w:szCs w:val="20"/>
                <w:color w:val="auto"/>
              </w:rPr>
            </w:pPr>
            <w:r>
              <w:rPr>
                <w:rFonts w:ascii="Arial" w:cs="Arial" w:eastAsia="Arial" w:hAnsi="Arial"/>
                <w:sz w:val="9"/>
                <w:szCs w:val="9"/>
                <w:b w:val="1"/>
                <w:bCs w:val="1"/>
                <w:color w:val="auto"/>
              </w:rPr>
              <w:t>Inc.</w:t>
            </w:r>
          </w:p>
        </w:tc>
        <w:tc>
          <w:tcPr>
            <w:tcW w:w="120" w:type="dxa"/>
            <w:vAlign w:val="bottom"/>
          </w:tcPr>
          <w:p>
            <w:pPr>
              <w:spacing w:after="0"/>
              <w:rPr>
                <w:sz w:val="7"/>
                <w:szCs w:val="7"/>
                <w:color w:val="auto"/>
              </w:rPr>
            </w:pPr>
          </w:p>
        </w:tc>
        <w:tc>
          <w:tcPr>
            <w:tcW w:w="1100" w:type="dxa"/>
            <w:vAlign w:val="bottom"/>
            <w:gridSpan w:val="2"/>
          </w:tcPr>
          <w:p>
            <w:pPr>
              <w:jc w:val="center"/>
              <w:ind w:right="240"/>
              <w:spacing w:after="0" w:line="85" w:lineRule="exact"/>
              <w:rPr>
                <w:sz w:val="20"/>
                <w:szCs w:val="20"/>
                <w:color w:val="auto"/>
              </w:rPr>
            </w:pPr>
            <w:r>
              <w:rPr>
                <w:rFonts w:ascii="Arial" w:cs="Arial" w:eastAsia="Arial" w:hAnsi="Arial"/>
                <w:sz w:val="9"/>
                <w:szCs w:val="9"/>
                <w:b w:val="1"/>
                <w:bCs w:val="1"/>
                <w:color w:val="auto"/>
              </w:rPr>
              <w:t>Noncontrolling</w:t>
            </w: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92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40" w:type="dxa"/>
            <w:vAlign w:val="bottom"/>
            <w:gridSpan w:val="3"/>
          </w:tcPr>
          <w:p>
            <w:pPr>
              <w:ind w:left="20"/>
              <w:spacing w:after="0"/>
              <w:rPr>
                <w:sz w:val="20"/>
                <w:szCs w:val="20"/>
                <w:color w:val="auto"/>
              </w:rPr>
            </w:pPr>
            <w:r>
              <w:rPr>
                <w:rFonts w:ascii="Arial" w:cs="Arial" w:eastAsia="Arial" w:hAnsi="Arial"/>
                <w:sz w:val="13"/>
                <w:szCs w:val="13"/>
                <w:b w:val="1"/>
                <w:bCs w:val="1"/>
                <w:color w:val="auto"/>
              </w:rPr>
              <w:t>paid-in capital</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(deficit)</w:t>
            </w:r>
          </w:p>
        </w:tc>
        <w:tc>
          <w:tcPr>
            <w:tcW w:w="1280" w:type="dxa"/>
            <w:vAlign w:val="bottom"/>
            <w:gridSpan w:val="3"/>
          </w:tcPr>
          <w:p>
            <w:pPr>
              <w:ind w:left="20"/>
              <w:spacing w:after="0"/>
              <w:rPr>
                <w:sz w:val="20"/>
                <w:szCs w:val="20"/>
                <w:color w:val="auto"/>
              </w:rPr>
            </w:pPr>
            <w:r>
              <w:rPr>
                <w:rFonts w:ascii="Arial" w:cs="Arial" w:eastAsia="Arial" w:hAnsi="Arial"/>
                <w:sz w:val="13"/>
                <w:szCs w:val="13"/>
                <w:b w:val="1"/>
                <w:bCs w:val="1"/>
                <w:color w:val="auto"/>
                <w:w w:val="92"/>
              </w:rPr>
              <w:t>comprehensive (loss)</w:t>
            </w:r>
          </w:p>
        </w:tc>
        <w:tc>
          <w:tcPr>
            <w:tcW w:w="13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Stockholders’ Equity</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6"/>
                <w:szCs w:val="16"/>
                <w:color w:val="auto"/>
              </w:rPr>
            </w:pPr>
          </w:p>
        </w:tc>
        <w:tc>
          <w:tcPr>
            <w:tcW w:w="960" w:type="dxa"/>
            <w:vAlign w:val="bottom"/>
          </w:tcPr>
          <w:p>
            <w:pPr>
              <w:jc w:val="right"/>
              <w:ind w:right="157"/>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June 30, 2022</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29,807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240,697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(18,708)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193,999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194,261</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3"/>
                <w:szCs w:val="13"/>
                <w:color w:val="auto"/>
              </w:rPr>
              <w:t>Net income</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100" w:type="dxa"/>
            <w:vAlign w:val="bottom"/>
          </w:tcPr>
          <w:p>
            <w:pPr>
              <w:jc w:val="right"/>
              <w:ind w:right="18"/>
              <w:spacing w:after="0"/>
              <w:rPr>
                <w:sz w:val="20"/>
                <w:szCs w:val="20"/>
                <w:color w:val="auto"/>
              </w:rPr>
            </w:pPr>
            <w:r>
              <w:rPr>
                <w:rFonts w:ascii="Arial" w:cs="Arial" w:eastAsia="Arial" w:hAnsi="Arial"/>
                <w:sz w:val="13"/>
                <w:szCs w:val="13"/>
                <w:color w:val="auto"/>
              </w:rPr>
              <w:t>4,373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4,394</w:t>
            </w: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w w:val="99"/>
              </w:rPr>
              <w:t>Other comprehensive loss, net of tax</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(12,995)</w:t>
            </w:r>
          </w:p>
        </w:tc>
        <w:tc>
          <w:tcPr>
            <w:tcW w:w="0" w:type="dxa"/>
            <w:vAlign w:val="bottom"/>
          </w:tcPr>
          <w:p>
            <w:pPr>
              <w:spacing w:after="0"/>
              <w:rPr>
                <w:sz w:val="1"/>
                <w:szCs w:val="1"/>
                <w:color w:val="auto"/>
              </w:rPr>
            </w:pPr>
          </w:p>
        </w:tc>
      </w:tr>
      <w:tr>
        <w:trPr>
          <w:trHeight w:val="168"/>
        </w:trPr>
        <w:tc>
          <w:tcPr>
            <w:tcW w:w="212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18"/>
              <w:spacing w:after="0"/>
              <w:rPr>
                <w:sz w:val="20"/>
                <w:szCs w:val="20"/>
                <w:color w:val="auto"/>
              </w:rPr>
            </w:pPr>
            <w:r>
              <w:rPr>
                <w:rFonts w:ascii="Arial" w:cs="Arial" w:eastAsia="Arial" w:hAnsi="Arial"/>
                <w:sz w:val="13"/>
                <w:szCs w:val="13"/>
                <w:color w:val="auto"/>
              </w:rPr>
              <w:t>1,396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ind w:right="18"/>
              <w:spacing w:after="0"/>
              <w:rPr>
                <w:sz w:val="20"/>
                <w:szCs w:val="20"/>
                <w:color w:val="auto"/>
              </w:rPr>
            </w:pPr>
            <w:r>
              <w:rPr>
                <w:rFonts w:ascii="Arial" w:cs="Arial" w:eastAsia="Arial" w:hAnsi="Arial"/>
                <w:sz w:val="13"/>
                <w:szCs w:val="13"/>
                <w:color w:val="auto"/>
              </w:rPr>
              <w:t>1,396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1,396</w:t>
            </w:r>
          </w:p>
        </w:tc>
        <w:tc>
          <w:tcPr>
            <w:tcW w:w="0" w:type="dxa"/>
            <w:vAlign w:val="bottom"/>
          </w:tcPr>
          <w:p>
            <w:pPr>
              <w:spacing w:after="0"/>
              <w:rPr>
                <w:sz w:val="1"/>
                <w:szCs w:val="1"/>
                <w:color w:val="auto"/>
              </w:rPr>
            </w:pPr>
          </w:p>
        </w:tc>
      </w:tr>
      <w:tr>
        <w:trPr>
          <w:trHeight w:val="177"/>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w w:val="95"/>
              </w:rPr>
              <w:t>Net settlement of restricted stock units</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120" w:type="dxa"/>
            <w:vAlign w:val="bottom"/>
          </w:tcPr>
          <w:p>
            <w:pPr>
              <w:spacing w:after="0"/>
              <w:rPr>
                <w:sz w:val="20"/>
                <w:szCs w:val="20"/>
                <w:color w:val="auto"/>
              </w:rPr>
            </w:pPr>
            <w:r>
              <w:rPr>
                <w:rFonts w:ascii="Arial" w:cs="Arial" w:eastAsia="Arial" w:hAnsi="Arial"/>
                <w:sz w:val="13"/>
                <w:szCs w:val="13"/>
                <w:b w:val="1"/>
                <w:bCs w:val="1"/>
                <w:color w:val="auto"/>
              </w:rPr>
              <w:t>Balance at September 30, 2022</w:t>
            </w: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29,842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297</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242,093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(14,335)</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(41,282)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186,773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283</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187,056</w:t>
            </w: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120" w:type="dxa"/>
            <w:vAlign w:val="bottom"/>
          </w:tcPr>
          <w:p>
            <w:pPr>
              <w:spacing w:after="0"/>
              <w:rPr>
                <w:sz w:val="20"/>
                <w:szCs w:val="20"/>
                <w:color w:val="auto"/>
              </w:rPr>
            </w:pPr>
            <w:r>
              <w:rPr>
                <w:rFonts w:ascii="Arial" w:cs="Arial" w:eastAsia="Arial" w:hAnsi="Arial"/>
                <w:sz w:val="13"/>
                <w:szCs w:val="13"/>
                <w:b w:val="1"/>
                <w:bCs w:val="1"/>
                <w:color w:val="auto"/>
              </w:rPr>
              <w:t>Balance at June 30, 2021</w:t>
            </w: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29,432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294</w:t>
            </w:r>
          </w:p>
        </w:tc>
        <w:tc>
          <w:tcPr>
            <w:tcW w:w="1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8"/>
              <w:spacing w:after="0"/>
              <w:rPr>
                <w:sz w:val="20"/>
                <w:szCs w:val="20"/>
                <w:color w:val="auto"/>
              </w:rPr>
            </w:pPr>
            <w:r>
              <w:rPr>
                <w:rFonts w:ascii="Arial" w:cs="Arial" w:eastAsia="Arial" w:hAnsi="Arial"/>
                <w:sz w:val="13"/>
                <w:szCs w:val="13"/>
                <w:color w:val="auto"/>
              </w:rPr>
              <w:t>236,125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(21,273)</w:t>
            </w:r>
          </w:p>
        </w:tc>
        <w:tc>
          <w:tcPr>
            <w:tcW w:w="10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(13,707)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18"/>
              <w:spacing w:after="0"/>
              <w:rPr>
                <w:sz w:val="20"/>
                <w:szCs w:val="20"/>
                <w:color w:val="auto"/>
              </w:rPr>
            </w:pPr>
            <w:r>
              <w:rPr>
                <w:rFonts w:ascii="Arial" w:cs="Arial" w:eastAsia="Arial" w:hAnsi="Arial"/>
                <w:sz w:val="13"/>
                <w:szCs w:val="13"/>
                <w:color w:val="auto"/>
              </w:rPr>
              <w:t>201,439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210</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201,649</w:t>
            </w:r>
          </w:p>
        </w:tc>
        <w:tc>
          <w:tcPr>
            <w:tcW w:w="0" w:type="dxa"/>
            <w:vAlign w:val="bottom"/>
          </w:tcPr>
          <w:p>
            <w:pPr>
              <w:spacing w:after="0"/>
              <w:rPr>
                <w:sz w:val="1"/>
                <w:szCs w:val="1"/>
                <w:color w:val="auto"/>
              </w:rPr>
            </w:pPr>
          </w:p>
        </w:tc>
      </w:tr>
      <w:tr>
        <w:trPr>
          <w:trHeight w:val="181"/>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3,380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3,397</w:t>
            </w:r>
          </w:p>
        </w:tc>
        <w:tc>
          <w:tcPr>
            <w:tcW w:w="0" w:type="dxa"/>
            <w:vAlign w:val="bottom"/>
          </w:tcPr>
          <w:p>
            <w:pPr>
              <w:spacing w:after="0"/>
              <w:rPr>
                <w:sz w:val="1"/>
                <w:szCs w:val="1"/>
                <w:color w:val="auto"/>
              </w:rPr>
            </w:pPr>
          </w:p>
        </w:tc>
      </w:tr>
      <w:tr>
        <w:trPr>
          <w:trHeight w:val="168"/>
        </w:trPr>
        <w:tc>
          <w:tcPr>
            <w:tcW w:w="2120" w:type="dxa"/>
            <w:vAlign w:val="bottom"/>
          </w:tcPr>
          <w:p>
            <w:pPr>
              <w:spacing w:after="0"/>
              <w:rPr>
                <w:sz w:val="20"/>
                <w:szCs w:val="20"/>
                <w:color w:val="auto"/>
              </w:rPr>
            </w:pPr>
            <w:r>
              <w:rPr>
                <w:rFonts w:ascii="Arial" w:cs="Arial" w:eastAsia="Arial" w:hAnsi="Arial"/>
                <w:sz w:val="13"/>
                <w:szCs w:val="13"/>
                <w:color w:val="auto"/>
                <w:w w:val="99"/>
              </w:rPr>
              <w:t>Other comprehensive loss, net of tax</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(5,469)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(5,469)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(5,472)</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Share-based payments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1,452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1,452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1,452</w:t>
            </w:r>
          </w:p>
        </w:tc>
        <w:tc>
          <w:tcPr>
            <w:tcW w:w="0" w:type="dxa"/>
            <w:vAlign w:val="bottom"/>
          </w:tcPr>
          <w:p>
            <w:pPr>
              <w:spacing w:after="0"/>
              <w:rPr>
                <w:sz w:val="1"/>
                <w:szCs w:val="1"/>
                <w:color w:val="auto"/>
              </w:rPr>
            </w:pPr>
          </w:p>
        </w:tc>
      </w:tr>
      <w:tr>
        <w:trPr>
          <w:trHeight w:val="169"/>
        </w:trPr>
        <w:tc>
          <w:tcPr>
            <w:tcW w:w="2120" w:type="dxa"/>
            <w:vAlign w:val="bottom"/>
          </w:tcPr>
          <w:p>
            <w:pPr>
              <w:spacing w:after="0"/>
              <w:rPr>
                <w:sz w:val="20"/>
                <w:szCs w:val="20"/>
                <w:color w:val="auto"/>
              </w:rPr>
            </w:pPr>
            <w:r>
              <w:rPr>
                <w:rFonts w:ascii="Arial" w:cs="Arial" w:eastAsia="Arial" w:hAnsi="Arial"/>
                <w:sz w:val="13"/>
                <w:szCs w:val="13"/>
                <w:color w:val="auto"/>
                <w:w w:val="95"/>
              </w:rPr>
              <w:t>Net settlement of restricted stock units</w:t>
            </w: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2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Balance at September 30, 2021</w:t>
            </w:r>
          </w:p>
        </w:tc>
        <w:tc>
          <w:tcPr>
            <w:tcW w:w="8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29,458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237,577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200,802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201,026</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220" w:type="dxa"/>
        <w:tblCellMar>
          <w:top w:w="0" w:type="dxa"/>
          <w:left w:w="0" w:type="dxa"/>
          <w:bottom w:w="0" w:type="dxa"/>
          <w:right w:w="0" w:type="dxa"/>
        </w:tblCellMar>
      </w:tblPr>
      <w:tr>
        <w:trPr>
          <w:trHeight w:val="174"/>
        </w:trPr>
        <w:tc>
          <w:tcPr>
            <w:tcW w:w="20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Nine months ended</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4"/>
                <w:szCs w:val="24"/>
                <w:color w:val="auto"/>
              </w:rPr>
            </w:pPr>
          </w:p>
        </w:tc>
        <w:tc>
          <w:tcPr>
            <w:tcW w:w="1880" w:type="dxa"/>
            <w:vAlign w:val="bottom"/>
            <w:gridSpan w:val="5"/>
            <w:vMerge w:val="restart"/>
          </w:tcPr>
          <w:p>
            <w:pPr>
              <w:ind w:left="48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24"/>
                <w:szCs w:val="24"/>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60" w:type="dxa"/>
            <w:vAlign w:val="bottom"/>
          </w:tcPr>
          <w:p>
            <w:pPr>
              <w:spacing w:after="0"/>
              <w:rPr>
                <w:sz w:val="11"/>
                <w:szCs w:val="11"/>
                <w:color w:val="auto"/>
              </w:rPr>
            </w:pPr>
          </w:p>
        </w:tc>
        <w:tc>
          <w:tcPr>
            <w:tcW w:w="188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1" w:lineRule="exact"/>
              <w:rPr>
                <w:sz w:val="20"/>
                <w:szCs w:val="20"/>
                <w:color w:val="auto"/>
              </w:rPr>
            </w:pPr>
            <w:r>
              <w:rPr>
                <w:rFonts w:ascii="Arial" w:cs="Arial" w:eastAsia="Arial" w:hAnsi="Arial"/>
                <w:sz w:val="13"/>
                <w:szCs w:val="13"/>
                <w:b w:val="1"/>
                <w:bCs w:val="1"/>
                <w:color w:val="auto"/>
                <w:w w:val="89"/>
              </w:rPr>
              <w:t>Mistras Group,</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06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tcPr>
          <w:p>
            <w:pPr>
              <w:ind w:left="20"/>
              <w:spacing w:after="0" w:line="85" w:lineRule="exact"/>
              <w:rPr>
                <w:sz w:val="20"/>
                <w:szCs w:val="20"/>
                <w:color w:val="auto"/>
              </w:rPr>
            </w:pPr>
            <w:r>
              <w:rPr>
                <w:rFonts w:ascii="Arial" w:cs="Arial" w:eastAsia="Arial" w:hAnsi="Arial"/>
                <w:sz w:val="9"/>
                <w:szCs w:val="9"/>
                <w:b w:val="1"/>
                <w:bCs w:val="1"/>
                <w:color w:val="auto"/>
              </w:rPr>
              <w:t>Additional</w:t>
            </w:r>
          </w:p>
        </w:tc>
        <w:tc>
          <w:tcPr>
            <w:tcW w:w="120" w:type="dxa"/>
            <w:vAlign w:val="bottom"/>
          </w:tcPr>
          <w:p>
            <w:pPr>
              <w:spacing w:after="0"/>
              <w:rPr>
                <w:sz w:val="7"/>
                <w:szCs w:val="7"/>
                <w:color w:val="auto"/>
              </w:rPr>
            </w:pPr>
          </w:p>
        </w:tc>
        <w:tc>
          <w:tcPr>
            <w:tcW w:w="820" w:type="dxa"/>
            <w:vAlign w:val="bottom"/>
            <w:gridSpan w:val="2"/>
          </w:tcPr>
          <w:p>
            <w:pPr>
              <w:jc w:val="center"/>
              <w:ind w:right="240"/>
              <w:spacing w:after="0" w:line="85" w:lineRule="exact"/>
              <w:rPr>
                <w:sz w:val="20"/>
                <w:szCs w:val="20"/>
                <w:color w:val="auto"/>
              </w:rPr>
            </w:pPr>
            <w:r>
              <w:rPr>
                <w:rFonts w:ascii="Arial" w:cs="Arial" w:eastAsia="Arial" w:hAnsi="Arial"/>
                <w:sz w:val="9"/>
                <w:szCs w:val="9"/>
                <w:b w:val="1"/>
                <w:bCs w:val="1"/>
                <w:color w:val="auto"/>
              </w:rPr>
              <w:t>earnings</w:t>
            </w:r>
          </w:p>
        </w:tc>
        <w:tc>
          <w:tcPr>
            <w:tcW w:w="100" w:type="dxa"/>
            <w:vAlign w:val="bottom"/>
          </w:tcPr>
          <w:p>
            <w:pPr>
              <w:spacing w:after="0"/>
              <w:rPr>
                <w:sz w:val="7"/>
                <w:szCs w:val="7"/>
                <w:color w:val="auto"/>
              </w:rPr>
            </w:pPr>
          </w:p>
        </w:tc>
        <w:tc>
          <w:tcPr>
            <w:tcW w:w="1240" w:type="dxa"/>
            <w:vAlign w:val="bottom"/>
            <w:gridSpan w:val="2"/>
          </w:tcPr>
          <w:p>
            <w:pPr>
              <w:ind w:left="340"/>
              <w:spacing w:after="0" w:line="85" w:lineRule="exact"/>
              <w:rPr>
                <w:sz w:val="20"/>
                <w:szCs w:val="20"/>
                <w:color w:val="auto"/>
              </w:rPr>
            </w:pPr>
            <w:r>
              <w:rPr>
                <w:rFonts w:ascii="Arial" w:cs="Arial" w:eastAsia="Arial" w:hAnsi="Arial"/>
                <w:sz w:val="9"/>
                <w:szCs w:val="9"/>
                <w:b w:val="1"/>
                <w:bCs w:val="1"/>
                <w:color w:val="auto"/>
              </w:rPr>
              <w:t>other</w:t>
            </w:r>
          </w:p>
        </w:tc>
        <w:tc>
          <w:tcPr>
            <w:tcW w:w="140" w:type="dxa"/>
            <w:vAlign w:val="bottom"/>
          </w:tcPr>
          <w:p>
            <w:pPr>
              <w:spacing w:after="0"/>
              <w:rPr>
                <w:sz w:val="7"/>
                <w:szCs w:val="7"/>
                <w:color w:val="auto"/>
              </w:rPr>
            </w:pPr>
          </w:p>
        </w:tc>
        <w:tc>
          <w:tcPr>
            <w:tcW w:w="1200" w:type="dxa"/>
            <w:vAlign w:val="bottom"/>
            <w:gridSpan w:val="2"/>
          </w:tcPr>
          <w:p>
            <w:pPr>
              <w:jc w:val="center"/>
              <w:ind w:right="240"/>
              <w:spacing w:after="0" w:line="85" w:lineRule="exact"/>
              <w:rPr>
                <w:sz w:val="20"/>
                <w:szCs w:val="20"/>
                <w:color w:val="auto"/>
              </w:rPr>
            </w:pPr>
            <w:r>
              <w:rPr>
                <w:rFonts w:ascii="Arial" w:cs="Arial" w:eastAsia="Arial" w:hAnsi="Arial"/>
                <w:sz w:val="9"/>
                <w:szCs w:val="9"/>
                <w:b w:val="1"/>
                <w:bCs w:val="1"/>
                <w:color w:val="auto"/>
              </w:rPr>
              <w:t>Inc.</w:t>
            </w:r>
          </w:p>
        </w:tc>
        <w:tc>
          <w:tcPr>
            <w:tcW w:w="120" w:type="dxa"/>
            <w:vAlign w:val="bottom"/>
          </w:tcPr>
          <w:p>
            <w:pPr>
              <w:spacing w:after="0"/>
              <w:rPr>
                <w:sz w:val="7"/>
                <w:szCs w:val="7"/>
                <w:color w:val="auto"/>
              </w:rPr>
            </w:pPr>
          </w:p>
        </w:tc>
        <w:tc>
          <w:tcPr>
            <w:tcW w:w="1100" w:type="dxa"/>
            <w:vAlign w:val="bottom"/>
            <w:gridSpan w:val="2"/>
          </w:tcPr>
          <w:p>
            <w:pPr>
              <w:jc w:val="center"/>
              <w:ind w:right="240"/>
              <w:spacing w:after="0" w:line="85" w:lineRule="exact"/>
              <w:rPr>
                <w:sz w:val="20"/>
                <w:szCs w:val="20"/>
                <w:color w:val="auto"/>
              </w:rPr>
            </w:pPr>
            <w:r>
              <w:rPr>
                <w:rFonts w:ascii="Arial" w:cs="Arial" w:eastAsia="Arial" w:hAnsi="Arial"/>
                <w:sz w:val="9"/>
                <w:szCs w:val="9"/>
                <w:b w:val="1"/>
                <w:bCs w:val="1"/>
                <w:color w:val="auto"/>
              </w:rPr>
              <w:t>Noncontrolling</w:t>
            </w: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60" w:type="dxa"/>
            <w:vAlign w:val="bottom"/>
          </w:tcPr>
          <w:p>
            <w:pPr>
              <w:spacing w:after="0"/>
              <w:rPr>
                <w:sz w:val="16"/>
                <w:szCs w:val="16"/>
                <w:color w:val="auto"/>
              </w:rPr>
            </w:pPr>
          </w:p>
        </w:tc>
        <w:tc>
          <w:tcPr>
            <w:tcW w:w="94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940" w:type="dxa"/>
            <w:vAlign w:val="bottom"/>
            <w:gridSpan w:val="3"/>
          </w:tcPr>
          <w:p>
            <w:pPr>
              <w:ind w:left="20"/>
              <w:spacing w:after="0"/>
              <w:rPr>
                <w:sz w:val="20"/>
                <w:szCs w:val="20"/>
                <w:color w:val="auto"/>
              </w:rPr>
            </w:pPr>
            <w:r>
              <w:rPr>
                <w:rFonts w:ascii="Arial" w:cs="Arial" w:eastAsia="Arial" w:hAnsi="Arial"/>
                <w:sz w:val="13"/>
                <w:szCs w:val="13"/>
                <w:b w:val="1"/>
                <w:bCs w:val="1"/>
                <w:color w:val="auto"/>
              </w:rPr>
              <w:t>paid-in capital</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(deficit)</w:t>
            </w:r>
          </w:p>
        </w:tc>
        <w:tc>
          <w:tcPr>
            <w:tcW w:w="134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comprehensive (loss)</w:t>
            </w:r>
          </w:p>
        </w:tc>
        <w:tc>
          <w:tcPr>
            <w:tcW w:w="13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Stockholders’ Equity</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6"/>
                <w:szCs w:val="16"/>
                <w:color w:val="auto"/>
              </w:rPr>
            </w:pPr>
          </w:p>
        </w:tc>
        <w:tc>
          <w:tcPr>
            <w:tcW w:w="960" w:type="dxa"/>
            <w:vAlign w:val="bottom"/>
          </w:tcPr>
          <w:p>
            <w:pPr>
              <w:jc w:val="right"/>
              <w:ind w:right="157"/>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257"/>
        </w:trPr>
        <w:tc>
          <w:tcPr>
            <w:tcW w:w="206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2021</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238,687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(20,311)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200,683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200,912</w:t>
            </w:r>
          </w:p>
        </w:tc>
        <w:tc>
          <w:tcPr>
            <w:tcW w:w="0" w:type="dxa"/>
            <w:vAlign w:val="bottom"/>
          </w:tcPr>
          <w:p>
            <w:pPr>
              <w:spacing w:after="0"/>
              <w:rPr>
                <w:sz w:val="1"/>
                <w:szCs w:val="1"/>
                <w:color w:val="auto"/>
              </w:rPr>
            </w:pPr>
          </w:p>
        </w:tc>
      </w:tr>
      <w:tr>
        <w:trPr>
          <w:trHeight w:val="168"/>
        </w:trPr>
        <w:tc>
          <w:tcPr>
            <w:tcW w:w="2060" w:type="dxa"/>
            <w:vAlign w:val="bottom"/>
          </w:tcPr>
          <w:p>
            <w:pPr>
              <w:spacing w:after="0"/>
              <w:rPr>
                <w:sz w:val="20"/>
                <w:szCs w:val="20"/>
                <w:color w:val="auto"/>
              </w:rPr>
            </w:pPr>
            <w:r>
              <w:rPr>
                <w:rFonts w:ascii="Arial" w:cs="Arial" w:eastAsia="Arial" w:hAnsi="Arial"/>
                <w:sz w:val="13"/>
                <w:szCs w:val="13"/>
                <w:color w:val="auto"/>
              </w:rPr>
              <w:t>Net income</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3,653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3,653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3,707</w:t>
            </w:r>
          </w:p>
        </w:tc>
        <w:tc>
          <w:tcPr>
            <w:tcW w:w="0" w:type="dxa"/>
            <w:vAlign w:val="bottom"/>
          </w:tcPr>
          <w:p>
            <w:pPr>
              <w:spacing w:after="0"/>
              <w:rPr>
                <w:sz w:val="1"/>
                <w:szCs w:val="1"/>
                <w:color w:val="auto"/>
              </w:rPr>
            </w:pPr>
          </w:p>
        </w:tc>
      </w:tr>
      <w:tr>
        <w:trPr>
          <w:trHeight w:val="183"/>
        </w:trPr>
        <w:tc>
          <w:tcPr>
            <w:tcW w:w="2060" w:type="dxa"/>
            <w:vAlign w:val="bottom"/>
            <w:shd w:val="clear" w:color="auto" w:fill="CCEEFF"/>
          </w:tcPr>
          <w:p>
            <w:pPr>
              <w:spacing w:after="0"/>
              <w:rPr>
                <w:sz w:val="20"/>
                <w:szCs w:val="20"/>
                <w:color w:val="auto"/>
              </w:rPr>
            </w:pPr>
            <w:r>
              <w:rPr>
                <w:rFonts w:ascii="Arial" w:cs="Arial" w:eastAsia="Arial" w:hAnsi="Arial"/>
                <w:sz w:val="13"/>
                <w:szCs w:val="13"/>
                <w:color w:val="auto"/>
                <w:w w:val="96"/>
              </w:rPr>
              <w:t>Other comprehensive loss, net of tax</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(20,971)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(20,971)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(20,971)</w:t>
            </w:r>
          </w:p>
        </w:tc>
        <w:tc>
          <w:tcPr>
            <w:tcW w:w="0" w:type="dxa"/>
            <w:vAlign w:val="bottom"/>
          </w:tcPr>
          <w:p>
            <w:pPr>
              <w:spacing w:after="0"/>
              <w:rPr>
                <w:sz w:val="1"/>
                <w:szCs w:val="1"/>
                <w:color w:val="auto"/>
              </w:rPr>
            </w:pPr>
          </w:p>
        </w:tc>
      </w:tr>
      <w:tr>
        <w:trPr>
          <w:trHeight w:val="168"/>
        </w:trPr>
        <w:tc>
          <w:tcPr>
            <w:tcW w:w="206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4,166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4,166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4,166</w:t>
            </w:r>
          </w:p>
        </w:tc>
        <w:tc>
          <w:tcPr>
            <w:tcW w:w="0" w:type="dxa"/>
            <w:vAlign w:val="bottom"/>
          </w:tcPr>
          <w:p>
            <w:pPr>
              <w:spacing w:after="0"/>
              <w:rPr>
                <w:sz w:val="1"/>
                <w:szCs w:val="1"/>
                <w:color w:val="auto"/>
              </w:rPr>
            </w:pPr>
          </w:p>
        </w:tc>
      </w:tr>
      <w:tr>
        <w:trPr>
          <w:trHeight w:val="177"/>
        </w:trPr>
        <w:tc>
          <w:tcPr>
            <w:tcW w:w="2060" w:type="dxa"/>
            <w:vAlign w:val="bottom"/>
            <w:shd w:val="clear" w:color="auto" w:fill="CCEEFF"/>
          </w:tcPr>
          <w:p>
            <w:pPr>
              <w:spacing w:after="0"/>
              <w:rPr>
                <w:sz w:val="20"/>
                <w:szCs w:val="20"/>
                <w:color w:val="auto"/>
              </w:rPr>
            </w:pPr>
            <w:r>
              <w:rPr>
                <w:rFonts w:ascii="Arial" w:cs="Arial" w:eastAsia="Arial" w:hAnsi="Arial"/>
                <w:sz w:val="13"/>
                <w:szCs w:val="13"/>
                <w:color w:val="auto"/>
                <w:w w:val="92"/>
              </w:rPr>
              <w:t>Net settlement of restricted stock units</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w:t>
            </w:r>
          </w:p>
        </w:tc>
        <w:tc>
          <w:tcPr>
            <w:tcW w:w="0" w:type="dxa"/>
            <w:vAlign w:val="bottom"/>
          </w:tcPr>
          <w:p>
            <w:pPr>
              <w:spacing w:after="0"/>
              <w:rPr>
                <w:sz w:val="1"/>
                <w:szCs w:val="1"/>
                <w:color w:val="auto"/>
              </w:rPr>
            </w:pPr>
          </w:p>
        </w:tc>
      </w:tr>
      <w:tr>
        <w:trPr>
          <w:trHeight w:val="175"/>
        </w:trPr>
        <w:tc>
          <w:tcPr>
            <w:tcW w:w="2060" w:type="dxa"/>
            <w:vAlign w:val="bottom"/>
          </w:tcPr>
          <w:p>
            <w:pPr>
              <w:spacing w:after="0"/>
              <w:rPr>
                <w:sz w:val="20"/>
                <w:szCs w:val="20"/>
                <w:color w:val="auto"/>
              </w:rPr>
            </w:pPr>
            <w:r>
              <w:rPr>
                <w:rFonts w:ascii="Arial" w:cs="Arial" w:eastAsia="Arial" w:hAnsi="Arial"/>
                <w:sz w:val="13"/>
                <w:szCs w:val="13"/>
                <w:b w:val="1"/>
                <w:bCs w:val="1"/>
                <w:color w:val="auto"/>
              </w:rPr>
              <w:t>Balance at September 30, 2022</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29,842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297</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242,093</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(14,335)</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(41,282)</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186,773</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283</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187,056</w:t>
            </w:r>
          </w:p>
        </w:tc>
        <w:tc>
          <w:tcPr>
            <w:tcW w:w="0" w:type="dxa"/>
            <w:vAlign w:val="bottom"/>
          </w:tcPr>
          <w:p>
            <w:pPr>
              <w:spacing w:after="0"/>
              <w:rPr>
                <w:sz w:val="1"/>
                <w:szCs w:val="1"/>
                <w:color w:val="auto"/>
              </w:rPr>
            </w:pPr>
          </w:p>
        </w:tc>
      </w:tr>
      <w:tr>
        <w:trPr>
          <w:trHeight w:val="20"/>
        </w:trPr>
        <w:tc>
          <w:tcPr>
            <w:tcW w:w="20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Arial" w:cs="Arial" w:eastAsia="Arial" w:hAnsi="Arial"/>
                <w:sz w:val="13"/>
                <w:szCs w:val="13"/>
                <w:b w:val="1"/>
                <w:bCs w:val="1"/>
                <w:color w:val="auto"/>
              </w:rPr>
              <w:t>Balance at December 31, 2020</w:t>
            </w:r>
          </w:p>
        </w:tc>
        <w:tc>
          <w:tcPr>
            <w:tcW w:w="840" w:type="dxa"/>
            <w:vAlign w:val="bottom"/>
          </w:tcPr>
          <w:p>
            <w:pPr>
              <w:jc w:val="right"/>
              <w:spacing w:after="0"/>
              <w:rPr>
                <w:sz w:val="20"/>
                <w:szCs w:val="20"/>
                <w:color w:val="auto"/>
              </w:rPr>
            </w:pPr>
            <w:r>
              <w:rPr>
                <w:rFonts w:ascii="Arial" w:cs="Arial" w:eastAsia="Arial" w:hAnsi="Arial"/>
                <w:sz w:val="13"/>
                <w:szCs w:val="13"/>
                <w:color w:val="auto"/>
              </w:rPr>
              <w:t>29,234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292</w:t>
            </w:r>
          </w:p>
        </w:tc>
        <w:tc>
          <w:tcPr>
            <w:tcW w:w="12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234,638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(21,848)</w:t>
            </w:r>
          </w:p>
        </w:tc>
        <w:tc>
          <w:tcPr>
            <w:tcW w:w="10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(16,061)</w:t>
            </w:r>
          </w:p>
        </w:tc>
        <w:tc>
          <w:tcPr>
            <w:tcW w:w="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197,021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198</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197,219</w:t>
            </w:r>
          </w:p>
        </w:tc>
        <w:tc>
          <w:tcPr>
            <w:tcW w:w="0" w:type="dxa"/>
            <w:vAlign w:val="bottom"/>
          </w:tcPr>
          <w:p>
            <w:pPr>
              <w:spacing w:after="0"/>
              <w:rPr>
                <w:sz w:val="1"/>
                <w:szCs w:val="1"/>
                <w:color w:val="auto"/>
              </w:rPr>
            </w:pPr>
          </w:p>
        </w:tc>
      </w:tr>
      <w:tr>
        <w:trPr>
          <w:trHeight w:val="181"/>
        </w:trPr>
        <w:tc>
          <w:tcPr>
            <w:tcW w:w="206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3,983</w:t>
            </w:r>
          </w:p>
        </w:tc>
        <w:tc>
          <w:tcPr>
            <w:tcW w:w="0" w:type="dxa"/>
            <w:vAlign w:val="bottom"/>
          </w:tcPr>
          <w:p>
            <w:pPr>
              <w:spacing w:after="0"/>
              <w:rPr>
                <w:sz w:val="1"/>
                <w:szCs w:val="1"/>
                <w:color w:val="auto"/>
              </w:rPr>
            </w:pPr>
          </w:p>
        </w:tc>
      </w:tr>
      <w:tr>
        <w:trPr>
          <w:trHeight w:val="168"/>
        </w:trPr>
        <w:tc>
          <w:tcPr>
            <w:tcW w:w="2060" w:type="dxa"/>
            <w:vAlign w:val="bottom"/>
          </w:tcPr>
          <w:p>
            <w:pPr>
              <w:spacing w:after="0"/>
              <w:rPr>
                <w:sz w:val="20"/>
                <w:szCs w:val="20"/>
                <w:color w:val="auto"/>
              </w:rPr>
            </w:pPr>
            <w:r>
              <w:rPr>
                <w:rFonts w:ascii="Arial" w:cs="Arial" w:eastAsia="Arial" w:hAnsi="Arial"/>
                <w:sz w:val="13"/>
                <w:szCs w:val="13"/>
                <w:color w:val="auto"/>
                <w:w w:val="96"/>
              </w:rPr>
              <w:t>Other comprehensive loss, net of tax</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(3,115)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(3,115)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(3,117)</w:t>
            </w:r>
          </w:p>
        </w:tc>
        <w:tc>
          <w:tcPr>
            <w:tcW w:w="0" w:type="dxa"/>
            <w:vAlign w:val="bottom"/>
          </w:tcPr>
          <w:p>
            <w:pPr>
              <w:spacing w:after="0"/>
              <w:rPr>
                <w:sz w:val="1"/>
                <w:szCs w:val="1"/>
                <w:color w:val="auto"/>
              </w:rPr>
            </w:pPr>
          </w:p>
        </w:tc>
      </w:tr>
      <w:tr>
        <w:trPr>
          <w:trHeight w:val="183"/>
        </w:trPr>
        <w:tc>
          <w:tcPr>
            <w:tcW w:w="2060" w:type="dxa"/>
            <w:vAlign w:val="bottom"/>
            <w:shd w:val="clear" w:color="auto" w:fill="CCEEFF"/>
          </w:tcPr>
          <w:p>
            <w:pPr>
              <w:spacing w:after="0"/>
              <w:rPr>
                <w:sz w:val="20"/>
                <w:szCs w:val="20"/>
                <w:color w:val="auto"/>
              </w:rPr>
            </w:pPr>
            <w:r>
              <w:rPr>
                <w:rFonts w:ascii="Arial" w:cs="Arial" w:eastAsia="Arial" w:hAnsi="Arial"/>
                <w:sz w:val="13"/>
                <w:szCs w:val="13"/>
                <w:color w:val="auto"/>
              </w:rPr>
              <w:t>Share-based compensation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3,916</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20"/>
                <w:szCs w:val="20"/>
                <w:color w:val="auto"/>
              </w:rPr>
            </w:pPr>
            <w:r>
              <w:rPr>
                <w:rFonts w:ascii="Arial" w:cs="Arial" w:eastAsia="Arial" w:hAnsi="Arial"/>
                <w:sz w:val="13"/>
                <w:szCs w:val="13"/>
                <w:color w:val="auto"/>
                <w:w w:val="92"/>
              </w:rPr>
              <w:t>Net settlement of restricted stock units</w:t>
            </w:r>
          </w:p>
        </w:tc>
        <w:tc>
          <w:tcPr>
            <w:tcW w:w="840" w:type="dxa"/>
            <w:vAlign w:val="bottom"/>
          </w:tcPr>
          <w:p>
            <w:pPr>
              <w:jc w:val="right"/>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(977)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(975)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(975)</w:t>
            </w:r>
          </w:p>
        </w:tc>
        <w:tc>
          <w:tcPr>
            <w:tcW w:w="0" w:type="dxa"/>
            <w:vAlign w:val="bottom"/>
          </w:tcPr>
          <w:p>
            <w:pPr>
              <w:spacing w:after="0"/>
              <w:rPr>
                <w:sz w:val="1"/>
                <w:szCs w:val="1"/>
                <w:color w:val="auto"/>
              </w:rPr>
            </w:pPr>
          </w:p>
        </w:tc>
      </w:tr>
      <w:tr>
        <w:trPr>
          <w:trHeight w:val="200"/>
        </w:trPr>
        <w:tc>
          <w:tcPr>
            <w:tcW w:w="2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Balance at September 30, 2021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237,577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(19,176)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200,802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201,026</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88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Pr>
          <w:p>
            <w:pPr>
              <w:spacing w:after="0"/>
              <w:rPr>
                <w:sz w:val="16"/>
                <w:szCs w:val="16"/>
                <w:color w:val="auto"/>
              </w:rPr>
            </w:pPr>
          </w:p>
        </w:tc>
      </w:tr>
      <w:tr>
        <w:trPr>
          <w:trHeight w:val="26"/>
        </w:trPr>
        <w:tc>
          <w:tcPr>
            <w:tcW w:w="78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9"/>
        </w:trPr>
        <w:tc>
          <w:tcPr>
            <w:tcW w:w="788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6"/>
        </w:trPr>
        <w:tc>
          <w:tcPr>
            <w:tcW w:w="7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3"/>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tcBorders>
              <w:bottom w:val="single" w:sz="8" w:color="CCEEFF"/>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3,707</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3,983</w:t>
            </w:r>
          </w:p>
        </w:tc>
      </w:tr>
      <w:tr>
        <w:trPr>
          <w:trHeight w:val="182"/>
        </w:trPr>
        <w:tc>
          <w:tcPr>
            <w:tcW w:w="7880" w:type="dxa"/>
            <w:vAlign w:val="bottom"/>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0"/>
        </w:trPr>
        <w:tc>
          <w:tcPr>
            <w:tcW w:w="7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9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25,132</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25,705</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Deferred income taxes</w:t>
            </w:r>
          </w:p>
        </w:tc>
        <w:tc>
          <w:tcPr>
            <w:tcW w:w="96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1,790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1,055</w:t>
            </w:r>
          </w:p>
        </w:tc>
      </w:tr>
      <w:tr>
        <w:trPr>
          <w:trHeight w:val="20"/>
        </w:trPr>
        <w:tc>
          <w:tcPr>
            <w:tcW w:w="7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Share-based compensation expense</w:t>
            </w:r>
          </w:p>
        </w:tc>
        <w:tc>
          <w:tcPr>
            <w:tcW w:w="9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4,166</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3,916</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Bad debt provision for troubled customers, net of recoveries</w:t>
            </w:r>
          </w:p>
        </w:tc>
        <w:tc>
          <w:tcPr>
            <w:tcW w:w="96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
        </w:trPr>
        <w:tc>
          <w:tcPr>
            <w:tcW w:w="7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Fair value adjustments to contingent consideration</w:t>
            </w:r>
          </w:p>
        </w:tc>
        <w:tc>
          <w:tcPr>
            <w:tcW w:w="9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1,034</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Foreign currency (gain) loss</w:t>
            </w:r>
          </w:p>
        </w:tc>
        <w:tc>
          <w:tcPr>
            <w:tcW w:w="9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(924)</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366</w:t>
            </w:r>
          </w:p>
        </w:tc>
      </w:tr>
      <w:tr>
        <w:trPr>
          <w:trHeight w:val="20"/>
        </w:trPr>
        <w:tc>
          <w:tcPr>
            <w:tcW w:w="7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Payment of finance costs</w:t>
            </w:r>
          </w:p>
        </w:tc>
        <w:tc>
          <w:tcPr>
            <w:tcW w:w="9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Other</w:t>
            </w:r>
          </w:p>
        </w:tc>
        <w:tc>
          <w:tcPr>
            <w:tcW w:w="96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969</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265</w:t>
            </w:r>
          </w:p>
        </w:tc>
      </w:tr>
      <w:tr>
        <w:trPr>
          <w:trHeight w:val="20"/>
        </w:trPr>
        <w:tc>
          <w:tcPr>
            <w:tcW w:w="7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 net of effect of acquisitions</w:t>
            </w:r>
          </w:p>
        </w:tc>
        <w:tc>
          <w:tcPr>
            <w:tcW w:w="9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Accounts receivable</w:t>
            </w:r>
          </w:p>
        </w:tc>
        <w:tc>
          <w:tcPr>
            <w:tcW w:w="9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(27,692)</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9"/>
              </w:rPr>
              <w:t>(21,907)</w:t>
            </w:r>
          </w:p>
        </w:tc>
      </w:tr>
      <w:tr>
        <w:trPr>
          <w:trHeight w:val="20"/>
        </w:trPr>
        <w:tc>
          <w:tcPr>
            <w:tcW w:w="7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2"/>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9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(1,146)</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868</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Prepaid expenses and other assets</w:t>
            </w:r>
          </w:p>
        </w:tc>
        <w:tc>
          <w:tcPr>
            <w:tcW w:w="96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2,105</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(2,324)</w:t>
            </w:r>
          </w:p>
        </w:tc>
      </w:tr>
      <w:tr>
        <w:trPr>
          <w:trHeight w:val="20"/>
        </w:trPr>
        <w:tc>
          <w:tcPr>
            <w:tcW w:w="7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9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578</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(751)</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96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2,539</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11,247</w:t>
            </w:r>
          </w:p>
        </w:tc>
      </w:tr>
      <w:tr>
        <w:trPr>
          <w:trHeight w:val="20"/>
        </w:trPr>
        <w:tc>
          <w:tcPr>
            <w:tcW w:w="7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Income taxes payable</w:t>
            </w:r>
          </w:p>
        </w:tc>
        <w:tc>
          <w:tcPr>
            <w:tcW w:w="9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(988)</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Payment of contingent consideration liability in excess of acquisition-date fair value</w:t>
            </w:r>
          </w:p>
        </w:tc>
        <w:tc>
          <w:tcPr>
            <w:tcW w:w="9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7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9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10,531</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22,469</w:t>
            </w:r>
          </w:p>
        </w:tc>
      </w:tr>
      <w:tr>
        <w:trPr>
          <w:trHeight w:val="194"/>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1"/>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Purchase of property, plant and equipment</w:t>
            </w:r>
          </w:p>
        </w:tc>
        <w:tc>
          <w:tcPr>
            <w:tcW w:w="9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(9,050)</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(15,130)</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Purchase of intangible assets</w:t>
            </w:r>
          </w:p>
        </w:tc>
        <w:tc>
          <w:tcPr>
            <w:tcW w:w="9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(887)</w:t>
            </w:r>
          </w:p>
        </w:tc>
      </w:tr>
      <w:tr>
        <w:trPr>
          <w:trHeight w:val="20"/>
        </w:trPr>
        <w:tc>
          <w:tcPr>
            <w:tcW w:w="7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Acquisition of business, net of cash acquired</w:t>
            </w:r>
          </w:p>
        </w:tc>
        <w:tc>
          <w:tcPr>
            <w:tcW w:w="9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(441)</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Proceeds from sale of equipment</w:t>
            </w:r>
          </w:p>
        </w:tc>
        <w:tc>
          <w:tcPr>
            <w:tcW w:w="96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753</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964</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7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9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(8,877)</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(15,494)</w:t>
            </w:r>
          </w:p>
        </w:tc>
      </w:tr>
      <w:tr>
        <w:trPr>
          <w:trHeight w:val="194"/>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1"/>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Repayment of finance lease obligations</w:t>
            </w:r>
          </w:p>
        </w:tc>
        <w:tc>
          <w:tcPr>
            <w:tcW w:w="9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(3,173)</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(3,032)</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Proceeds from borrowings of long-term debt</w:t>
            </w:r>
          </w:p>
        </w:tc>
        <w:tc>
          <w:tcPr>
            <w:tcW w:w="96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
        </w:trPr>
        <w:tc>
          <w:tcPr>
            <w:tcW w:w="7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Repayment of long-term debt</w:t>
            </w:r>
          </w:p>
        </w:tc>
        <w:tc>
          <w:tcPr>
            <w:tcW w:w="9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(79,519)</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(12,121)</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Proceeds from revolver</w:t>
            </w:r>
          </w:p>
        </w:tc>
        <w:tc>
          <w:tcPr>
            <w:tcW w:w="96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168,000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71,000</w:t>
            </w:r>
          </w:p>
        </w:tc>
      </w:tr>
      <w:tr>
        <w:trPr>
          <w:trHeight w:val="20"/>
        </w:trPr>
        <w:tc>
          <w:tcPr>
            <w:tcW w:w="7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Repayment of revolver</w:t>
            </w:r>
          </w:p>
        </w:tc>
        <w:tc>
          <w:tcPr>
            <w:tcW w:w="9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(213,750)</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(62,250)</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Payment of financing costs</w:t>
            </w:r>
          </w:p>
        </w:tc>
        <w:tc>
          <w:tcPr>
            <w:tcW w:w="9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(550)</w:t>
            </w:r>
          </w:p>
        </w:tc>
      </w:tr>
      <w:tr>
        <w:trPr>
          <w:trHeight w:val="20"/>
        </w:trPr>
        <w:tc>
          <w:tcPr>
            <w:tcW w:w="7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Payment of contingent consideration for business acquisitions</w:t>
            </w:r>
          </w:p>
        </w:tc>
        <w:tc>
          <w:tcPr>
            <w:tcW w:w="9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(938)</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Taxes paid related to net share settlement of share-based awards</w:t>
            </w:r>
          </w:p>
        </w:tc>
        <w:tc>
          <w:tcPr>
            <w:tcW w:w="9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(975)</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7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9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(4,753)</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(8,866)</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Effect of exchange rate changes on cash and cash equivalents</w:t>
            </w:r>
          </w:p>
        </w:tc>
        <w:tc>
          <w:tcPr>
            <w:tcW w:w="9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(2,927)</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(1,272)</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7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9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(6,026)</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(3,163)</w:t>
            </w:r>
          </w:p>
        </w:tc>
      </w:tr>
      <w:tr>
        <w:trPr>
          <w:trHeight w:val="182"/>
        </w:trPr>
        <w:tc>
          <w:tcPr>
            <w:tcW w:w="7880" w:type="dxa"/>
            <w:vAlign w:val="bottom"/>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96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24,110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25,760</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9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960" w:type="dxa"/>
            <w:vAlign w:val="bottom"/>
            <w:tcBorders>
              <w:bottom w:val="single" w:sz="8" w:color="CCEEFF"/>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18,084</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22,597</w:t>
            </w:r>
          </w:p>
        </w:tc>
      </w:tr>
      <w:tr>
        <w:trPr>
          <w:trHeight w:val="170"/>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paid</w:t>
            </w:r>
          </w:p>
        </w:tc>
        <w:tc>
          <w:tcPr>
            <w:tcW w:w="9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r>
      <w:tr>
        <w:trPr>
          <w:trHeight w:val="25"/>
        </w:trPr>
        <w:tc>
          <w:tcPr>
            <w:tcW w:w="7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3"/>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 net</w:t>
            </w:r>
          </w:p>
        </w:tc>
        <w:tc>
          <w:tcPr>
            <w:tcW w:w="960" w:type="dxa"/>
            <w:vAlign w:val="bottom"/>
            <w:tcBorders>
              <w:bottom w:val="single" w:sz="8" w:color="CCEEFF"/>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5,354</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8,119</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Income taxes, net of refunds</w:t>
            </w: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(3,764)</w:t>
            </w:r>
          </w:p>
        </w:tc>
        <w:tc>
          <w:tcPr>
            <w:tcW w:w="100" w:type="dxa"/>
            <w:vAlign w:val="bottom"/>
          </w:tcPr>
          <w:p>
            <w:pPr>
              <w:spacing w:after="0"/>
              <w:rPr>
                <w:sz w:val="15"/>
                <w:szCs w:val="15"/>
                <w:color w:val="auto"/>
              </w:rPr>
            </w:pP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3,816</w:t>
            </w:r>
          </w:p>
        </w:tc>
      </w:tr>
      <w:tr>
        <w:trPr>
          <w:trHeight w:val="20"/>
        </w:trPr>
        <w:tc>
          <w:tcPr>
            <w:tcW w:w="7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3"/>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and financing</w:t>
            </w: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Equipment acquired through finance lease obligations</w:t>
            </w: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3,373</w:t>
            </w:r>
          </w:p>
        </w:tc>
        <w:tc>
          <w:tcPr>
            <w:tcW w:w="100" w:type="dxa"/>
            <w:vAlign w:val="bottom"/>
          </w:tcPr>
          <w:p>
            <w:pPr>
              <w:spacing w:after="0"/>
              <w:rPr>
                <w:sz w:val="15"/>
                <w:szCs w:val="15"/>
                <w:color w:val="auto"/>
              </w:rPr>
            </w:pP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2,445</w:t>
            </w:r>
          </w:p>
        </w:tc>
      </w:tr>
    </w:tbl>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Mistras Group, Inc. and subsidiaries (the Company) is a leading “one source” multinational provider of integrated technology-enabled asset protection solutions helping to maximize the safety and operational uptime for civilization’s most critical industrial and civil assets.</w:t>
      </w:r>
    </w:p>
    <w:p>
      <w:pPr>
        <w:spacing w:after="0" w:line="19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Backed by an innovative, data-driven asset protection portfolio, proprietary technologies, strong commitment to Environmental, Social, and Governance (ESG) initiatives and decades-long legacy of industry leadership, the Company helps clients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systems to help avoid catastrophic incidents, the Company helps the world at large.</w:t>
      </w:r>
    </w:p>
    <w:p>
      <w:pPr>
        <w:spacing w:after="0" w:line="191"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The Company enhances value for its clients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 for the benefit of its customers.</w:t>
      </w:r>
    </w:p>
    <w:p>
      <w:pPr>
        <w:spacing w:after="0" w:line="20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Issues related to the COVID-19 coronavirus (COVID-19) pandemic have subsided significantly during 2022 as compared to 2021. The Russian-Ukrainian conflict is creating disruption in the oil &amp; gas market and the supply chain in general, which is resulting in some disruption to our business operations. With oil prices high, refineries are working at full capacity and are deferring maintenance and inspection work as much as possible, which is impacting our business as well.</w:t>
      </w:r>
    </w:p>
    <w:p>
      <w:pPr>
        <w:spacing w:after="0" w:line="21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Overall, the Company has taken actions to help ensure the health and safety of Company employees and those of its customers and suppliers; maintain business continuity and financial strength and stability; and serve customers as they provide essential products and services to the world.</w:t>
      </w:r>
    </w:p>
    <w:p>
      <w:pPr>
        <w:spacing w:after="0" w:line="13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Earlier in 2022, the Company eliminated substantially all of the cost reduction initiatives undertaken in 2020, including re-installment of the savings plan employer match and increasing wages back to pre-pandemic amounts.</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is currently unable to predict with certainty the overall impact that the factors discussed above and the effect of inflationary pressures and the Russian-Ukrainian conflict may have on its business, results of operations or liquidity or in other ways which the Company cannot yet determine. The Company’s European operations are currently experiencing increased costs associated with higher energy costs, among others, due in part to the Russian-Ukrainian conflict. The Company will continue to monitor market conditions and respond accordingly.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Unaudited Condensed Consolidated Financial Statements contained in this report have been prepared in conformity with U.S. generally accepted accounting principles ("GAAP") and Securities and Exchange Commission ("SEC") guidance allowing for reduced disclosure for interim periods. In the opinion of management, the Unaudited Condensed Consolidated Financial Statements include all adjustments, which are of a normal recurring nature, necessary for a fair presentation of the results for the interim periods of the years ending December 31, 2022 and December 31, 2021.</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2021 Annual Report on Form 10-K ("2021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accompanying Unaudited Condensed Consolidated Financial Statements include the accounts of Mistras Group, Inc. as well as its wholly-owned subsidiaries, majority-owned subsidiaries and consolidated variable interest entities (VIE). For subsidiaries in which the Company’s ownership interest is less than 100%, the non-controlling interests are reported in stockholders’ equity in the accompanying Condensed Consolidated Balance Sheets. The non-controlling interests in net results, net of tax, is classified separately in the accompanying Unaudited Condensed Consolidated Statements of Income. All significant intercompany accounts and transactions have been eliminated in consolidation. The results of operations of companies acquired are included from the date of acquisition.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For each of the three and nine months ended September 30, 2022 and 2021, no customer represented 10% or more of the Company’s revenue.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significant accounting policies are disclosed in Note 1–</w:t>
      </w:r>
      <w:r>
        <w:rPr>
          <w:rFonts w:ascii="Arial" w:cs="Arial" w:eastAsia="Arial" w:hAnsi="Arial"/>
          <w:sz w:val="18"/>
          <w:szCs w:val="18"/>
          <w:b w:val="1"/>
          <w:bCs w:val="1"/>
          <w:i w:val="1"/>
          <w:iCs w:val="1"/>
          <w:color w:val="auto"/>
        </w:rPr>
        <w:t>Summary of Significant Accounting Policies and Practices</w:t>
      </w:r>
      <w:r>
        <w:rPr>
          <w:rFonts w:ascii="Arial" w:cs="Arial" w:eastAsia="Arial" w:hAnsi="Arial"/>
          <w:sz w:val="18"/>
          <w:szCs w:val="18"/>
          <w:color w:val="auto"/>
        </w:rPr>
        <w:t xml:space="preserve"> in the 2021 Annual Report. On an ongoing basis, the Company evaluates its estimates and assumptions, including among other things, those related to revenue recognition, long-lived assets, goodwill and acquisitions. Since the date of the 2021 Annual Report, there have been no material changes to the Company’s significant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Income taxes are accounted for under the asset and liability method. We recognize deferred tax assets and liabilities at enacted income tax rates for the temporary differences between the financial reporting bases and the tax bases of our assets and liabilities. Any effects of changes in income tax rates or tax laws are included in the provision for income taxes in the period of enactment. Our net deferred tax assets primarily consist of net operating loss carry forwards, or NOLs. A valuation allowance is provided if it is more likely than not that some or all of a deferred income tax asset will not be realized. A current tax liability or asset is recognized for the estimated taxes payable or refundable on tax returns for the current and prior years.</w:t>
      </w:r>
    </w:p>
    <w:p>
      <w:pPr>
        <w:spacing w:after="0" w:line="20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September 30, 2022, management concluded that it is more likely than not that a substantial portion of the Company’s deferred tax assets will be realized.</w:t>
      </w:r>
    </w:p>
    <w:p>
      <w:pPr>
        <w:spacing w:after="0" w:line="184" w:lineRule="exact"/>
        <w:rPr>
          <w:sz w:val="20"/>
          <w:szCs w:val="20"/>
          <w:color w:val="auto"/>
        </w:rPr>
      </w:pPr>
    </w:p>
    <w:p>
      <w:pPr>
        <w:jc w:val="both"/>
        <w:ind w:right="180"/>
        <w:spacing w:after="0" w:line="270" w:lineRule="auto"/>
        <w:rPr>
          <w:sz w:val="20"/>
          <w:szCs w:val="20"/>
          <w:color w:val="auto"/>
        </w:rPr>
      </w:pPr>
      <w:r>
        <w:rPr>
          <w:rFonts w:ascii="Arial" w:cs="Arial" w:eastAsia="Arial" w:hAnsi="Arial"/>
          <w:sz w:val="17"/>
          <w:szCs w:val="17"/>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w:t>
      </w:r>
    </w:p>
    <w:p>
      <w:pPr>
        <w:spacing w:after="0" w:line="191"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color w:val="auto"/>
        </w:rPr>
        <w:t>The Company’s effective income tax rate was approximately 31.1% and 50.8% for the three months ended September 30, 2022 and 2021, respectively. The Company’s effective income tax rate was approximately 48.5% and 44.4% for the nine months ended September 30, 2022 and 2021, respectively.</w:t>
      </w:r>
    </w:p>
    <w:p>
      <w:pPr>
        <w:spacing w:after="0" w:line="15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effective income tax rate for the three months ended September 30, 2022, was higher than the statutory rate primarily due to various permanent tax adjustments and a $0.1 million valuation allowance recorded on a foreign jurisdiction. The Company's effective income tax rate for the three months ended September 30, 2021 was higher than the statutory rate primary due to</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various permanent tax adjustments and a $1.2 million valuation allowance recorded during the period which was related to various state deferred tax assets and earnings in jurisdictions with higher income tax rates than the United States.</w:t>
      </w:r>
    </w:p>
    <w:p>
      <w:pPr>
        <w:spacing w:after="0" w:line="19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As of September 30, 2022, a valuation of $0.9 million has been recorded to recognize only the portion of the deferred tax asset that is more likely than not to be realized.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21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effective income tax rate for the nine months ended September 30, 2022 was higher than the statutory rate due primarily to various permanent tax adjustments and a $0.9 million valuation allowance recorded during the period which was related to a foreign jurisdiction. The effective income tax rate for the nine months ended September 30, 2021 was higher than the statutory rate due to various permanent tax adjustments and a $1.2 million valuation allowance recorded during the year related to various state deferred tax assets offset by the capitalization of certain non-US intercompany balances which resulted in a deductible foreign exchange loss in the 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3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March 2020 and updated in January 2021, the FASB issued ASU 2020-04 and 2021-01, “Reference Rate Reform (Topic 848): Facilitation of the Effects of Reference Rate Reform on Financial Reporting.” The amendments provide optional guidance for a limited period of time to ease the potential burden in accounting for (or recognizing the effects of) reference rate reform on financial reporting. The guidance provides optional expedients and exceptions for applying U.S. GAAP to contract modifications and hedging relationships, subject to meeting certain criteria, that reference LIBOR or another rate that is expected to be discontinued. The amendments in ASU 2020-04 are effective for all entities as of March 12, 2020 through December 31, 2024. The Company is currently evaluating applicable contracts and the available expedients provided by the new guidance.</w:t>
      </w:r>
    </w:p>
    <w:p>
      <w:pPr>
        <w:spacing w:after="0" w:line="200" w:lineRule="exact"/>
        <w:rPr>
          <w:sz w:val="20"/>
          <w:szCs w:val="20"/>
          <w:color w:val="auto"/>
        </w:rPr>
      </w:pPr>
    </w:p>
    <w:p>
      <w:pPr>
        <w:spacing w:after="0" w:line="23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Revenue</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The Company derives the majority of its revenue by providing services on a time and material basis, and are short-term in nature. The Company accounts for revenue in accordance with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4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provides highly integrated and bundled inspection services to its customers. The majority of the Company’s contracts have a single performance obligation as the promise to transfer the individual goods or services is not separately identifiable from other promises in the contracts and is, therefore, not distinct. For contracts with multiple performance obligations, the Company allocates the contract’s transaction price to each performance obligation using the Company’s best estimate of the standalone selling price of each distinct good or service in the contract. The primary method used to estimate standalone selling price is a relative selling price based on price lists.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modifications are not routine in the performance of the Company’s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performance obligations are satisfied over time as work progresses or at a point in time. The majority of the Company’s revenue is recognized over time as work progresses for the Company’s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For these arrangements, revenue is recognized on a cost-to-cost method tracked on an input basis.</w:t>
      </w:r>
    </w:p>
    <w:p>
      <w:pPr>
        <w:spacing w:after="0" w:line="1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any significant remaining performance obligations to be satisfied within one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5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majority of the Company’s revenues are short-term in nature. The Company enters into master service agreements (MSAs) with customers that specify an overall framework and contract terms.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longer-term contracts, which can range from several months to several years. Revenue on certain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 the Company’s disaggregated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 by industry was as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680" w:type="dxa"/>
            <w:vAlign w:val="bottom"/>
          </w:tcPr>
          <w:p>
            <w:pPr>
              <w:spacing w:after="0"/>
              <w:rPr>
                <w:sz w:val="20"/>
                <w:szCs w:val="20"/>
                <w:color w:val="auto"/>
              </w:rPr>
            </w:pPr>
            <w:r>
              <w:rPr>
                <w:rFonts w:ascii="Arial" w:cs="Arial" w:eastAsia="Arial" w:hAnsi="Arial"/>
                <w:sz w:val="14"/>
                <w:szCs w:val="14"/>
                <w:b w:val="1"/>
                <w:bCs w:val="1"/>
                <w:color w:val="auto"/>
              </w:rPr>
              <w:t>Three Months Ended September 30, 2022</w:t>
            </w: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6"/>
        </w:trPr>
        <w:tc>
          <w:tcPr>
            <w:tcW w:w="3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Oil &amp; Gas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97,031</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21,293</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Industrials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15,998</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Power generation &amp; Transmission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12,780</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13,324</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7,870</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Petrochemical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r>
      <w:tr>
        <w:trPr>
          <w:trHeight w:val="230"/>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(3,087)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6,459</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4"/>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178,462</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15"/>
        </w:trPr>
        <w:tc>
          <w:tcPr>
            <w:tcW w:w="3680" w:type="dxa"/>
            <w:vAlign w:val="bottom"/>
          </w:tcPr>
          <w:p>
            <w:pPr>
              <w:spacing w:after="0"/>
              <w:rPr>
                <w:sz w:val="20"/>
                <w:szCs w:val="20"/>
                <w:color w:val="auto"/>
              </w:rPr>
            </w:pPr>
            <w:r>
              <w:rPr>
                <w:rFonts w:ascii="Arial" w:cs="Arial" w:eastAsia="Arial" w:hAnsi="Arial"/>
                <w:sz w:val="14"/>
                <w:szCs w:val="14"/>
                <w:b w:val="1"/>
                <w:bCs w:val="1"/>
                <w:color w:val="auto"/>
              </w:rPr>
              <w:t>Three Months Ended September 30, 2021</w:t>
            </w: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5"/>
        </w:trPr>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Oil &amp; Gas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83,534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92,452</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16,715</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Industrials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17,589</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Power generation &amp; Transmission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14,687</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11,886</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10,411</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Petrochemical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w:t>
            </w:r>
          </w:p>
        </w:tc>
      </w:tr>
      <w:tr>
        <w:trPr>
          <w:trHeight w:val="230"/>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(2,828)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4"/>
              </w:rPr>
              <w:t>(2,828)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174,556</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680" w:type="dxa"/>
            <w:vAlign w:val="bottom"/>
          </w:tcPr>
          <w:p>
            <w:pPr>
              <w:spacing w:after="0"/>
              <w:rPr>
                <w:sz w:val="20"/>
                <w:szCs w:val="20"/>
                <w:color w:val="auto"/>
              </w:rPr>
            </w:pPr>
            <w:r>
              <w:rPr>
                <w:rFonts w:ascii="Arial" w:cs="Arial" w:eastAsia="Arial" w:hAnsi="Arial"/>
                <w:sz w:val="14"/>
                <w:szCs w:val="14"/>
                <w:b w:val="1"/>
                <w:bCs w:val="1"/>
                <w:color w:val="auto"/>
              </w:rPr>
              <w:t>Nine Months Ended September 30, 2022</w:t>
            </w: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6"/>
        </w:trPr>
        <w:tc>
          <w:tcPr>
            <w:tcW w:w="3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Oil &amp; Gas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292,519</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49,106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63,807</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Industrials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47,668</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Power generation &amp; Transmission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31,062</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42,545</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19,130</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Petrochemical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w:t>
            </w:r>
          </w:p>
        </w:tc>
      </w:tr>
      <w:tr>
        <w:trPr>
          <w:trHeight w:val="229"/>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(8,203)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11,955</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4"/>
              </w:rPr>
              <w:t>(8,203)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519,155</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488"/>
        </w:trPr>
        <w:tc>
          <w:tcPr>
            <w:tcW w:w="3680" w:type="dxa"/>
            <w:vAlign w:val="bottom"/>
          </w:tcPr>
          <w:p>
            <w:pPr>
              <w:spacing w:after="0"/>
              <w:rPr>
                <w:sz w:val="20"/>
                <w:szCs w:val="20"/>
                <w:color w:val="auto"/>
              </w:rPr>
            </w:pPr>
            <w:r>
              <w:rPr>
                <w:rFonts w:ascii="Arial" w:cs="Arial" w:eastAsia="Arial" w:hAnsi="Arial"/>
                <w:sz w:val="14"/>
                <w:szCs w:val="14"/>
                <w:b w:val="1"/>
                <w:bCs w:val="1"/>
                <w:color w:val="auto"/>
              </w:rPr>
              <w:t>Nine Months Ended September 30, 2021</w:t>
            </w: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6"/>
        </w:trPr>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Oil &amp; Gas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275,239</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49,825</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Industrials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49,438</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Power generation &amp; Transmission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37,044</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36,681</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27,733</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Petrochemical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16,566</w:t>
            </w:r>
          </w:p>
        </w:tc>
      </w:tr>
      <w:tr>
        <w:trPr>
          <w:trHeight w:val="230"/>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(6,481)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13,442</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4"/>
              </w:rPr>
              <w:t>(6,481)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505,968</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Revenue per key geographic location was as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680" w:type="dxa"/>
            <w:vAlign w:val="bottom"/>
          </w:tcPr>
          <w:p>
            <w:pPr>
              <w:spacing w:after="0"/>
              <w:rPr>
                <w:sz w:val="20"/>
                <w:szCs w:val="20"/>
                <w:color w:val="auto"/>
              </w:rPr>
            </w:pPr>
            <w:r>
              <w:rPr>
                <w:rFonts w:ascii="Arial" w:cs="Arial" w:eastAsia="Arial" w:hAnsi="Arial"/>
                <w:sz w:val="14"/>
                <w:szCs w:val="14"/>
                <w:b w:val="1"/>
                <w:bCs w:val="1"/>
                <w:color w:val="auto"/>
              </w:rPr>
              <w:t>Three Months Ended September 30, 2022</w:t>
            </w: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5"/>
        </w:trPr>
        <w:tc>
          <w:tcPr>
            <w:tcW w:w="3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130,871</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22,593</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23,019</w:t>
            </w:r>
          </w:p>
        </w:tc>
      </w:tr>
      <w:tr>
        <w:trPr>
          <w:trHeight w:val="230"/>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178,462</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15"/>
        </w:trPr>
        <w:tc>
          <w:tcPr>
            <w:tcW w:w="3680" w:type="dxa"/>
            <w:vAlign w:val="bottom"/>
          </w:tcPr>
          <w:p>
            <w:pPr>
              <w:spacing w:after="0"/>
              <w:rPr>
                <w:sz w:val="20"/>
                <w:szCs w:val="20"/>
                <w:color w:val="auto"/>
              </w:rPr>
            </w:pPr>
            <w:r>
              <w:rPr>
                <w:rFonts w:ascii="Arial" w:cs="Arial" w:eastAsia="Arial" w:hAnsi="Arial"/>
                <w:sz w:val="14"/>
                <w:szCs w:val="14"/>
                <w:b w:val="1"/>
                <w:bCs w:val="1"/>
                <w:color w:val="auto"/>
              </w:rPr>
              <w:t>Three Months Ended September 30, 2021</w:t>
            </w: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5"/>
        </w:trPr>
        <w:tc>
          <w:tcPr>
            <w:tcW w:w="3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122,948</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22,650</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26,620</w:t>
            </w:r>
          </w:p>
        </w:tc>
      </w:tr>
      <w:tr>
        <w:trPr>
          <w:trHeight w:val="230"/>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174,556</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680" w:type="dxa"/>
            <w:vAlign w:val="bottom"/>
          </w:tcPr>
          <w:p>
            <w:pPr>
              <w:spacing w:after="0"/>
              <w:rPr>
                <w:sz w:val="20"/>
                <w:szCs w:val="20"/>
                <w:color w:val="auto"/>
              </w:rPr>
            </w:pPr>
            <w:r>
              <w:rPr>
                <w:rFonts w:ascii="Arial" w:cs="Arial" w:eastAsia="Arial" w:hAnsi="Arial"/>
                <w:sz w:val="14"/>
                <w:szCs w:val="14"/>
                <w:b w:val="1"/>
                <w:bCs w:val="1"/>
                <w:color w:val="auto"/>
              </w:rPr>
              <w:t>Nine Months Ended September 30, 2022</w:t>
            </w: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6"/>
        </w:trPr>
        <w:tc>
          <w:tcPr>
            <w:tcW w:w="3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373,220</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62,254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64,385</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76,666</w:t>
            </w:r>
          </w:p>
        </w:tc>
      </w:tr>
      <w:tr>
        <w:trPr>
          <w:trHeight w:val="230"/>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4,884</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519,155</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488"/>
        </w:trPr>
        <w:tc>
          <w:tcPr>
            <w:tcW w:w="3680" w:type="dxa"/>
            <w:vAlign w:val="bottom"/>
          </w:tcPr>
          <w:p>
            <w:pPr>
              <w:spacing w:after="0"/>
              <w:rPr>
                <w:sz w:val="20"/>
                <w:szCs w:val="20"/>
                <w:color w:val="auto"/>
              </w:rPr>
            </w:pPr>
            <w:r>
              <w:rPr>
                <w:rFonts w:ascii="Arial" w:cs="Arial" w:eastAsia="Arial" w:hAnsi="Arial"/>
                <w:sz w:val="14"/>
                <w:szCs w:val="14"/>
                <w:b w:val="1"/>
                <w:bCs w:val="1"/>
                <w:color w:val="auto"/>
              </w:rPr>
              <w:t>Nine Months Ended September 30, 2021</w:t>
            </w: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6"/>
        </w:trPr>
        <w:tc>
          <w:tcPr>
            <w:tcW w:w="3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352,547</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61,847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64,438</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83,094</w:t>
            </w:r>
          </w:p>
        </w:tc>
      </w:tr>
      <w:tr>
        <w:trPr>
          <w:trHeight w:val="230"/>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5,889</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505,968</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(contract assets), and customer advances and deposits (contract liabilities) on the Condensed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Consolidated Balance Sheets at the end of each reporting period within accounts receivable, net or accrued expenses and other current liabilities.</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 recognized during the nine months ended September 30, 2022 and 2021 that was included in the contract liability balance at the beginning of such year was $4.0 million and $4.4 million, respectively. Changes in the contract asset and liability balances during these periods were not materially impacted by any other factors. The Company applies a practical expedient to expense incremental costs incurred related to obtaining a contract when the asset that the Company otherwise would have recognized is one year or less.</w:t>
      </w:r>
    </w:p>
    <w:p>
      <w:pPr>
        <w:spacing w:after="0" w:line="2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Share-Based Compensation</w:t>
      </w:r>
    </w:p>
    <w:p>
      <w:pPr>
        <w:spacing w:after="0" w:line="21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Company grants share-based incentive awards to its eligible employees and non-employee directors under two equity incentive plans: (i) the 2009 Long-Term Incentive Plan (the "2009 Plan") and (ii) the 2016 Long-Term Incentive Plan (the "2016 Plan"). No further awards may be granted under the 2009 Plan, and the remaining stock option award granted under the 2009 Plan expired during the three months ended March 31, 2022. Awards granted under the 2016 Plan may be in the form of stock options, restricted stock units and other forms of share-based incentives, including performance restricted stock units, stock appreciation rights and deferred stock rights. At the annual shareholders meeting on May 23, 2022, the Company’s shareholders approved an amendment to increase the total number of shares that may be issued under the 2016 Plan by 1.2 million, for a total of 4.9 million shares that are authorized for issuance under the 2016 Plan, of which approximately 1,600,000 shares were available for future grants as of September 30, 2022.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each of the three and nine months ended September 30, 2022 and 2021, the Company did not recognize any share-based compensation expense related to the stock option award, as the one outstanding stock option award was already fully vested. No unrecognized compensation costs remained related to the stock option award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The following table sets forth a summary of the stock option activity, weighted-average exercise prices and options outstanding as of September 30, 2022 and 2021:</w:t>
      </w:r>
    </w:p>
    <w:p>
      <w:pPr>
        <w:ind w:left="6920"/>
        <w:spacing w:after="0"/>
        <w:rPr>
          <w:sz w:val="20"/>
          <w:szCs w:val="20"/>
          <w:color w:val="auto"/>
        </w:rPr>
      </w:pPr>
      <w:r>
        <w:rPr>
          <w:rFonts w:ascii="Arial" w:cs="Arial" w:eastAsia="Arial" w:hAnsi="Arial"/>
          <w:sz w:val="14"/>
          <w:szCs w:val="14"/>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740" w:type="dxa"/>
            <w:vAlign w:val="bottom"/>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3"/>
          </w:tcPr>
          <w:p>
            <w:pPr>
              <w:jc w:val="right"/>
              <w:ind w:right="884"/>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12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4740" w:type="dxa"/>
            <w:vAlign w:val="bottom"/>
          </w:tcPr>
          <w:p>
            <w:pPr>
              <w:spacing w:after="0"/>
              <w:rPr>
                <w:sz w:val="12"/>
                <w:szCs w:val="12"/>
                <w:color w:val="auto"/>
              </w:rPr>
            </w:pPr>
          </w:p>
        </w:tc>
        <w:tc>
          <w:tcPr>
            <w:tcW w:w="116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5"/>
              </w:rPr>
              <w:t>Common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116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2"/>
              </w:rPr>
              <w:t>Common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ind w:right="218"/>
              <w:spacing w:after="0" w:line="13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424"/>
              <w:spacing w:after="0" w:line="145"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ind w:right="218"/>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16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89"/>
              </w:rPr>
              <w:t>Stock</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404"/>
              <w:spacing w:after="0" w:line="149" w:lineRule="exact"/>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89"/>
              </w:rPr>
              <w:t>Stock</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4"/>
              </w:rPr>
              <w:t>Options</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ind w:left="404"/>
              <w:spacing w:after="0"/>
              <w:rPr>
                <w:sz w:val="20"/>
                <w:szCs w:val="20"/>
                <w:color w:val="auto"/>
              </w:rPr>
            </w:pPr>
            <w:r>
              <w:rPr>
                <w:rFonts w:ascii="Arial" w:cs="Arial" w:eastAsia="Arial" w:hAnsi="Arial"/>
                <w:sz w:val="14"/>
                <w:szCs w:val="14"/>
                <w:b w:val="1"/>
                <w:bCs w:val="1"/>
                <w:color w:val="auto"/>
                <w:w w:val="93"/>
              </w:rPr>
              <w:t>Price</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0"/>
              </w:rPr>
              <w:t>Options</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22.35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29"/>
        </w:trPr>
        <w:tc>
          <w:tcPr>
            <w:tcW w:w="59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64"/>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126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64"/>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126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Expired or forfeited</w:t>
            </w: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140" w:type="dxa"/>
            <w:vAlign w:val="bottom"/>
            <w:tcBorders>
              <w:bottom w:val="single" w:sz="8" w:color="CCEEFF"/>
            </w:tcBorders>
            <w:gridSpan w:val="2"/>
          </w:tcPr>
          <w:p>
            <w:pPr>
              <w:jc w:val="right"/>
              <w:ind w:right="86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8"/>
              </w:rPr>
              <w:t>22.35</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period:</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64"/>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126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For each of the three months ended September 30, 2022 and September 30, 2021, the Company recognized share-based compensation expense related to restricted stock unit awards of $0.9 million. For the nine months ended September 30, 2022 and 2021, the Company recognized share-based compensation expense related to restricted stock unit awards of $2.8 million and $2.7 million, respectively. As of September 30, 2022, there was $7.6 million of unrecognized compensation costs, net of estimated forfeitures, related to restricted stock unit awards, which is expected to be recognized over a remaining weighted-average period of 2.7 years. Upon vesting, restricted stock units are generally net share-settled to cover the required withholding tax and the remaining amount is converted into an equivalent number of shares of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vesting activity of restricted stock unit awards, with the respective fair value of the awards,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Pr>
          <w:p>
            <w:pPr>
              <w:spacing w:after="0"/>
              <w:rPr>
                <w:sz w:val="16"/>
                <w:szCs w:val="16"/>
                <w:color w:val="auto"/>
              </w:rPr>
            </w:pPr>
          </w:p>
        </w:tc>
      </w:tr>
      <w:tr>
        <w:trPr>
          <w:trHeight w:val="25"/>
        </w:trPr>
        <w:tc>
          <w:tcPr>
            <w:tcW w:w="8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awards vested</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Fair value of awards vested</w:t>
            </w:r>
          </w:p>
        </w:tc>
        <w:tc>
          <w:tcPr>
            <w:tcW w:w="980" w:type="dxa"/>
            <w:vAlign w:val="bottom"/>
          </w:tcPr>
          <w:p>
            <w:pPr>
              <w:jc w:val="right"/>
              <w:ind w:right="80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2,164</w:t>
            </w:r>
          </w:p>
        </w:tc>
        <w:tc>
          <w:tcPr>
            <w:tcW w:w="120" w:type="dxa"/>
            <w:vAlign w:val="bottom"/>
          </w:tcPr>
          <w:p>
            <w:pPr>
              <w:spacing w:after="0"/>
              <w:rPr>
                <w:sz w:val="20"/>
                <w:szCs w:val="20"/>
                <w:color w:val="auto"/>
              </w:rPr>
            </w:pP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2,670</w:t>
            </w:r>
          </w:p>
        </w:tc>
      </w:tr>
    </w:tbl>
    <w:p>
      <w:pPr>
        <w:spacing w:after="0" w:line="309" w:lineRule="exact"/>
        <w:rPr>
          <w:sz w:val="20"/>
          <w:szCs w:val="20"/>
          <w:color w:val="auto"/>
        </w:rPr>
      </w:pPr>
    </w:p>
    <w:p>
      <w:pPr>
        <w:ind w:right="660"/>
        <w:spacing w:after="0" w:line="269" w:lineRule="auto"/>
        <w:rPr>
          <w:sz w:val="20"/>
          <w:szCs w:val="20"/>
          <w:color w:val="auto"/>
        </w:rPr>
      </w:pPr>
      <w:r>
        <w:rPr>
          <w:rFonts w:ascii="Arial" w:cs="Arial" w:eastAsia="Arial" w:hAnsi="Arial"/>
          <w:sz w:val="18"/>
          <w:szCs w:val="18"/>
          <w:color w:val="auto"/>
        </w:rPr>
        <w:t>A summary of the fully-vested common stock the Company issued to its six non-employee directors, in connection with its non-employee director compensation plan, is as follows:</w:t>
      </w: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gridSpan w:val="8"/>
          </w:tcPr>
          <w:p>
            <w:pPr>
              <w:ind w:left="5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4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issued</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Grant date fair value of awards issued</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jc w:val="right"/>
              <w:ind w:right="82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20"/>
                <w:szCs w:val="20"/>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6620" w:type="dxa"/>
            <w:vAlign w:val="bottom"/>
            <w:gridSpan w:val="4"/>
          </w:tcPr>
          <w:p>
            <w:pPr>
              <w:spacing w:after="0"/>
              <w:rPr>
                <w:sz w:val="20"/>
                <w:szCs w:val="20"/>
                <w:color w:val="auto"/>
              </w:rPr>
            </w:pPr>
            <w:r>
              <w:rPr>
                <w:rFonts w:ascii="Arial" w:cs="Arial" w:eastAsia="Arial" w:hAnsi="Arial"/>
                <w:sz w:val="18"/>
                <w:szCs w:val="18"/>
                <w:color w:val="auto"/>
                <w:w w:val="92"/>
              </w:rPr>
              <w:t>A summary of the Company’s outstanding, non-vested restricted share units is as follows: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740" w:type="dxa"/>
            <w:vAlign w:val="bottom"/>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5"/>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2022</w:t>
            </w: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39"/>
              <w:spacing w:after="0" w:line="139"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ind w:right="178"/>
              <w:spacing w:after="0" w:line="139"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tcPr>
          <w:p>
            <w:pPr>
              <w:jc w:val="center"/>
              <w:ind w:right="360"/>
              <w:spacing w:after="0" w:line="145"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9"/>
        </w:trPr>
        <w:tc>
          <w:tcPr>
            <w:tcW w:w="4740" w:type="dxa"/>
            <w:vAlign w:val="bottom"/>
          </w:tcPr>
          <w:p>
            <w:pPr>
              <w:spacing w:after="0"/>
              <w:rPr>
                <w:sz w:val="12"/>
                <w:szCs w:val="12"/>
                <w:color w:val="auto"/>
              </w:rPr>
            </w:pPr>
          </w:p>
        </w:tc>
        <w:tc>
          <w:tcPr>
            <w:tcW w:w="154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tcPr>
          <w:p>
            <w:pPr>
              <w:jc w:val="center"/>
              <w:ind w:right="420"/>
              <w:spacing w:after="0" w:line="139" w:lineRule="exact"/>
              <w:rPr>
                <w:sz w:val="20"/>
                <w:szCs w:val="20"/>
                <w:color w:val="auto"/>
              </w:rPr>
            </w:pPr>
            <w:r>
              <w:rPr>
                <w:rFonts w:ascii="Arial" w:cs="Arial" w:eastAsia="Arial" w:hAnsi="Arial"/>
                <w:sz w:val="14"/>
                <w:szCs w:val="14"/>
                <w:b w:val="1"/>
                <w:bCs w:val="1"/>
                <w:color w:val="auto"/>
                <w:w w:val="99"/>
              </w:rPr>
              <w:t>Grant-Date</w:t>
            </w:r>
          </w:p>
        </w:tc>
        <w:tc>
          <w:tcPr>
            <w:tcW w:w="100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Units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Fair Value</w:t>
            </w:r>
          </w:p>
        </w:tc>
        <w:tc>
          <w:tcPr>
            <w:tcW w:w="10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
        </w:trPr>
        <w:tc>
          <w:tcPr>
            <w:tcW w:w="4740" w:type="dxa"/>
            <w:vAlign w:val="bottom"/>
            <w:vMerge w:val="restart"/>
          </w:tcPr>
          <w:p>
            <w:pPr>
              <w:ind w:left="20"/>
              <w:spacing w:after="0"/>
              <w:rPr>
                <w:sz w:val="20"/>
                <w:szCs w:val="20"/>
                <w:color w:val="auto"/>
              </w:rPr>
            </w:pPr>
            <w:r>
              <w:rPr>
                <w:rFonts w:ascii="Arial" w:cs="Arial" w:eastAsia="Arial" w:hAnsi="Arial"/>
                <w:sz w:val="18"/>
                <w:szCs w:val="18"/>
                <w:color w:val="auto"/>
              </w:rPr>
              <w:t>Outstanding at beginning of period:</w:t>
            </w: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Released</w:t>
            </w:r>
          </w:p>
        </w:tc>
        <w:tc>
          <w:tcPr>
            <w:tcW w:w="1540" w:type="dxa"/>
            <w:vAlign w:val="bottom"/>
          </w:tcPr>
          <w:p>
            <w:pPr>
              <w:jc w:val="right"/>
              <w:spacing w:after="0"/>
              <w:rPr>
                <w:sz w:val="20"/>
                <w:szCs w:val="20"/>
                <w:color w:val="auto"/>
              </w:rPr>
            </w:pPr>
            <w:r>
              <w:rPr>
                <w:rFonts w:ascii="Arial" w:cs="Arial" w:eastAsia="Arial" w:hAnsi="Arial"/>
                <w:sz w:val="18"/>
                <w:szCs w:val="18"/>
                <w:color w:val="auto"/>
              </w:rPr>
              <w:t>(326)</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9"/>
                <w:szCs w:val="19"/>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Outstanding at end of period: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1,313</w:t>
            </w:r>
          </w:p>
        </w:tc>
        <w:tc>
          <w:tcPr>
            <w:tcW w:w="20" w:type="dxa"/>
            <w:vAlign w:val="bottom"/>
          </w:tcPr>
          <w:p>
            <w:pPr>
              <w:spacing w:after="0"/>
              <w:rPr>
                <w:sz w:val="19"/>
                <w:szCs w:val="19"/>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maintains Performance Restricted Stock Units (PRSUs) that have been granted to select executives and senior officers whose ultimate payout is based on the Company’s performance over a one-year period based on specific metrics approved by the Compensation Committee of the Board of Directors of the Company.</w:t>
      </w:r>
    </w:p>
    <w:p>
      <w:pPr>
        <w:spacing w:after="0" w:line="20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For 2021, the Compensation Committee made changes to the Company’s equity incentive compensation plan for its executive officers and approved the new target awards for 2021. For 2021, the three metrics were:</w:t>
      </w:r>
    </w:p>
    <w:p>
      <w:pPr>
        <w:spacing w:after="0" w:line="1" w:lineRule="exact"/>
        <w:rPr>
          <w:sz w:val="20"/>
          <w:szCs w:val="20"/>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net cash provided by operating activities less purchases of property, plant, equipment and intangible assets and is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approved by the Compensation Committee.</w:t>
      </w:r>
    </w:p>
    <w:p>
      <w:pPr>
        <w:jc w:val="both"/>
        <w:ind w:left="660" w:hanging="328"/>
        <w:spacing w:after="0" w:line="281" w:lineRule="auto"/>
        <w:tabs>
          <w:tab w:leader="none" w:pos="6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defined as net income attributable to the Company plus: interest expense, provision for income taxes,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spacing w:after="0" w:line="1" w:lineRule="exact"/>
        <w:rPr>
          <w:rFonts w:ascii="Arial" w:cs="Arial" w:eastAsia="Arial" w:hAnsi="Arial"/>
          <w:sz w:val="16"/>
          <w:szCs w:val="16"/>
          <w:i w:val="1"/>
          <w:iCs w:val="1"/>
          <w:color w:val="auto"/>
        </w:rPr>
      </w:pPr>
    </w:p>
    <w:p>
      <w:pPr>
        <w:jc w:val="both"/>
        <w:ind w:left="66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Total Shareholder Return (TSR) </w:t>
      </w:r>
      <w:r>
        <w:rPr>
          <w:rFonts w:ascii="Arial" w:cs="Arial" w:eastAsia="Arial" w:hAnsi="Arial"/>
          <w:sz w:val="16"/>
          <w:szCs w:val="16"/>
          <w:color w:val="auto"/>
        </w:rPr>
        <w:t>measures the total return to shareholders of the Company during 2021 versus the total return to the shareholders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a predefined peer group of companies that provide inspection, testing, certification or similar industrial services. The return will be measured by the year over year percent change in share price. The share prices used to calculate the return are the average share price during the 20-trading day period ending on the initial measurement date (the last 20 trading days of 2020), compared to the average share price during the 20-trading day period ending on the final measurement date (the last 20 trading days of 2021). Any cash dividends or distributions paid in 2021 will be added to calculate the return to shareholders during the year. TSR is considered a market condition for which the fair value of PRSUs with this condition is determined using a Monte Carlo valuation model. Key assumptions in the Monte Carlo valuation model included:</w:t>
      </w:r>
    </w:p>
    <w:p>
      <w:pPr>
        <w:spacing w:after="0" w:line="4" w:lineRule="exact"/>
        <w:rPr>
          <w:rFonts w:ascii="Arial" w:cs="Arial" w:eastAsia="Arial" w:hAnsi="Arial"/>
          <w:sz w:val="16"/>
          <w:szCs w:val="16"/>
          <w:color w:val="auto"/>
        </w:rPr>
      </w:pPr>
    </w:p>
    <w:p>
      <w:pPr>
        <w:ind w:left="1300" w:right="20" w:hanging="320"/>
        <w:spacing w:after="0" w:line="250" w:lineRule="auto"/>
        <w:tabs>
          <w:tab w:leader="none" w:pos="129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Expected volatility of the Company’s common stock at the date of grant was estimated based on a historical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rate for the approximate 1-year performance period.</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The dividend yield assumption was based on historical and anticipated dividend payouts (assumed at zero).</w:t>
      </w:r>
    </w:p>
    <w:p>
      <w:pPr>
        <w:spacing w:after="0" w:line="9" w:lineRule="exact"/>
        <w:rPr>
          <w:rFonts w:ascii="Arial" w:cs="Arial" w:eastAsia="Arial" w:hAnsi="Arial"/>
          <w:sz w:val="18"/>
          <w:szCs w:val="18"/>
          <w:color w:val="auto"/>
        </w:rPr>
      </w:pPr>
    </w:p>
    <w:p>
      <w:pPr>
        <w:ind w:left="1300" w:hanging="320"/>
        <w:spacing w:after="0" w:line="260" w:lineRule="auto"/>
        <w:tabs>
          <w:tab w:leader="none" w:pos="129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assumption was based on observed interest rates consistent with the approximate 1-year performance measurement period.</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2022, the Compensation Committee retained the Company’s prior year equity incentive compensation plan for its executive officers including utilizing the same metrics, as defined above, and approved the new target awards for 2022.</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PRSUs are equity-classified and compensation costs are initially measured using the fair value of the underlying stock at the date of grant. Compensation costs related to the PRSUs are subsequently adjusted for changes in the expected outcomes of the performance conditions. Compensation cost related to the PRSUs with a market condition is not reversed if the market condition is not achieved, provided the employee requisite service has been rendered. PRSUs generally vest ratably on each of the first four anniversary dates upon completion of the performance period, for a total requisite service period of up to five years and have no dividend rights.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PRSU activity is as follows:</w:t>
      </w:r>
    </w:p>
    <w:p>
      <w:pPr>
        <w:spacing w:after="0" w:line="41"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74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2022</w:t>
            </w:r>
          </w:p>
        </w:tc>
        <w:tc>
          <w:tcPr>
            <w:tcW w:w="1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4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37"/>
              <w:spacing w:after="0" w:line="139"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7"/>
              <w:spacing w:after="0" w:line="13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7"/>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9"/>
        </w:trPr>
        <w:tc>
          <w:tcPr>
            <w:tcW w:w="4740" w:type="dxa"/>
            <w:vAlign w:val="bottom"/>
          </w:tcPr>
          <w:p>
            <w:pPr>
              <w:spacing w:after="0"/>
              <w:rPr>
                <w:sz w:val="12"/>
                <w:szCs w:val="12"/>
                <w:color w:val="auto"/>
              </w:rPr>
            </w:pPr>
          </w:p>
        </w:tc>
        <w:tc>
          <w:tcPr>
            <w:tcW w:w="102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400"/>
              <w:spacing w:after="0" w:line="139" w:lineRule="exact"/>
              <w:rPr>
                <w:sz w:val="20"/>
                <w:szCs w:val="20"/>
                <w:color w:val="auto"/>
              </w:rPr>
            </w:pPr>
            <w:r>
              <w:rPr>
                <w:rFonts w:ascii="Arial" w:cs="Arial" w:eastAsia="Arial" w:hAnsi="Arial"/>
                <w:sz w:val="14"/>
                <w:szCs w:val="14"/>
                <w:b w:val="1"/>
                <w:bCs w:val="1"/>
                <w:color w:val="auto"/>
                <w:w w:val="99"/>
              </w:rPr>
              <w:t>Grant-Date</w:t>
            </w:r>
          </w:p>
        </w:tc>
        <w:tc>
          <w:tcPr>
            <w:tcW w:w="152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217"/>
              <w:spacing w:after="0" w:line="13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
        </w:trPr>
        <w:tc>
          <w:tcPr>
            <w:tcW w:w="57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Outstanding at beginning of period:</w:t>
            </w:r>
          </w:p>
        </w:tc>
        <w:tc>
          <w:tcPr>
            <w:tcW w:w="1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30"/>
        </w:trPr>
        <w:tc>
          <w:tcPr>
            <w:tcW w:w="5760" w:type="dxa"/>
            <w:vAlign w:val="bottom"/>
            <w:gridSpan w:val="2"/>
          </w:tcPr>
          <w:p>
            <w:pPr>
              <w:ind w:left="140"/>
              <w:spacing w:after="0"/>
              <w:rPr>
                <w:sz w:val="20"/>
                <w:szCs w:val="20"/>
                <w:color w:val="auto"/>
              </w:rPr>
            </w:pPr>
            <w:r>
              <w:rPr>
                <w:rFonts w:ascii="Arial" w:cs="Arial" w:eastAsia="Arial" w:hAnsi="Arial"/>
                <w:sz w:val="18"/>
                <w:szCs w:val="18"/>
                <w:color w:val="auto"/>
              </w:rPr>
              <w:t>Performance condition adjustments</w:t>
            </w:r>
          </w:p>
        </w:tc>
        <w:tc>
          <w:tcPr>
            <w:tcW w:w="520" w:type="dxa"/>
            <w:vAlign w:val="bottom"/>
          </w:tcPr>
          <w:p>
            <w:pPr>
              <w:jc w:val="right"/>
              <w:spacing w:after="0"/>
              <w:rPr>
                <w:sz w:val="20"/>
                <w:szCs w:val="20"/>
                <w:color w:val="auto"/>
              </w:rPr>
            </w:pPr>
            <w:r>
              <w:rPr>
                <w:rFonts w:ascii="Arial" w:cs="Arial" w:eastAsia="Arial" w:hAnsi="Arial"/>
                <w:sz w:val="18"/>
                <w:szCs w:val="18"/>
                <w:color w:val="auto"/>
              </w:rPr>
              <w:t>(269)</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(195)</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Released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period: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color w:val="auto"/>
        </w:rPr>
        <w:t>During the nine months ended September 30, 2022 and September 30, 2021, the Compensation Committee approved the final calculation of the award metrics for calendar year 2021 and calendar year 2020, respectively. The calendar year 2022 PRSUs decreased by approximately 157,000 units during the nine months ended September 30, 2022 as a result of the final calculation of the 2021 award and based on forecasted results for 2022 as compared to performance metrics determined by the Compensation Committee.</w:t>
      </w:r>
    </w:p>
    <w:p>
      <w:pPr>
        <w:spacing w:after="0" w:line="20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For each of the three months ended September 30, 2022 and September 30, 2021, the Company recognized aggregate share-based compensation expense related to the awards described above of approximately $0.3 million. For the nine months ended September 30, 2022 and September 30, 2021, the Company recognized aggregate share-based compensation expense related to the awards described above of approximately $0.9 million and $0.7 million, respectively. At September 30, 2022, there was $1.5 million of total unrecognized compensation costs related to approximately 443,000 non-vested PRSUs, which is expected to be recognized over a remaining weighted-average period of 1.8 years.</w:t>
      </w:r>
    </w:p>
    <w:p>
      <w:pPr>
        <w:spacing w:after="0" w:line="200" w:lineRule="exact"/>
        <w:rPr>
          <w:sz w:val="20"/>
          <w:szCs w:val="20"/>
          <w:color w:val="auto"/>
        </w:rPr>
      </w:pPr>
    </w:p>
    <w:p>
      <w:pPr>
        <w:spacing w:after="0" w:line="29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w:t>
      </w:r>
    </w:p>
    <w:p>
      <w:pPr>
        <w:ind w:right="20" w:firstLine="8"/>
        <w:spacing w:after="0" w:line="277"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
        </w:trPr>
        <w:tc>
          <w:tcPr>
            <w:tcW w:w="4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4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r>
      <w:tr>
        <w:trPr>
          <w:trHeight w:val="40"/>
        </w:trPr>
        <w:tc>
          <w:tcPr>
            <w:tcW w:w="4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attributable to Mistras Group, Inc.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29,619</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29,550</w:t>
            </w: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68"/>
        </w:trPr>
        <w:tc>
          <w:tcPr>
            <w:tcW w:w="48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860" w:type="dxa"/>
            <w:vAlign w:val="bottom"/>
          </w:tcPr>
          <w:p>
            <w:pPr>
              <w:ind w:left="140"/>
              <w:spacing w:after="0"/>
              <w:rPr>
                <w:sz w:val="20"/>
                <w:szCs w:val="20"/>
                <w:color w:val="auto"/>
              </w:rPr>
            </w:pPr>
            <w:r>
              <w:rPr>
                <w:rFonts w:ascii="Arial" w:cs="Arial" w:eastAsia="Arial" w:hAnsi="Arial"/>
                <w:sz w:val="18"/>
                <w:szCs w:val="18"/>
                <w:color w:val="auto"/>
              </w:rPr>
              <w:t>Net income attributable to Mistras Group, Inc.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4,373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3,380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3,653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3,955</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29,965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29,879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29,550</w:t>
            </w:r>
          </w:p>
        </w:tc>
      </w:tr>
      <w:tr>
        <w:trPr>
          <w:trHeight w:val="230"/>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stock options outstanding</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Dilutive effect of restricted stock units outstanding</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r>
      <w:tr>
        <w:trPr>
          <w:trHeight w:val="223"/>
        </w:trPr>
        <w:tc>
          <w:tcPr>
            <w:tcW w:w="48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30,093</w:t>
            </w:r>
          </w:p>
        </w:tc>
      </w:tr>
      <w:tr>
        <w:trPr>
          <w:trHeight w:val="224"/>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0.13</w:t>
            </w:r>
          </w:p>
        </w:tc>
      </w:tr>
    </w:tbl>
    <w:p>
      <w:pPr>
        <w:spacing w:after="0" w:line="30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Expense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course of its acquisition activities, the Company incurs costs in connection with due diligence, such as professional fees, and other expenses. Additionally, the Company adjusts the fair value of acquisition-related contingent consideration liabilities on a quarterly basis. These amounts are reported as Acquisition-related expense, net on the Unaudited Condensed Consolidated Statements of Income and were as follows for the three and nine months ended September 30, 2022 and 2021: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2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
        </w:trPr>
        <w:tc>
          <w:tcPr>
            <w:tcW w:w="48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8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diligence, professional fees and other transaction costs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w w:val="98"/>
              </w:rPr>
              <w:t>Adjustments to fair value of contingent consideration liabilities</w:t>
            </w:r>
          </w:p>
        </w:tc>
        <w:tc>
          <w:tcPr>
            <w:tcW w:w="10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1,034</w:t>
            </w:r>
          </w:p>
        </w:tc>
      </w:tr>
      <w:tr>
        <w:trPr>
          <w:trHeight w:val="248"/>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expense, net</w:t>
            </w:r>
          </w:p>
        </w:tc>
        <w:tc>
          <w:tcPr>
            <w:tcW w:w="108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3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As of September 30, 2022, the Company’s contingent consideration liabilities are included in Accrued expenses and other current liabilities on the Condensed Consolidated Balance Sheets.</w:t>
      </w:r>
    </w:p>
    <w:p>
      <w:pPr>
        <w:spacing w:after="0" w:line="200" w:lineRule="exact"/>
        <w:rPr>
          <w:sz w:val="20"/>
          <w:szCs w:val="20"/>
          <w:color w:val="auto"/>
        </w:rPr>
      </w:pPr>
    </w:p>
    <w:p>
      <w:pPr>
        <w:spacing w:after="0" w:line="23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6"/>
                <w:szCs w:val="16"/>
                <w:color w:val="auto"/>
              </w:rPr>
            </w:pPr>
          </w:p>
        </w:tc>
        <w:tc>
          <w:tcPr>
            <w:tcW w:w="138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December 31, 2021</w:t>
            </w:r>
          </w:p>
        </w:tc>
      </w:tr>
      <w:tr>
        <w:trPr>
          <w:trHeight w:val="26"/>
        </w:trPr>
        <w:tc>
          <w:tcPr>
            <w:tcW w:w="8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112,739</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w:t>
            </w:r>
          </w:p>
        </w:tc>
      </w:tr>
      <w:tr>
        <w:trPr>
          <w:trHeight w:val="248"/>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109,511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 had $22.9 million and $11.9 million of unbilled revenue accrued as of September 30, 2022 and December 31, 2021, respectively. These amounts are included in the trade accounts receivable balances above. Unbilled revenue is generally billed in the subsequent quarter to their revenue recognition. The Company considers unbilled receivables as short-term in nature as they are normally converted to trade receivables within 90 days, thus future changes in economic conditions will not have a significant effect on the credit loss estimate.</w:t>
      </w:r>
    </w:p>
    <w:p>
      <w:pPr>
        <w:spacing w:after="0" w:line="19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was contracted to perform inspections of welds on various pipeline projects in Texas for a customer. As of December 31, 2019, approximately $1.4 million of past due receivables were outstanding from this customer. The Company received notice from the customer in December 2019, alleging that the work performed was not in compliance with the contract. The Company recorded a full reserve for this receivable during 2019 and the status of this situation has not changed since 2019. See Note 14-</w:t>
      </w:r>
      <w:r>
        <w:rPr>
          <w:rFonts w:ascii="Arial" w:cs="Arial" w:eastAsia="Arial" w:hAnsi="Arial"/>
          <w:sz w:val="17"/>
          <w:szCs w:val="17"/>
          <w:b w:val="1"/>
          <w:bCs w:val="1"/>
          <w:i w:val="1"/>
          <w:iCs w:val="1"/>
          <w:color w:val="auto"/>
        </w:rPr>
        <w:t>Commitments and Contingencies</w:t>
      </w:r>
      <w:r>
        <w:rPr>
          <w:rFonts w:ascii="Arial" w:cs="Arial" w:eastAsia="Arial" w:hAnsi="Arial"/>
          <w:sz w:val="17"/>
          <w:szCs w:val="17"/>
          <w:color w:val="auto"/>
        </w:rPr>
        <w:t xml:space="preserve"> for additional details.</w:t>
      </w:r>
    </w:p>
    <w:p>
      <w:pPr>
        <w:spacing w:after="0" w:line="19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Property, Plant and Equipment, net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14"/>
                <w:szCs w:val="14"/>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4"/>
                <w:szCs w:val="14"/>
                <w:color w:val="auto"/>
              </w:rPr>
            </w:pPr>
          </w:p>
        </w:tc>
        <w:tc>
          <w:tcPr>
            <w:tcW w:w="14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192"/>
        </w:trPr>
        <w:tc>
          <w:tcPr>
            <w:tcW w:w="6940" w:type="dxa"/>
            <w:vAlign w:val="bottom"/>
          </w:tcPr>
          <w:p>
            <w:pPr>
              <w:spacing w:after="0"/>
              <w:rPr>
                <w:sz w:val="16"/>
                <w:szCs w:val="16"/>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94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30-40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23,790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24,787</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16,620</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Machinery and equipment</w:t>
            </w: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250,166</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294,335</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(207,757)</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86,578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the three months ended September 30, 2022 and 2021 was approximately $5.9 million and $6.1 million,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nine months ended September 30, 2022 and 2021 was $18.3 million and $18.4 million, respectively.</w:t>
      </w:r>
    </w:p>
    <w:p>
      <w:pPr>
        <w:spacing w:after="0" w:line="2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are shown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International</w:t>
            </w: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Products and Systems</w:t>
            </w: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Arial" w:cs="Arial" w:eastAsia="Arial" w:hAnsi="Arial"/>
                <w:sz w:val="14"/>
                <w:szCs w:val="14"/>
                <w:b w:val="1"/>
                <w:bCs w:val="1"/>
                <w:color w:val="auto"/>
              </w:rPr>
              <w:t>Total</w:t>
            </w:r>
          </w:p>
        </w:tc>
      </w:tr>
      <w:tr>
        <w:trPr>
          <w:trHeight w:val="26"/>
        </w:trPr>
        <w:tc>
          <w:tcPr>
            <w:tcW w:w="4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8"/>
              </w:rPr>
              <w:t>14,783</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205,439</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auto"/>
                <w:w w:val="91"/>
              </w:rPr>
              <w:t>(2,010)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(8,006)</w:t>
            </w: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8"/>
              </w:rPr>
              <w:t>12,773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197,433</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18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Company performed a quantitative annual impairment test as of October 1, 2021 and the Company did not identify any changes in circumstances that would indicate the carrying value of goodwill may not be recoverable. Additionally, through September 30, 2022, the Company did not identify any changes in circumstances that would indicate the carrying value of goodwill may not be recoverable. Significant adverse changes in future periods could negatively affect the Company’s key assumptions and may result in future goodwill impairment charges which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amount, accumulated amortization and net carrying amount of intangible assets were as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September 30, 2022</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37"/>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57"/>
              <w:spacing w:after="0" w:line="13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4"/>
        </w:trPr>
        <w:tc>
          <w:tcPr>
            <w:tcW w:w="23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57"/>
              <w:spacing w:after="0" w:line="145"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7"/>
                <w:szCs w:val="17"/>
                <w:color w:val="auto"/>
              </w:rPr>
            </w:pPr>
          </w:p>
        </w:tc>
        <w:tc>
          <w:tcPr>
            <w:tcW w:w="110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94"/>
        </w:trPr>
        <w:tc>
          <w:tcPr>
            <w:tcW w:w="234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31,790</w:t>
            </w:r>
          </w:p>
        </w:tc>
        <w:tc>
          <w:tcPr>
            <w:tcW w:w="0" w:type="dxa"/>
            <w:vAlign w:val="bottom"/>
          </w:tcPr>
          <w:p>
            <w:pPr>
              <w:spacing w:after="0"/>
              <w:rPr>
                <w:sz w:val="1"/>
                <w:szCs w:val="1"/>
                <w:color w:val="auto"/>
              </w:rPr>
            </w:pPr>
          </w:p>
        </w:tc>
      </w:tr>
      <w:tr>
        <w:trPr>
          <w:trHeight w:val="230"/>
        </w:trPr>
        <w:tc>
          <w:tcPr>
            <w:tcW w:w="2340" w:type="dxa"/>
            <w:vAlign w:val="bottom"/>
          </w:tcPr>
          <w:p>
            <w:pPr>
              <w:ind w:left="40"/>
              <w:spacing w:after="0"/>
              <w:rPr>
                <w:sz w:val="20"/>
                <w:szCs w:val="20"/>
                <w:color w:val="auto"/>
              </w:rPr>
            </w:pPr>
            <w:r>
              <w:rPr>
                <w:rFonts w:ascii="Arial" w:cs="Arial" w:eastAsia="Arial" w:hAnsi="Arial"/>
                <w:sz w:val="18"/>
                <w:szCs w:val="18"/>
                <w:color w:val="auto"/>
              </w:rPr>
              <w:t>Software/Technology</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3-15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52,265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25,850</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Covenants not to compete</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9"/>
        </w:trPr>
        <w:tc>
          <w:tcPr>
            <w:tcW w:w="2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2-12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48"/>
        </w:trPr>
        <w:tc>
          <w:tcPr>
            <w:tcW w:w="2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(128,190)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59,381</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three months ended September 30, 2022 and 2021 was $2.3 million and $2.4 million,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the nine months ended September 30, 2022 and September 30, 2021 was $6.9 million and $7.3 million, respectively.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6"/>
                <w:szCs w:val="16"/>
                <w:color w:val="auto"/>
              </w:rPr>
            </w:pPr>
          </w:p>
        </w:tc>
        <w:tc>
          <w:tcPr>
            <w:tcW w:w="138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December 31, 2021</w:t>
            </w:r>
          </w:p>
        </w:tc>
      </w:tr>
      <w:tr>
        <w:trPr>
          <w:trHeight w:val="25"/>
        </w:trPr>
        <w:tc>
          <w:tcPr>
            <w:tcW w:w="8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wages and related employee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33,816</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Contingent consideration, current portion</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1,830</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workers’ compensation and health benefits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6,202</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accrual</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Right-of-use liability - Operating</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10,040</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25,462</w:t>
            </w: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83,070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83,863</w:t>
            </w:r>
          </w:p>
        </w:tc>
      </w:tr>
      <w:tr>
        <w:trPr>
          <w:trHeight w:val="20"/>
        </w:trPr>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6"/>
                <w:szCs w:val="16"/>
                <w:color w:val="auto"/>
              </w:rPr>
            </w:pPr>
          </w:p>
        </w:tc>
        <w:tc>
          <w:tcPr>
            <w:tcW w:w="138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December 31, 2021</w:t>
            </w:r>
          </w:p>
        </w:tc>
      </w:tr>
      <w:tr>
        <w:trPr>
          <w:trHeight w:val="26"/>
        </w:trPr>
        <w:tc>
          <w:tcPr>
            <w:tcW w:w="8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119,500</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w w:val="91"/>
              </w:rPr>
              <w:t>Senior secured term loan, net of unamortized debt issuance costs of $0.5 million and $0.2 million, respectively</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122,936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76,673</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6,392</w:t>
            </w: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201,212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202,565</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(20,162)</w:t>
            </w: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193,847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182,403</w:t>
            </w:r>
          </w:p>
        </w:tc>
      </w:tr>
      <w:tr>
        <w:trPr>
          <w:trHeight w:val="20"/>
        </w:trPr>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1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Prior to entering into the new Credit Agreement described below, the Company had a credit agreement with its banking group (the "Credit Agreement") which provided the Company with a $150 million revolving credit facility and a $100 million term loan. The Credit Agreement was most recently amended on May 19, 2021 and had a maturity date of December 12, 2023.</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On August 1, 2022, the Company entered into a new credit agreement (the “New Credit Agreement”) which replaced the prior Credit Agreement and provides the Company with a $190 million 5-year committed revolving credit facility and a $125 million term loan with a balance of $122.9 million as of September 30, 2022. The New Credit Agreement permits the Company to borrow up to $100 million in non-US dollar currencies and to use up to $20 million of the credit limit for the issuance of letters of credit. Both the revolving line of credit and the term loan under the New Credit Agreement have a maturity date of July 30, 2027.</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New Credit Agreement has the following key terms, conditions and financial covenants:</w:t>
      </w:r>
    </w:p>
    <w:p>
      <w:pPr>
        <w:spacing w:after="0" w:line="225" w:lineRule="exact"/>
        <w:rPr>
          <w:sz w:val="20"/>
          <w:szCs w:val="20"/>
          <w:color w:val="auto"/>
        </w:rPr>
      </w:pPr>
    </w:p>
    <w:p>
      <w:pPr>
        <w:ind w:left="660" w:right="340" w:hanging="328"/>
        <w:spacing w:after="0"/>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Borrowings bear interest at Secured Overnight Financing Rate ("SOFR") plus a credit spread adjustment and applicable SOFR margin ranging from 1.25% to 2.75%, based upon our Total Consolidated Debt Leverage Ratio (defined below); under the Credit Agreement, the margin was based upon the LIBOR margin.</w:t>
      </w:r>
    </w:p>
    <w:p>
      <w:pPr>
        <w:spacing w:after="0" w:line="2" w:lineRule="exact"/>
        <w:rPr>
          <w:rFonts w:ascii="Arial" w:cs="Arial" w:eastAsia="Arial" w:hAnsi="Arial"/>
          <w:sz w:val="18"/>
          <w:szCs w:val="18"/>
          <w:color w:val="auto"/>
        </w:rPr>
      </w:pPr>
    </w:p>
    <w:p>
      <w:pPr>
        <w:ind w:left="1300" w:right="340" w:hanging="320"/>
        <w:spacing w:after="0" w:line="219" w:lineRule="auto"/>
        <w:tabs>
          <w:tab w:leader="none" w:pos="1296"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Consolidated Debt Leverage Ratio means the ratio of (a) Total Consolidated Debt to (b) EBITDA (as defined in the New Credit Agreement) for the trailing four consecutive fiscal quarters.</w:t>
      </w: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Consolidated Debt means all indebtedness (including subordinated debt) of the Company on a consolidated basis.</w:t>
      </w:r>
    </w:p>
    <w:p>
      <w:pPr>
        <w:spacing w:after="0" w:line="222" w:lineRule="exact"/>
        <w:rPr>
          <w:rFonts w:ascii="Arial" w:cs="Arial" w:eastAsia="Arial" w:hAnsi="Arial"/>
          <w:sz w:val="18"/>
          <w:szCs w:val="18"/>
          <w:color w:val="auto"/>
        </w:rPr>
      </w:pPr>
    </w:p>
    <w:p>
      <w:pPr>
        <w:ind w:left="660" w:right="60" w:hanging="328"/>
        <w:spacing w:after="0" w:line="276"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has the benefit of the lowest SOFR margin if its Total Consolidated Debt Leverage Ratio is equal to or less than 1.25 to 1.0, and the margin increases as the ratio increases, to the maximum margin if the ratio is greater than 3.75 to 1.0. The New Credit Agreement is secured by liens on substantially all the assets of the Company and certain of its U.S subsidiaries and is guaranteed by those U.S subsidiaries.</w:t>
      </w:r>
    </w:p>
    <w:p>
      <w:pPr>
        <w:spacing w:after="0" w:line="175" w:lineRule="exact"/>
        <w:rPr>
          <w:rFonts w:ascii="Arial" w:cs="Arial" w:eastAsia="Arial" w:hAnsi="Arial"/>
          <w:sz w:val="16"/>
          <w:szCs w:val="16"/>
          <w:color w:val="auto"/>
        </w:rPr>
      </w:pPr>
    </w:p>
    <w:p>
      <w:pPr>
        <w:ind w:left="660" w:right="320" w:hanging="328"/>
        <w:spacing w:after="0" w:line="291"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has to maintain a Total Consolidated Debt Leverage Ratio of no more than 4.0 to 1.0 at the end of each quarter through June 30, 2023 and stepping down to a maximum permitted ratio of no more than 3.75 to 1.0 for the remainder of the term.</w:t>
      </w:r>
    </w:p>
    <w:p>
      <w:pPr>
        <w:spacing w:after="0" w:line="160" w:lineRule="exact"/>
        <w:rPr>
          <w:rFonts w:ascii="Arial" w:cs="Arial" w:eastAsia="Arial" w:hAnsi="Arial"/>
          <w:sz w:val="17"/>
          <w:szCs w:val="17"/>
          <w:color w:val="auto"/>
        </w:rPr>
      </w:pPr>
    </w:p>
    <w:p>
      <w:pPr>
        <w:ind w:left="660" w:right="100" w:hanging="328"/>
        <w:spacing w:after="0" w:line="24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to maintain a Fixed Charge Coverage Ratio of 1.25 to 1.0 for the duration of the New Credit Agreement, as defined in the New Credit Agreement.</w:t>
      </w:r>
    </w:p>
    <w:p>
      <w:pPr>
        <w:spacing w:after="0" w:line="196" w:lineRule="exact"/>
        <w:rPr>
          <w:rFonts w:ascii="Arial" w:cs="Arial" w:eastAsia="Arial" w:hAnsi="Arial"/>
          <w:sz w:val="18"/>
          <w:szCs w:val="18"/>
          <w:color w:val="auto"/>
        </w:rPr>
      </w:pPr>
    </w:p>
    <w:p>
      <w:pPr>
        <w:jc w:val="both"/>
        <w:ind w:left="660" w:right="160" w:hanging="328"/>
        <w:spacing w:after="0" w:line="261"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New Credit Agreement limits the Company’s ability to, among other things, create liens, make investments, incur more indebtedness, merge or consolidate, make dispositions of property, pay dividends, make distributions to stockholders or repurchase our stock, enter into a new line of business, enter into transactions with affiliates and enter into burdensome agreements.</w:t>
      </w:r>
    </w:p>
    <w:p>
      <w:pPr>
        <w:spacing w:after="0" w:line="185" w:lineRule="exact"/>
        <w:rPr>
          <w:rFonts w:ascii="Arial" w:cs="Arial" w:eastAsia="Arial" w:hAnsi="Arial"/>
          <w:sz w:val="17"/>
          <w:szCs w:val="17"/>
          <w:color w:val="auto"/>
        </w:rPr>
      </w:pPr>
    </w:p>
    <w:p>
      <w:pPr>
        <w:ind w:left="660" w:right="180" w:hanging="328"/>
        <w:spacing w:after="0" w:line="23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New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the Company must provide written notice at least five business days prior to the date of an acquisition of $10 million or more.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right="500" w:hanging="328"/>
        <w:spacing w:after="0" w:line="24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Quarterly payments on the term loan of $1.56 million through June 30, 2024, then increasing to $2.34 million through June 30, 2025, and to $3.12 million for each quarterly payment thereafter through maturity.</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New Credit Agreement was accounted for as a modification and the Company expensed $0.8 million in unamortized capitalized debt issuance costs and fees during the three months ended September 30, 2022, which was included in selling, general and administrative expenses on the Consolidated Statements of Income. The Company incurred $1.6 million in financing costs for the New Credit Agreement, of which $0.2 million of third party costs were expensed and included in selling, general and administrative expenses on the Consolidated Statements of Income.</w:t>
      </w:r>
    </w:p>
    <w:p>
      <w:pPr>
        <w:spacing w:after="0" w:line="216"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As of September 30, 2022, the Company had borrowings of $196.7 million and a total of $3.0 million of letters of credit outstanding under the New Credit Agreement. The Company has capitalized costs associated with debt modifications of $1.4 million as of September 30, 2022, which is included in Other assets on the Condensed Consolidated Balance Sheets and will be amortized into interest expense over the remaining term of the Credit Agreement through July 30, 2027.</w:t>
      </w:r>
    </w:p>
    <w:p>
      <w:pPr>
        <w:spacing w:after="0" w:line="22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As of September 30, 2022, the Company was in compliance with the terms of the New Credit Agreement. The Company continuously monitors compliance with the covenants contained in its New Credit Agreement. The Company believes that it is probable that the Company will be able to comply with the financial covenants in the New Credit Agreement and that sufficient credit remains available under the New Credit Agreement to meet the Company’s liquidity needs. However, due to the uncertainties of the global economy, including significant volatility in oil prices, and volatility in the aerospace production, such matters cannot be predicted with certainty.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debt</w:t>
      </w:r>
    </w:p>
    <w:p>
      <w:pPr>
        <w:spacing w:after="0" w:line="25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Company’s other debt includes bank financing provided at the local subsidiary level used to support working capital requirements and fund capital expenditures. At September 30, 2022, there was an aggregate of approximately $4.5 million outstanding, payable at various times through 2030. Monthly payments range from $1.0 thousand to $15.0 thousand and interest rates range from 0.4% to 3.5%.</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25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the fair value of Level 3 contingent consideration: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Pr>
          <w:p>
            <w:pPr>
              <w:spacing w:after="0"/>
              <w:rPr>
                <w:sz w:val="16"/>
                <w:szCs w:val="16"/>
                <w:color w:val="auto"/>
              </w:rPr>
            </w:pPr>
          </w:p>
        </w:tc>
      </w:tr>
      <w:tr>
        <w:trPr>
          <w:trHeight w:val="26"/>
        </w:trPr>
        <w:tc>
          <w:tcPr>
            <w:tcW w:w="80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80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1,640</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Accretion of liability</w:t>
            </w: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Revaluation</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1,034</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1,736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measured at fair value on a recurring basis</w:t>
      </w:r>
    </w:p>
    <w:p>
      <w:pPr>
        <w:spacing w:after="0" w:line="225" w:lineRule="exact"/>
        <w:rPr>
          <w:sz w:val="20"/>
          <w:szCs w:val="20"/>
          <w:color w:val="auto"/>
        </w:rPr>
      </w:pPr>
    </w:p>
    <w:p>
      <w:pPr>
        <w:jc w:val="both"/>
        <w:ind w:right="580"/>
        <w:spacing w:after="0" w:line="311"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finance lease obligations approximates their carrying amounts based on anticipated interest rates which management believes would currently be available to the Company for similar issuances of debt.</w:t>
      </w:r>
    </w:p>
    <w:p>
      <w:pPr>
        <w:spacing w:after="0" w:line="14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3"/>
          <w:szCs w:val="13"/>
          <w:b w:val="1"/>
          <w:bCs w:val="1"/>
          <w:color w:val="auto"/>
        </w:rPr>
        <w:t>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Condensed Consolidated Balance Sheets include the following related to right-of-use ("ROU")</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316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6"/>
                <w:szCs w:val="16"/>
                <w:color w:val="auto"/>
              </w:rPr>
            </w:pPr>
          </w:p>
        </w:tc>
        <w:tc>
          <w:tcPr>
            <w:tcW w:w="1380" w:type="dxa"/>
            <w:vAlign w:val="bottom"/>
          </w:tcPr>
          <w:p>
            <w:pPr>
              <w:jc w:val="right"/>
              <w:ind w:right="94"/>
              <w:spacing w:after="0"/>
              <w:rPr>
                <w:sz w:val="20"/>
                <w:szCs w:val="20"/>
                <w:color w:val="auto"/>
              </w:rPr>
            </w:pPr>
            <w:r>
              <w:rPr>
                <w:rFonts w:ascii="Arial" w:cs="Arial" w:eastAsia="Arial" w:hAnsi="Arial"/>
                <w:sz w:val="14"/>
                <w:szCs w:val="14"/>
                <w:b w:val="1"/>
                <w:bCs w:val="1"/>
                <w:color w:val="auto"/>
                <w:w w:val="93"/>
              </w:rPr>
              <w:t>December 31, 2021</w:t>
            </w:r>
          </w:p>
        </w:tc>
      </w:tr>
      <w:tr>
        <w:trPr>
          <w:trHeight w:val="25"/>
        </w:trPr>
        <w:tc>
          <w:tcPr>
            <w:tcW w:w="4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ROU assets</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42,451</w:t>
            </w:r>
          </w:p>
        </w:tc>
      </w:tr>
      <w:tr>
        <w:trPr>
          <w:trHeight w:val="378"/>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5"/>
        </w:trPr>
        <w:tc>
          <w:tcPr>
            <w:tcW w:w="4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Accrued expenses and other current</w:t>
            </w: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43"/>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ROU - current</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w:t>
            </w:r>
          </w:p>
        </w:tc>
      </w:tr>
      <w:tr>
        <w:trPr>
          <w:trHeight w:val="230"/>
        </w:trPr>
        <w:tc>
          <w:tcPr>
            <w:tcW w:w="4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ROU liability - long-term</w:t>
            </w:r>
          </w:p>
        </w:tc>
        <w:tc>
          <w:tcPr>
            <w:tcW w:w="3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34,030</w:t>
            </w: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ROU liabilities</w:t>
            </w:r>
          </w:p>
        </w:tc>
        <w:tc>
          <w:tcPr>
            <w:tcW w:w="3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44,070</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Included within the balance of operating leases is a lease for the Company’s headquarters which is with a related party. The ROU liability for this facility was approximately $2.0 million and $2.9 million as of September 30, 2022 and December 31, 2021, respectively. Total rent payments for this facility were approximately $0.2 million and $0.3 million for the three months ended September 30, 2022 and September 30, 2021, respectively. Total rent payments for this facility were approximately $0.7 million and $1.0 million for the nine months ended September 30, 2022 and September 30, 2021, respectively. An agreement was reached with the related party to reduce rental payments by 12.5% for the lease of the Company’s headquarters, effective February 2022 as part of a voluntary reduction.</w:t>
      </w:r>
    </w:p>
    <w:p>
      <w:pPr>
        <w:spacing w:after="0" w:line="19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total ROU assets attributable to finance leases were approximately $12.7 million and $13.8 million as of September 30, 2022 and December 31, 2021, respectively, which is included in Property, plant, and equipment, net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8"/>
              </w:rPr>
              <w:t>Three months ended September 30,</w:t>
            </w:r>
          </w:p>
        </w:tc>
        <w:tc>
          <w:tcPr>
            <w:tcW w:w="140" w:type="dxa"/>
            <w:vAlign w:val="bottom"/>
          </w:tcPr>
          <w:p>
            <w:pPr>
              <w:spacing w:after="0"/>
              <w:rPr>
                <w:sz w:val="16"/>
                <w:szCs w:val="16"/>
                <w:color w:val="auto"/>
              </w:rPr>
            </w:pPr>
          </w:p>
        </w:tc>
        <w:tc>
          <w:tcPr>
            <w:tcW w:w="2820" w:type="dxa"/>
            <w:vAlign w:val="bottom"/>
            <w:gridSpan w:val="8"/>
          </w:tcPr>
          <w:p>
            <w:pPr>
              <w:ind w:left="3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3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Classification</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31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Arial" w:cs="Arial" w:eastAsia="Arial" w:hAnsi="Arial"/>
                <w:sz w:val="18"/>
                <w:szCs w:val="18"/>
                <w:color w:val="auto"/>
              </w:rPr>
              <w:t>Finance lease expense</w:t>
            </w:r>
          </w:p>
        </w:tc>
        <w:tc>
          <w:tcPr>
            <w:tcW w:w="3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Amortization of ROU</w:t>
            </w:r>
          </w:p>
        </w:tc>
        <w:tc>
          <w:tcPr>
            <w:tcW w:w="31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3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3,039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40" w:type="dxa"/>
            <w:vAlign w:val="bottom"/>
          </w:tcPr>
          <w:p>
            <w:pPr>
              <w:ind w:left="140"/>
              <w:spacing w:after="0" w:line="176" w:lineRule="exact"/>
              <w:rPr>
                <w:sz w:val="20"/>
                <w:szCs w:val="20"/>
                <w:color w:val="auto"/>
              </w:rPr>
            </w:pPr>
            <w:r>
              <w:rPr>
                <w:rFonts w:ascii="Arial" w:cs="Arial" w:eastAsia="Arial" w:hAnsi="Arial"/>
                <w:sz w:val="18"/>
                <w:szCs w:val="18"/>
                <w:color w:val="auto"/>
              </w:rPr>
              <w:t>Interest on lease</w:t>
            </w:r>
          </w:p>
        </w:tc>
        <w:tc>
          <w:tcPr>
            <w:tcW w:w="31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3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Operating lease expense</w:t>
            </w:r>
          </w:p>
        </w:tc>
        <w:tc>
          <w:tcPr>
            <w:tcW w:w="31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revenue; Selling, general &amp;</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spacing w:after="0"/>
              <w:rPr>
                <w:sz w:val="21"/>
                <w:szCs w:val="21"/>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3,239</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9,595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line="176" w:lineRule="exact"/>
              <w:rPr>
                <w:sz w:val="20"/>
                <w:szCs w:val="20"/>
                <w:color w:val="auto"/>
              </w:rPr>
            </w:pPr>
            <w:r>
              <w:rPr>
                <w:rFonts w:ascii="Arial" w:cs="Arial" w:eastAsia="Arial" w:hAnsi="Arial"/>
                <w:sz w:val="18"/>
                <w:szCs w:val="18"/>
                <w:color w:val="auto"/>
                <w:w w:val="97"/>
              </w:rPr>
              <w:t>Short-term lease expense</w:t>
            </w:r>
          </w:p>
        </w:tc>
        <w:tc>
          <w:tcPr>
            <w:tcW w:w="31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Cost of revenue; Selling, general &amp;</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administrative expenses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Variable lease expense</w:t>
            </w:r>
          </w:p>
        </w:tc>
        <w:tc>
          <w:tcPr>
            <w:tcW w:w="31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revenue; Selling, general &amp;</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spacing w:after="0"/>
              <w:rPr>
                <w:sz w:val="21"/>
                <w:szCs w:val="21"/>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w:t>
            </w: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1,619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Total</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4,957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14,751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gridSpan w:val="3"/>
            <w:vMerge w:val="restart"/>
          </w:tcPr>
          <w:p>
            <w:pPr>
              <w:spacing w:after="0"/>
              <w:rPr>
                <w:sz w:val="20"/>
                <w:szCs w:val="20"/>
                <w:color w:val="auto"/>
              </w:rPr>
            </w:pPr>
            <w:r>
              <w:rPr>
                <w:rFonts w:ascii="Arial" w:cs="Arial" w:eastAsia="Arial" w:hAnsi="Arial"/>
                <w:sz w:val="18"/>
                <w:szCs w:val="18"/>
                <w:color w:val="auto"/>
              </w:rPr>
              <w:t>Additional information related to leases was as follows:</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51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gridSpan w:val="8"/>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20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80" w:type="dxa"/>
            <w:vAlign w:val="bottom"/>
            <w:gridSpan w:val="8"/>
          </w:tcPr>
          <w:p>
            <w:pPr>
              <w:ind w:left="20"/>
              <w:spacing w:after="0"/>
              <w:rPr>
                <w:sz w:val="20"/>
                <w:szCs w:val="20"/>
                <w:color w:val="auto"/>
              </w:rPr>
            </w:pPr>
            <w:r>
              <w:rPr>
                <w:rFonts w:ascii="Arial" w:cs="Arial" w:eastAsia="Arial" w:hAnsi="Arial"/>
                <w:sz w:val="18"/>
                <w:szCs w:val="18"/>
                <w:color w:val="auto"/>
                <w:w w:val="94"/>
              </w:rPr>
              <w:t>Cash paid for amounts included in the measurement of lease liabilities for finance and operating leases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Finance - financing cash flows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gridSpan w:val="3"/>
          </w:tcPr>
          <w:p>
            <w:pPr>
              <w:ind w:left="300"/>
              <w:spacing w:after="0"/>
              <w:rPr>
                <w:sz w:val="20"/>
                <w:szCs w:val="20"/>
                <w:color w:val="auto"/>
              </w:rPr>
            </w:pPr>
            <w:r>
              <w:rPr>
                <w:rFonts w:ascii="Arial" w:cs="Arial" w:eastAsia="Arial" w:hAnsi="Arial"/>
                <w:sz w:val="18"/>
                <w:szCs w:val="18"/>
                <w:color w:val="auto"/>
              </w:rPr>
              <w:t>Finance - operating cash flows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463</w:t>
            </w: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Operating - operating cash flows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9,394</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9,870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ROU assets obtained in the exchange for lease liabilities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Finance leases</w:t>
            </w:r>
          </w:p>
        </w:tc>
        <w:tc>
          <w:tcPr>
            <w:tcW w:w="3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300"/>
              <w:spacing w:after="0"/>
              <w:rPr>
                <w:sz w:val="20"/>
                <w:szCs w:val="20"/>
                <w:color w:val="auto"/>
              </w:rPr>
            </w:pPr>
            <w:r>
              <w:rPr>
                <w:rFonts w:ascii="Arial" w:cs="Arial" w:eastAsia="Arial" w:hAnsi="Arial"/>
                <w:sz w:val="18"/>
                <w:szCs w:val="18"/>
                <w:color w:val="auto"/>
              </w:rPr>
              <w:t>Operating leases</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5,367</w:t>
            </w: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4,212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Finance leases</w:t>
            </w:r>
          </w:p>
        </w:tc>
        <w:tc>
          <w:tcPr>
            <w:tcW w:w="3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300"/>
              <w:spacing w:after="0"/>
              <w:rPr>
                <w:sz w:val="20"/>
                <w:szCs w:val="20"/>
                <w:color w:val="auto"/>
              </w:rPr>
            </w:pPr>
            <w:r>
              <w:rPr>
                <w:rFonts w:ascii="Arial" w:cs="Arial" w:eastAsia="Arial" w:hAnsi="Arial"/>
                <w:sz w:val="18"/>
                <w:szCs w:val="18"/>
                <w:color w:val="auto"/>
              </w:rPr>
              <w:t>Operating leases</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Weighted-average discount rate</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Finance leases</w:t>
            </w:r>
          </w:p>
        </w:tc>
        <w:tc>
          <w:tcPr>
            <w:tcW w:w="3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300"/>
              <w:spacing w:after="0"/>
              <w:rPr>
                <w:sz w:val="20"/>
                <w:szCs w:val="20"/>
                <w:color w:val="auto"/>
              </w:rPr>
            </w:pPr>
            <w:r>
              <w:rPr>
                <w:rFonts w:ascii="Arial" w:cs="Arial" w:eastAsia="Arial" w:hAnsi="Arial"/>
                <w:sz w:val="18"/>
                <w:szCs w:val="18"/>
                <w:color w:val="auto"/>
              </w:rPr>
              <w:t>Operating leases</w:t>
            </w: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September 30, 2022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Finance</w:t>
            </w:r>
          </w:p>
        </w:tc>
        <w:tc>
          <w:tcPr>
            <w:tcW w:w="280" w:type="dxa"/>
            <w:vAlign w:val="bottom"/>
          </w:tcPr>
          <w:p>
            <w:pPr>
              <w:spacing w:after="0"/>
              <w:rPr>
                <w:sz w:val="16"/>
                <w:szCs w:val="16"/>
                <w:color w:val="auto"/>
              </w:rPr>
            </w:pPr>
          </w:p>
        </w:tc>
        <w:tc>
          <w:tcPr>
            <w:tcW w:w="1240" w:type="dxa"/>
            <w:vAlign w:val="bottom"/>
          </w:tcPr>
          <w:p>
            <w:pPr>
              <w:jc w:val="right"/>
              <w:ind w:right="352"/>
              <w:spacing w:after="0"/>
              <w:rPr>
                <w:sz w:val="20"/>
                <w:szCs w:val="20"/>
                <w:color w:val="auto"/>
              </w:rPr>
            </w:pPr>
            <w:r>
              <w:rPr>
                <w:rFonts w:ascii="Arial" w:cs="Arial" w:eastAsia="Arial" w:hAnsi="Arial"/>
                <w:sz w:val="14"/>
                <w:szCs w:val="14"/>
                <w:b w:val="1"/>
                <w:bCs w:val="1"/>
                <w:color w:val="auto"/>
              </w:rPr>
              <w:t>Operating</w:t>
            </w:r>
          </w:p>
        </w:tc>
      </w:tr>
      <w:tr>
        <w:trPr>
          <w:trHeight w:val="26"/>
        </w:trPr>
        <w:tc>
          <w:tcPr>
            <w:tcW w:w="8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11,577</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6,941</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8,941</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44,966</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discount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5,785</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39,181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Government Investigations</w:t>
      </w:r>
    </w:p>
    <w:p>
      <w:pPr>
        <w:spacing w:after="0" w:line="27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is periodically involved in lawsuits, investigations and claims that arise in the ordinary course of business. The Company cannot predict with certainty the ultimate resolution of lawsuits, investigations and claims asserted against it. Except for possible losses from the matters described below, the Company does not believe that any currently pending or threatened legal proceeding to which the Company is or is likely to become a party will have a material adverse effect on its business, results of operations, cash flows or financial condition. The costs incurred by the Company to defend lawsuits, investigations and claims and amounts the Company pays to other parties because of these matters may be covered by insurance in some circumstances.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Commercial Claims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was contracted to perform inspections of welds on various pipeline projects in Texas for a customer. As of September 30, 2022, approximately $1.4 million of past due receivables were outstanding from this customer. The customer provided the Company with notice in December 2019, alleging that the Company’s inspection of 66 welds (out of approximately 16,000 welds inspected) were not in compliance with the contract, claimed approximately $7.6 million in damages, and requested that the Company pay these damages and any other damages incurred. The Company filed a lawsuit in the District Court of Bexar County, Texas, 37th Judicial District, in an action captioned Mistras Group, Inc. v. Epic Y-Grade Pipeline LP, to recover the $1.4 million and other amounts due to the Company. The customer filed a counterclaim, alleging breach of contract and seeking recovery of its alleged damages. The Company believes that any successful claim by the customer regarding the Company’s workmanship will be covered by insurance, subject to payment of a deductible. At this time, the Company is unable to determine whether it has any liability in connection with this matter and if so, the amount or range of any such liability. In the nine months ended September 30, 2022, the Company recorded a charge of $0.1 million for a potential loss from this matter. The Company recorded a reserve in the amount of $1.4 million during the twelve months ended December 31, 2019 for the past due receivables.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35"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 xml:space="preserve">Two proceedings have been filed in California Superior Court for the County of Los Angeles regarding alleged violations of the California Labor Code. Both cases are captioned </w:t>
      </w:r>
      <w:r>
        <w:rPr>
          <w:rFonts w:ascii="Arial" w:cs="Arial" w:eastAsia="Arial" w:hAnsi="Arial"/>
          <w:sz w:val="17"/>
          <w:szCs w:val="17"/>
          <w:i w:val="1"/>
          <w:iCs w:val="1"/>
          <w:color w:val="auto"/>
        </w:rPr>
        <w:t>Justin Price v. Mistras Group, Inc.</w:t>
      </w:r>
      <w:r>
        <w:rPr>
          <w:rFonts w:ascii="Arial" w:cs="Arial" w:eastAsia="Arial" w:hAnsi="Arial"/>
          <w:sz w:val="17"/>
          <w:szCs w:val="17"/>
          <w:color w:val="auto"/>
        </w:rPr>
        <w:t>, one being a purported class action lawsuit on behalf of current and former Mistras employees in California and the other was filed on behalf of the State of California under the California Private Attorney General Act on the basis of the same alleged violations. The two cases were consolidated and requested payment of all damages, including unpaid wages, and various fines and penalties available under California law. On May 4, 2021, the Company agreed to a settlement of all claims in the cases, which was more formally documented pursuant to a settlement agreement completed October 5, 2021, as amended as of May 3, 2022. Pursuant to the settlement, the Company agreed to pay $2.3 million to resolve the allegations in these proceedings and to be responsible for the employer portion of payroll taxes on the amount of the settlement allocated to wages. The settlement as agreed upon by the parties received final court approval on September 26, 2022, and the Company paid the settlement proceeds and related payroll taxes to the claims administrator in the fourth quarter of 2022. The Company recorded expense of approximately $1.6 million during the three months ended March 31, 2021 related to this settlement, which is in addition to expense of $0.8 million the Company recorded during the three months ended December 31, 2020.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Related Contingencies</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subsidiary of the Company had a significant reduction in its unionized workers in 2018. The collective bargaining agreements for the employees of this subsidiary required contributions for these employees to two national multi-employer pension funds. The reduction in employees resulted in the subsidiary incurring a complete withdrawal to one of the pension funds under the Employee Retirement Income Security Act of 1974 ("ERISA"), which was fully satisfied in 2019. The Company has determined that the subsidiary is likely to incur partial or complete withdrawal liability to the other pension fund. The balance of the estimated total amount of this potential liability as of September 30, 2022 is approximately $2.5 million, which was incurred in 2018 and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labor disputes</w:t>
      </w:r>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December 2019, the Company executed an agreement to sell the rights of certain customer "staff leasing" contracts related to its German subsidiary for total consideration of approximately $0.1 million, effective January 1, 2020. No other assets or liabilities other than those employee benefits related to employees working on the customer contracts were included in the sale. As of September 30, 2022, the Company has approximately $0.1 million of accrued estimated severance payment obligations, which takes into account the Company’s estimate with respect to the employees that have been or will be transitioned to the German subsidiaries' other customers. The $0.1 million of estimated obligations is net of $0.4 million in payments made and $1.0 million in reversals due to employees being transitioned to customer contracts.</w:t>
      </w:r>
    </w:p>
    <w:p>
      <w:pPr>
        <w:spacing w:after="0" w:line="2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was entitled to indemnification on certain labor claims from the sellers of a company acquired by its Brazilian subsidiary. The Company and the sellers entered into a settlement agreement for approximately $1.0 million, which provided for payment in two installments, the first for approximately 31% of the settlement and the second for the remaining 69%. The first installment in the amount of approximately $0.3 million was paid by the sellers in December 2020 and the Company recognized that amount as a gain in selling, general and administrative expenses in the same period. The remaining payment for $0.6 million was received in the first quarter of 2021 and the Company recognized that amount as a gain in selling, general and administrative expenses in the same period.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disposition related contingencies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is liable for contingent consideration in connection with certain of its acquisitions. As of September 30, 2022, total potential acquisition-related contingent consideration ranged from zero to approximately $1.9 million.</w:t>
      </w:r>
    </w:p>
    <w:p>
      <w:pPr>
        <w:spacing w:after="0" w:line="184"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During 2018, the Company sold a subsidiary in the Products and Systems segment. As part of the sale, the Company entered into a three-year agreement to purchase products from the buyer, with a cumulative commitment of $2.3 million. On August 3, 2021, the Company entered into an agreement and</w:t>
      </w:r>
    </w:p>
    <w:p>
      <w:pPr>
        <w:spacing w:after="0"/>
        <w:rPr>
          <w:sz w:val="20"/>
          <w:szCs w:val="20"/>
          <w:color w:val="auto"/>
        </w:rPr>
      </w:pPr>
      <w:r>
        <w:rPr>
          <w:rFonts w:ascii="Arial" w:cs="Arial" w:eastAsia="Arial" w:hAnsi="Arial"/>
          <w:sz w:val="18"/>
          <w:szCs w:val="18"/>
          <w:color w:val="auto"/>
        </w:rPr>
        <w:t>extended the period by twelve months</w:t>
      </w:r>
      <w:r>
        <w:rPr>
          <w:rFonts w:ascii="Arial" w:cs="Arial" w:eastAsia="Arial" w:hAnsi="Arial"/>
          <w:sz w:val="21"/>
          <w:szCs w:val="21"/>
          <w:color w:val="auto"/>
        </w:rPr>
        <w:t>.</w:t>
      </w:r>
      <w:r>
        <w:rPr>
          <w:rFonts w:ascii="Arial" w:cs="Arial" w:eastAsia="Arial" w:hAnsi="Arial"/>
          <w:sz w:val="18"/>
          <w:szCs w:val="18"/>
          <w:color w:val="auto"/>
        </w:rPr>
        <w:t xml:space="preserve"> As of September 30, 2022, the commitment was fully satisfied.</w:t>
      </w:r>
    </w:p>
    <w:p>
      <w:pPr>
        <w:spacing w:after="0" w:line="200" w:lineRule="exact"/>
        <w:rPr>
          <w:sz w:val="20"/>
          <w:szCs w:val="20"/>
          <w:color w:val="auto"/>
        </w:rPr>
      </w:pPr>
    </w:p>
    <w:p>
      <w:pPr>
        <w:spacing w:after="0" w:line="24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ind w:left="900" w:right="40" w:hanging="244"/>
        <w:spacing w:after="0" w:line="259" w:lineRule="auto"/>
        <w:tabs>
          <w:tab w:leader="none" w:pos="89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predominantly in North America, with the largest concentration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86" w:lineRule="exact"/>
        <w:rPr>
          <w:rFonts w:ascii="Arial" w:cs="Arial" w:eastAsia="Arial" w:hAnsi="Arial"/>
          <w:sz w:val="18"/>
          <w:szCs w:val="18"/>
          <w:i w:val="1"/>
          <w:iCs w:val="1"/>
          <w:color w:val="auto"/>
        </w:rPr>
      </w:pPr>
    </w:p>
    <w:p>
      <w:pPr>
        <w:ind w:left="900" w:right="180" w:hanging="244"/>
        <w:spacing w:after="0" w:line="263" w:lineRule="auto"/>
        <w:tabs>
          <w:tab w:leader="none" w:pos="89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other segments to select markets within Europe, the</w:t>
      </w:r>
      <w:r>
        <w:rPr>
          <w:rFonts w:ascii="Arial" w:cs="Arial" w:eastAsia="Arial" w:hAnsi="Arial"/>
          <w:sz w:val="18"/>
          <w:szCs w:val="18"/>
          <w:i w:val="1"/>
          <w:iCs w:val="1"/>
          <w:color w:val="auto"/>
        </w:rPr>
        <w:t xml:space="preserve"> </w:t>
      </w:r>
      <w:r>
        <w:rPr>
          <w:rFonts w:ascii="Arial" w:cs="Arial" w:eastAsia="Arial" w:hAnsi="Arial"/>
          <w:sz w:val="18"/>
          <w:szCs w:val="18"/>
          <w:color w:val="auto"/>
        </w:rPr>
        <w:t>Middle East, Africa, Asia and South America, but not to customers in China and South Korea, which are served by the Products and Systems segment.</w:t>
      </w:r>
    </w:p>
    <w:p>
      <w:pPr>
        <w:spacing w:after="0" w:line="183" w:lineRule="exact"/>
        <w:rPr>
          <w:rFonts w:ascii="Arial" w:cs="Arial" w:eastAsia="Arial" w:hAnsi="Arial"/>
          <w:sz w:val="18"/>
          <w:szCs w:val="18"/>
          <w:color w:val="auto"/>
        </w:rPr>
      </w:pPr>
    </w:p>
    <w:p>
      <w:pPr>
        <w:ind w:left="900" w:right="200" w:hanging="244"/>
        <w:spacing w:after="0" w:line="277" w:lineRule="auto"/>
        <w:tabs>
          <w:tab w:leader="none" w:pos="89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Costs incurred for general corporate services, including finance, legal, and certain other costs that are provided to the segments are reported within Corporate and eliminations. During the first quarter of 2022 the Company finalized a transfer pricing study which resulted in additional costs being allocated from Corporate to the operating segments with the majority of the costs allocated to the Services segment. These costs are reflected in operating income (loss) of each segment.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w:t>
      </w:r>
    </w:p>
    <w:p>
      <w:pPr>
        <w:spacing w:after="0" w:line="191" w:lineRule="exact"/>
        <w:rPr>
          <w:sz w:val="20"/>
          <w:szCs w:val="20"/>
          <w:color w:val="auto"/>
        </w:rPr>
      </w:pPr>
    </w:p>
    <w:p>
      <w:pPr>
        <w:ind w:right="20" w:firstLine="42"/>
        <w:spacing w:after="0" w:line="254" w:lineRule="auto"/>
        <w:rPr>
          <w:sz w:val="20"/>
          <w:szCs w:val="20"/>
          <w:color w:val="auto"/>
        </w:rPr>
      </w:pPr>
      <w:r>
        <w:rPr>
          <w:rFonts w:ascii="Arial" w:cs="Arial" w:eastAsia="Arial" w:hAnsi="Arial"/>
          <w:sz w:val="18"/>
          <w:szCs w:val="18"/>
          <w:color w:val="auto"/>
        </w:rPr>
        <w:t>The accounting policies of the reportable segments are the same as those described in Note 1</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Description of Business and Basis of Presentation</w:t>
      </w:r>
      <w:r>
        <w:rPr>
          <w:rFonts w:ascii="Arial" w:cs="Arial" w:eastAsia="Arial" w:hAnsi="Arial"/>
          <w:sz w:val="18"/>
          <w:szCs w:val="18"/>
          <w:color w:val="auto"/>
        </w:rPr>
        <w:t>. Segment income from operations is one of the primary performance measures used by the chief operating decision maker, to assess the performance of each segment and make resource allocation decisions. Certain general and administrative costs such as human resources, information technology and training are allocated to the segments. Segment income from operations excludes interest and other financial charges and income taxes. 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w:t>
      </w:r>
    </w:p>
    <w:p>
      <w:pPr>
        <w:spacing w:after="0" w:line="200" w:lineRule="exact"/>
        <w:rPr>
          <w:sz w:val="20"/>
          <w:szCs w:val="20"/>
          <w:color w:val="auto"/>
        </w:rPr>
      </w:pPr>
    </w:p>
    <w:p>
      <w:pPr>
        <w:spacing w:after="0" w:line="238"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Selected consolidated financial information by segment for the periods shown was as follows: (with intercompany transactions eliminated in Corporate and eliminations)</w:t>
      </w: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6"/>
          </w:tcPr>
          <w:p>
            <w:pPr>
              <w:jc w:val="right"/>
              <w:ind w:right="393"/>
              <w:spacing w:after="0"/>
              <w:rPr>
                <w:sz w:val="20"/>
                <w:szCs w:val="20"/>
                <w:color w:val="auto"/>
              </w:rPr>
            </w:pPr>
            <w:r>
              <w:rPr>
                <w:rFonts w:ascii="Arial" w:cs="Arial" w:eastAsia="Arial" w:hAnsi="Arial"/>
                <w:sz w:val="14"/>
                <w:szCs w:val="14"/>
                <w:b w:val="1"/>
                <w:bCs w:val="1"/>
                <w:color w:val="auto"/>
                <w:w w:val="97"/>
              </w:rPr>
              <w:t>Three months ended September 30,</w:t>
            </w:r>
          </w:p>
        </w:tc>
        <w:tc>
          <w:tcPr>
            <w:tcW w:w="360" w:type="dxa"/>
            <w:vAlign w:val="bottom"/>
          </w:tcPr>
          <w:p>
            <w:pPr>
              <w:spacing w:after="0"/>
              <w:rPr>
                <w:sz w:val="16"/>
                <w:szCs w:val="16"/>
                <w:color w:val="auto"/>
              </w:rPr>
            </w:pPr>
          </w:p>
        </w:tc>
        <w:tc>
          <w:tcPr>
            <w:tcW w:w="2860" w:type="dxa"/>
            <w:vAlign w:val="bottom"/>
            <w:gridSpan w:val="7"/>
          </w:tcPr>
          <w:p>
            <w:pPr>
              <w:ind w:left="180"/>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216"/>
        </w:trPr>
        <w:tc>
          <w:tcPr>
            <w:tcW w:w="40" w:type="dxa"/>
            <w:vAlign w:val="bottom"/>
          </w:tcPr>
          <w:p>
            <w:pPr>
              <w:spacing w:after="0"/>
              <w:rPr>
                <w:sz w:val="18"/>
                <w:szCs w:val="18"/>
                <w:color w:val="auto"/>
              </w:rPr>
            </w:pPr>
          </w:p>
        </w:tc>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152,778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144,976</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435,251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414,251</w:t>
            </w:r>
          </w:p>
        </w:tc>
        <w:tc>
          <w:tcPr>
            <w:tcW w:w="6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25,693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29,100</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83,441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88,699</w:t>
            </w:r>
          </w:p>
        </w:tc>
        <w:tc>
          <w:tcPr>
            <w:tcW w:w="6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9,499</w:t>
            </w:r>
          </w:p>
        </w:tc>
        <w:tc>
          <w:tcPr>
            <w:tcW w:w="6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(6,481)</w:t>
            </w:r>
          </w:p>
        </w:tc>
        <w:tc>
          <w:tcPr>
            <w:tcW w:w="6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178,462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174,556</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519,155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505,968</w:t>
            </w:r>
          </w:p>
        </w:tc>
        <w:tc>
          <w:tcPr>
            <w:tcW w:w="6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6"/>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6"/>
          </w:tcPr>
          <w:p>
            <w:pPr>
              <w:jc w:val="right"/>
              <w:ind w:right="353"/>
              <w:spacing w:after="0"/>
              <w:rPr>
                <w:sz w:val="20"/>
                <w:szCs w:val="20"/>
                <w:color w:val="auto"/>
              </w:rPr>
            </w:pPr>
            <w:r>
              <w:rPr>
                <w:rFonts w:ascii="Arial" w:cs="Arial" w:eastAsia="Arial" w:hAnsi="Arial"/>
                <w:sz w:val="14"/>
                <w:szCs w:val="14"/>
                <w:b w:val="1"/>
                <w:bCs w:val="1"/>
                <w:color w:val="auto"/>
                <w:w w:val="99"/>
              </w:rPr>
              <w:t>Three months ended September 30,</w:t>
            </w:r>
          </w:p>
        </w:tc>
        <w:tc>
          <w:tcPr>
            <w:tcW w:w="360" w:type="dxa"/>
            <w:vAlign w:val="bottom"/>
          </w:tcPr>
          <w:p>
            <w:pPr>
              <w:spacing w:after="0"/>
              <w:rPr>
                <w:sz w:val="24"/>
                <w:szCs w:val="24"/>
                <w:color w:val="auto"/>
              </w:rPr>
            </w:pPr>
          </w:p>
        </w:tc>
        <w:tc>
          <w:tcPr>
            <w:tcW w:w="2860" w:type="dxa"/>
            <w:vAlign w:val="bottom"/>
            <w:gridSpan w:val="7"/>
          </w:tcPr>
          <w:p>
            <w:pPr>
              <w:ind w:left="220"/>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0"/>
        </w:trPr>
        <w:tc>
          <w:tcPr>
            <w:tcW w:w="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216"/>
        </w:trPr>
        <w:tc>
          <w:tcPr>
            <w:tcW w:w="40" w:type="dxa"/>
            <w:vAlign w:val="bottom"/>
          </w:tcPr>
          <w:p>
            <w:pPr>
              <w:spacing w:after="0"/>
              <w:rPr>
                <w:sz w:val="18"/>
                <w:szCs w:val="18"/>
                <w:color w:val="auto"/>
              </w:rPr>
            </w:pPr>
          </w:p>
        </w:tc>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118,348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116,587</w:t>
            </w:r>
          </w:p>
        </w:tc>
        <w:tc>
          <w:tcPr>
            <w:tcW w:w="60" w:type="dxa"/>
            <w:vAlign w:val="bottom"/>
            <w:tcBorders>
              <w:left w:val="single" w:sz="8" w:color="CCEEFF"/>
            </w:tcBorders>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7,694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9,038</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26,278</w:t>
            </w:r>
          </w:p>
        </w:tc>
        <w:tc>
          <w:tcPr>
            <w:tcW w:w="6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60" w:type="dxa"/>
            <w:vAlign w:val="bottom"/>
            <w:tcBorders>
              <w:left w:val="single" w:sz="8" w:color="CCEEFF"/>
            </w:tcBorders>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53,784</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52,216</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147,233</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147,553</w:t>
            </w:r>
          </w:p>
        </w:tc>
        <w:tc>
          <w:tcPr>
            <w:tcW w:w="60" w:type="dxa"/>
            <w:vAlign w:val="bottom"/>
            <w:tcBorders>
              <w:left w:val="single" w:sz="8" w:color="CCEEFF"/>
            </w:tcBorders>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79"/>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ind w:left="34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 by operating segment includes intercompany transactions, which are eliminated in Corporate and eliminations.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40" w:type="dxa"/>
            <w:vAlign w:val="bottom"/>
            <w:gridSpan w:val="7"/>
          </w:tcPr>
          <w:p>
            <w:pPr>
              <w:jc w:val="right"/>
              <w:ind w:right="413"/>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3040" w:type="dxa"/>
            <w:vAlign w:val="bottom"/>
            <w:gridSpan w:val="8"/>
          </w:tcPr>
          <w:p>
            <w:pPr>
              <w:ind w:left="3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0" w:type="dxa"/>
            <w:vAlign w:val="bottom"/>
            <w:shd w:val="clear" w:color="auto" w:fill="CCEEFF"/>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960" w:type="dxa"/>
            <w:vAlign w:val="bottom"/>
            <w:gridSpan w:val="2"/>
            <w:shd w:val="clear" w:color="auto" w:fill="CCEEFF"/>
          </w:tcPr>
          <w:p>
            <w:pPr>
              <w:jc w:val="right"/>
              <w:ind w:right="764"/>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1,169</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shd w:val="clear" w:color="auto" w:fill="CCEEFF"/>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 and Systems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(8,067)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(7,737)</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76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2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140" w:type="dxa"/>
            <w:vAlign w:val="bottom"/>
            <w:gridSpan w:val="7"/>
          </w:tcPr>
          <w:p>
            <w:pPr>
              <w:jc w:val="right"/>
              <w:ind w:right="393"/>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23"/>
                <w:szCs w:val="23"/>
                <w:color w:val="auto"/>
              </w:rPr>
            </w:pPr>
          </w:p>
        </w:tc>
        <w:tc>
          <w:tcPr>
            <w:tcW w:w="3040" w:type="dxa"/>
            <w:vAlign w:val="bottom"/>
            <w:gridSpan w:val="8"/>
          </w:tcPr>
          <w:p>
            <w:pPr>
              <w:ind w:left="4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960" w:type="dxa"/>
            <w:vAlign w:val="bottom"/>
            <w:gridSpan w:val="2"/>
            <w:shd w:val="clear" w:color="auto" w:fill="CCEEFF"/>
          </w:tcPr>
          <w:p>
            <w:pPr>
              <w:jc w:val="right"/>
              <w:ind w:right="74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18,517</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2,167</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25,705</w:t>
            </w:r>
          </w:p>
        </w:tc>
        <w:tc>
          <w:tcPr>
            <w:tcW w:w="40" w:type="dxa"/>
            <w:vAlign w:val="bottom"/>
            <w:tcBorders>
              <w:left w:val="single" w:sz="8" w:color="CCEEFF"/>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September 30, 2022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6"/>
        </w:trPr>
        <w:tc>
          <w:tcPr>
            <w:tcW w:w="4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Intangible assets, net</w:t>
            </w: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0" w:type="dxa"/>
            <w:vAlign w:val="bottom"/>
            <w:shd w:val="clear" w:color="auto" w:fill="CCEEFF"/>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51,862</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 and Systems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59,381</w:t>
            </w: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September 30, 2022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5"/>
        </w:trPr>
        <w:tc>
          <w:tcPr>
            <w:tcW w:w="4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Total assets</w:t>
            </w: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424,058</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94,153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111,619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shd w:val="clear" w:color="auto" w:fill="CCEEFF"/>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 and Systems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562,195</w:t>
            </w: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color w:val="auto"/>
        </w:rPr>
        <w:t xml:space="preserve"> for revenue by geographic area for the three and nine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Management’s Discussion and Analysis (“MD&amp;A”) provides a discussion of our results of operations and financial position for the three and nine months ended September 30, 2022 and 2021. The MD&amp;A should be read together with our Unaudited Condensed Consolidated Financial Statements and related notes included in Item 1 in this Quarterly Report on Form 10-Q and our audited consolidated financial statements and related notes included in our Annual Report on Form 10-K for the year ended December 31, 2021, filed with the Securities and Exchange Commission on March 14, 2022 (“2021 Annual Report”). Unless otherwise specified or the context otherwise requires, “Mistras,” “the Company,” “we,” “us” and “our” refer to Mistras Group, Inc. and its consolidated subsidiaries. The MD&amp;A includes the following sections:</w:t>
      </w:r>
    </w:p>
    <w:p>
      <w:pPr>
        <w:spacing w:after="0" w:line="17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Overview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Note about Non-GAAP Measures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This report on Form 10-Q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2021 Annual Report as well as those discussed in this Quarterly Report on Form 10-Q and in our other filings with the SEC.</w:t>
      </w:r>
    </w:p>
    <w:p>
      <w:pPr>
        <w:spacing w:after="0" w:line="17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While the Company's business and operations were negatively impacted the past several years by the COVID-19 pandemic, at the time of this report, the effects of the COVID-19 pandemic have to a large degree subsided, and the Company has begun approaching pre-pandemic levels of activity in certain end markets, particularly oil and gas.</w:t>
      </w:r>
    </w:p>
    <w:p>
      <w:pPr>
        <w:spacing w:after="0" w:line="209" w:lineRule="exact"/>
        <w:rPr>
          <w:sz w:val="20"/>
          <w:szCs w:val="20"/>
          <w:color w:val="auto"/>
        </w:rPr>
      </w:pPr>
    </w:p>
    <w:p>
      <w:pPr>
        <w:ind w:right="340"/>
        <w:spacing w:after="0" w:line="243" w:lineRule="auto"/>
        <w:rPr>
          <w:sz w:val="20"/>
          <w:szCs w:val="20"/>
          <w:color w:val="auto"/>
        </w:rPr>
      </w:pPr>
      <w:r>
        <w:rPr>
          <w:rFonts w:ascii="Arial" w:cs="Arial" w:eastAsia="Arial" w:hAnsi="Arial"/>
          <w:sz w:val="18"/>
          <w:szCs w:val="18"/>
          <w:color w:val="auto"/>
        </w:rPr>
        <w:t>The Company is currently unable to predict with certainty the effect that inflationary pressures and the Russian-Ukrainian conflict may have on the Company's business, results of operations or liquidity or in other ways which the Company cannot yet determine. To date, the Company’s European operations have begun to see increased costs associated with higher energy costs, among others, due in part to the on-going conflict. The Company will continue to monitor market conditions and respond accordingly.</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is a leading “one source” multinational provider of integrated technology-enabled asset protection solutions helping to maximize the safety and operational uptime for civilization’s most critical industrial and civil assets.</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Backed by an innovative, data-driven asset protection portfolio, proprietary technologies, strong commitment to Environmental, Social, and Governance (ESG) initiatives and decades-long legacy of industry leadership, the Company helps clients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power our society; inspecting components that are trusted for commercial, defense, and space craft; and building real-time monitoring systems to help avoid catastrophic incidents, the Company helps the world at large.</w:t>
      </w:r>
    </w:p>
    <w:p>
      <w:pPr>
        <w:spacing w:after="0" w:line="184"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Company enhances value for its clients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 for the benefit of its customers.</w:t>
      </w:r>
    </w:p>
    <w:p>
      <w:pPr>
        <w:spacing w:after="0" w:line="20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three reportable segments: Services, International, and Products and Systems.</w:t>
      </w:r>
    </w:p>
    <w:p>
      <w:pPr>
        <w:spacing w:after="0" w:line="63" w:lineRule="exact"/>
        <w:rPr>
          <w:sz w:val="20"/>
          <w:szCs w:val="20"/>
          <w:color w:val="auto"/>
        </w:rPr>
      </w:pPr>
    </w:p>
    <w:p>
      <w:pPr>
        <w:ind w:left="660" w:right="300" w:hanging="328"/>
        <w:spacing w:after="0" w:line="249" w:lineRule="auto"/>
        <w:tabs>
          <w:tab w:leader="none" w:pos="65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predominantly in North America, with the largest concentration in the United States, followed by</w:t>
      </w:r>
      <w:r>
        <w:rPr>
          <w:rFonts w:ascii="Arial" w:cs="Arial" w:eastAsia="Arial" w:hAnsi="Arial"/>
          <w:sz w:val="18"/>
          <w:szCs w:val="18"/>
          <w:i w:val="1"/>
          <w:iCs w:val="1"/>
          <w:color w:val="auto"/>
        </w:rPr>
        <w:t xml:space="preserve"> </w:t>
      </w:r>
      <w:r>
        <w:rPr>
          <w:rFonts w:ascii="Arial" w:cs="Arial" w:eastAsia="Arial" w:hAnsi="Arial"/>
          <w:sz w:val="18"/>
          <w:szCs w:val="18"/>
          <w:color w:val="auto"/>
        </w:rPr>
        <w:t>Canada, consisting primarily of NDT, inspection, mechanical and engineering services that are used to evaluate the structural integrity and reliability of critical energy, industrial and public infrastructure and commercial aerospace components. Software, digital and data services are included in this segment.</w:t>
      </w:r>
    </w:p>
    <w:p>
      <w:pPr>
        <w:spacing w:after="0" w:line="18" w:lineRule="exact"/>
        <w:rPr>
          <w:rFonts w:ascii="Arial" w:cs="Arial" w:eastAsia="Arial" w:hAnsi="Arial"/>
          <w:sz w:val="18"/>
          <w:szCs w:val="18"/>
          <w:i w:val="1"/>
          <w:iCs w:val="1"/>
          <w:color w:val="auto"/>
        </w:rPr>
      </w:pPr>
    </w:p>
    <w:p>
      <w:pPr>
        <w:ind w:left="660" w:hanging="328"/>
        <w:spacing w:after="0" w:line="298"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offers services, products and systems similar to those of the other segments to select markets within Europe, the Middle East, Africa,</w:t>
      </w:r>
      <w:r>
        <w:rPr>
          <w:rFonts w:ascii="Arial" w:cs="Arial" w:eastAsia="Arial" w:hAnsi="Arial"/>
          <w:sz w:val="17"/>
          <w:szCs w:val="17"/>
          <w:i w:val="1"/>
          <w:iCs w:val="1"/>
          <w:color w:val="auto"/>
        </w:rPr>
        <w:t xml:space="preserve"> </w:t>
      </w:r>
      <w:r>
        <w:rPr>
          <w:rFonts w:ascii="Arial" w:cs="Arial" w:eastAsia="Arial" w:hAnsi="Arial"/>
          <w:sz w:val="17"/>
          <w:szCs w:val="17"/>
          <w:color w:val="auto"/>
        </w:rPr>
        <w:t>Asia and South America, but not to customers in China and South Korea, which are served by the Products and Systems segment.</w:t>
      </w:r>
    </w:p>
    <w:p>
      <w:pPr>
        <w:ind w:left="660" w:right="74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instrumentation, predominantly in the United States.</w:t>
      </w:r>
    </w:p>
    <w:p>
      <w:pPr>
        <w:spacing w:after="0" w:line="19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in the oil and gas, aerospace and defense, industrials, power generation and transmission (including alternative and renewable energy), other process industries and infrastructure, research and engineering and other industries.</w:t>
      </w:r>
    </w:p>
    <w:p>
      <w:pPr>
        <w:spacing w:after="0" w:line="19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will enhance our advantages over our competition.</w:t>
      </w:r>
    </w:p>
    <w:p>
      <w:pPr>
        <w:spacing w:after="0" w:line="19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believe long-term growth can be realized in our target markets. Our level of business and financial results are impacted by world-wide macro- and micro-economic conditions generally, as well as those within our target markets. Among other things, we expect the timing of our oil and gas customers inspection spend to be impacted by oil price fluctuations.</w:t>
      </w:r>
    </w:p>
    <w:p>
      <w:pPr>
        <w:spacing w:after="0" w:line="211"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We have continued providing our customers with an innovative asset protection software ecosystem through our MISTRAS OneSuite platform. The software platform offers functions of MISTRAS' popular software and services brands as integrated apps on a cloud environment. OneSuite serves as a single access portal for customers' data activities and provides access to 85 plus applications being offered on one centralized platform.</w:t>
      </w:r>
    </w:p>
    <w:p>
      <w:pPr>
        <w:spacing w:after="0" w:line="17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have continued to develop new technologies to provide monitoring of wind blade integrity through our Sensoria™ tool. Sensoria helps provide real-time monitoring and damage detection of wind turbine blades and allows our customers to maximize uptime, performance and safety of wind turbine blades. This tool provides additional growth and expansion of our</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capabilities to serve both new and existing wind turbines and greatly enhances our product offerings within the renewable energy industry.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3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Throughout 2022, conditions have continued to improve related to the COVID-19 coronavirus (COVID-19) pandemic in domestic and international markets and operations are approaching pre-pandemic levels of activity.</w:t>
      </w:r>
    </w:p>
    <w:p>
      <w:pPr>
        <w:spacing w:after="0" w:line="238"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The Company has eliminated substantially all of the cost reduction initiatives undertaken in 2020, including re-installing of the savings plan employer match and increasing wages back to pre-pandemic l. Our cash position and liquidity remains strong. As of September 30, 2022, the cash balance was approximately $18.1 million.</w:t>
      </w:r>
    </w:p>
    <w:p>
      <w:pPr>
        <w:spacing w:after="0" w:line="19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April 2021, the Biden Administration announced aggressive initiatives to battle climate change, which includes a significant reduction in the use of fossil fuels and a transition to electric vehicles and increased use of alternative energy. Any legislation or regulations that may be adopted to implement these measures may negatively impact our customers in the oil and gas market over the long-term, which presently is our largest market, although this initiative will likely benefit the alternative energy market, such as wind energy, for which we provide products and services. At this time, it is difficult to determine the magnitude and timing of the impact that climate change initiatives and legislation, if any, will have on these markets and the resulting impact on our business and operational results.</w:t>
      </w:r>
    </w:p>
    <w:p>
      <w:pPr>
        <w:spacing w:after="0" w:line="21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are currently unable to predict the overall impact that the volatility in oil prices and climate change initiatives to reduce the use of fossil fuels may have on our business, results of operations, liquidity or in other ways which we cannot yet determine.</w:t>
      </w:r>
    </w:p>
    <w:p>
      <w:pPr>
        <w:spacing w:after="0" w:line="211"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The Company is currently unable to predict with certainty the overall impact that the factors discussed above and the effect of the Russian-Ukrainian conflict may have on its business, results of operations or liquidity or in other ways which the Company cannot yet determine. To date, the Company’s European operations have begun to see increased costs associated with higher energy costs, among others, due in part to the Russian-Ukrainian conflict. The Company will continue to monitor market conditions and respond accordingly. Refer to Item 1A. Risk Factors in Part I of our 2021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prepares its consolidated financial statements in accordance with U.S. GAAP. In this MD&amp;A under the heading "Income (loss) from Operations", the non-GAAP financial performance measure "Income (loss) before special items” is used for each of our three operating segments, the Corporate segment and the "Total Company", with tables reconciling the measure to a financial measure under GAAP. This presentation excludes from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our or any individual segment's core business operations. The acquisition related costs and special items can be a net expense or credit in any given period. Our management uses this non-GAAP measure as a measure of operating performance and liquidity to assist in comparing performance from period to period on a consistent basis, as a measure for planning and forecasting overall expectations and for evaluating actual results against such expectations. We believe investors and other users of our financial statements benefit from the presentation of this non-GAAP measure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the reported GAAP financial performance and/or necessarily comparable to the non-GAAP financial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results of operations for the three and nine months ended September 30, 2022 and 2021 were as follows: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6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44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178,462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174,556</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519,155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505,968</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53,784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52,216</w:t>
            </w:r>
          </w:p>
        </w:tc>
        <w:tc>
          <w:tcPr>
            <w:tcW w:w="3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147,233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147,553</w:t>
            </w: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Gross profit as a % of Revenue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29.9 %</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29.2 %</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9,114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9,236</w:t>
            </w:r>
          </w:p>
        </w:tc>
        <w:tc>
          <w:tcPr>
            <w:tcW w:w="3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13,991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15,864</w:t>
            </w:r>
          </w:p>
        </w:tc>
      </w:tr>
      <w:tr>
        <w:trPr>
          <w:trHeight w:val="229"/>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Income from Operations as a % of Revenue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5.3 %</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3.1 %</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3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6,379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6,910</w:t>
            </w:r>
          </w:p>
        </w:tc>
        <w:tc>
          <w:tcPr>
            <w:tcW w:w="3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7,201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7,170</w:t>
            </w: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4,394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3,397</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3,983</w:t>
            </w:r>
          </w:p>
        </w:tc>
      </w:tr>
      <w:tr>
        <w:trPr>
          <w:trHeight w:val="234"/>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Mistras Group, Inc.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4,373</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3,380</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3,955</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Revenue was $178.5 million for the three months ended September 30, 2022, an increase of $3.9 million, or 2.2%, compared with the three months ended September 30, 2021. Revenue for the nine months ended September 30, 2022 was $519.2 million, an increase of $13.2 million, or 2.6%, compared with the nine months ended September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 by segment for the three and nine months ended September 30, 2022 and 2021 was as follows: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w w:val="99"/>
              </w:rPr>
              <w:t>Three months ended September 30,</w:t>
            </w:r>
          </w:p>
        </w:tc>
        <w:tc>
          <w:tcPr>
            <w:tcW w:w="320" w:type="dxa"/>
            <w:vAlign w:val="bottom"/>
          </w:tcPr>
          <w:p>
            <w:pPr>
              <w:spacing w:after="0"/>
              <w:rPr>
                <w:sz w:val="16"/>
                <w:szCs w:val="16"/>
                <w:color w:val="auto"/>
              </w:rPr>
            </w:pPr>
          </w:p>
        </w:tc>
        <w:tc>
          <w:tcPr>
            <w:tcW w:w="284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144,976</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414,251</w:t>
            </w: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29,100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83,441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88,699</w:t>
            </w: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9,499</w:t>
            </w:r>
          </w:p>
        </w:tc>
      </w:tr>
      <w:tr>
        <w:trPr>
          <w:trHeight w:val="229"/>
        </w:trPr>
        <w:tc>
          <w:tcPr>
            <w:tcW w:w="4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(6,481)</w:t>
            </w:r>
          </w:p>
        </w:tc>
      </w:tr>
      <w:tr>
        <w:trPr>
          <w:trHeight w:val="248"/>
        </w:trPr>
        <w:tc>
          <w:tcPr>
            <w:tcW w:w="4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174,556</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505,968</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39"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In the three months ended September 30, 2022, total revenue increased 2.2% versus the prior year comparable period due predominantly to a mid single-digit organic increase. Services segment revenue increased 5.4% due to single-digit organic growth and International segment revenue decreased (11.7)%, due predominantly to low double-digit unfavorable impact of foreign exchange rates which was partially offset by low single-digit organic growth. Products and Systems segment revenue decreased by $0.2 million, due to decreased sales volume as compared to the prior period.</w:t>
      </w:r>
    </w:p>
    <w:p>
      <w:pPr>
        <w:spacing w:after="0" w:line="19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Oil and gas customer revenue comprised approximately 54% and 53% of total revenue for the three months ended September 30, 2022 and 2021, respectively. Aerospace and defense customer revenue comprised approximately 12% and 10% of total revenue for the three months ended September 30, 2022 and 2021, respectively. The Company’s top ten customers comprised approximately 32% of total revenue for the three months ended September 30, 2022 and 2021, with no customer accounting for 10% or more of total revenue in either three-month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39"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In the nine months ended September 30, 2022, total revenue increased 2.6% versus the comparable prior period, due primarily to organic growth in our core business, partially offset by an unfavorable revenue impact from foreign exchange rates. Our Services segment revenue increased 5.1% due predominantly to continued recovery in the Oil &amp; Gas and Aerospace &amp; Defense</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54"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markets. International segment revenue decreased (5.9)% due to a low double-digit unfavorable revenue impact from foreign exchange rates which was partially offset by mid single-digit favorable organic growth. Products and Systems segment revenue decreased by $(0.8) million, due to decreased sales volume as compared to the prior period.</w:t>
      </w:r>
    </w:p>
    <w:p>
      <w:pPr>
        <w:spacing w:after="0" w:line="22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Oil and gas customer revenue comprised approximately 56% and 54% of total revenue for the nine months ended September 30, 2022 and 2021, respectively. Aerospace and defense customer revenue comprised approximately 12% and 10% of total revenue for the nine months ended September 30, 2022 and 2021, respectively. The Company’s top ten customers comprised approximately 33% of total revenue for the nine months ended September 30, 2022 and 2021, with no customer accounting for 10% or more of total revenue in either nine-month period.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324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2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49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9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Oil and Gas Revenue by sub-category</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Upstream</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36,328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102,923</w:t>
            </w: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Midstream</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28,925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86,781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82,467</w:t>
            </w:r>
          </w:p>
        </w:tc>
      </w:tr>
      <w:tr>
        <w:trPr>
          <w:trHeight w:val="229"/>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Downstream</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31,778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89,849</w:t>
            </w: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97,031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92,452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292,519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275,239</w:t>
            </w:r>
          </w:p>
        </w:tc>
      </w:tr>
      <w:tr>
        <w:trPr>
          <w:trHeight w:val="20"/>
        </w:trPr>
        <w:tc>
          <w:tcPr>
            <w:tcW w:w="4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Oil and gas upstream customer revenue increased approximately $3.5 million, or 11% for the three months ended September 30, 2022 as compared to the three months ended September 30, 2021 and $14.5 million, or 14%, for the nine months ended September 30, 2022 as compared to the nine months ended September 30, 2021, due to continued market share gains and expanded exploration operations for both instances, as compared to the prior period.</w:t>
      </w:r>
    </w:p>
    <w:p>
      <w:pPr>
        <w:spacing w:after="0" w:line="176"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Midstream customer revenues decreased $(1.3) million, or (4)% for the three months ended September 30, 2022 as compared to the three months ended September 30, 2021 due to reduced inspections services and increased approximately $4.3 million, or 5%, for the nine months ended September 30, 2022 as compared to the nine months ended September 30, 2021, due to increased pipe inspection services performed as compared to the prior year.</w:t>
      </w:r>
    </w:p>
    <w:p>
      <w:pPr>
        <w:spacing w:after="0" w:line="17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Downstream customer revenue increased $2.4 million, or 8% for the three months ended September 30, 2022 as compared to the three months ended September 30, 2021 primarily due to timing and an increase in turnarounds during the current year, and decreased $(1.5) million, or (2)%, for the nine months ended September 30, 2022 as compared to the nine months ended September 30, 2021 due to delays in timing associated with customer turnarounds.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Gross profit increased by $1.6 million, or 3.0%, in the three months ended September 30, 2022 versus the prior year comparable period, on an increase in revenue of 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Gross profit decreased by $(0.3) million, or (0.2)%, in the nine months ended September 30, 2022 on an increase in revenue of 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three and nine months ended September 30, 2022 and 2021 was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32"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298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9"/>
        </w:trPr>
        <w:tc>
          <w:tcPr>
            <w:tcW w:w="4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44,869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41,749</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118,348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116,587</w:t>
            </w:r>
          </w:p>
        </w:tc>
      </w:tr>
      <w:tr>
        <w:trPr>
          <w:trHeight w:val="229"/>
        </w:trPr>
        <w:tc>
          <w:tcPr>
            <w:tcW w:w="4420" w:type="dxa"/>
            <w:vAlign w:val="bottom"/>
          </w:tcPr>
          <w:p>
            <w:pPr>
              <w:ind w:left="280"/>
              <w:spacing w:after="0"/>
              <w:rPr>
                <w:sz w:val="20"/>
                <w:szCs w:val="20"/>
                <w:color w:val="auto"/>
              </w:rPr>
            </w:pPr>
            <w:r>
              <w:rPr>
                <w:rFonts w:ascii="Arial" w:cs="Arial" w:eastAsia="Arial" w:hAnsi="Arial"/>
                <w:sz w:val="18"/>
                <w:szCs w:val="18"/>
                <w:i w:val="1"/>
                <w:iCs w:val="1"/>
                <w:color w:val="auto"/>
              </w:rPr>
              <w:t>% of segment revenue</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29.4 %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28.8 %</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27.2 %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28.1 %</w:t>
            </w: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7,694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9,038</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25,324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26,278</w:t>
            </w:r>
          </w:p>
        </w:tc>
      </w:tr>
      <w:tr>
        <w:trPr>
          <w:trHeight w:val="230"/>
        </w:trPr>
        <w:tc>
          <w:tcPr>
            <w:tcW w:w="4420" w:type="dxa"/>
            <w:vAlign w:val="bottom"/>
          </w:tcPr>
          <w:p>
            <w:pPr>
              <w:ind w:left="280"/>
              <w:spacing w:after="0"/>
              <w:rPr>
                <w:sz w:val="20"/>
                <w:szCs w:val="20"/>
                <w:color w:val="auto"/>
              </w:rPr>
            </w:pPr>
            <w:r>
              <w:rPr>
                <w:rFonts w:ascii="Arial" w:cs="Arial" w:eastAsia="Arial" w:hAnsi="Arial"/>
                <w:sz w:val="18"/>
                <w:szCs w:val="18"/>
                <w:i w:val="1"/>
                <w:iCs w:val="1"/>
                <w:color w:val="auto"/>
              </w:rPr>
              <w:t>% of segment revenue</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29.9 %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31.1 %</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30.3 %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29.6 %</w:t>
            </w: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1,422</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3,514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4,655</w:t>
            </w:r>
          </w:p>
        </w:tc>
      </w:tr>
      <w:tr>
        <w:trPr>
          <w:trHeight w:val="229"/>
        </w:trPr>
        <w:tc>
          <w:tcPr>
            <w:tcW w:w="4420" w:type="dxa"/>
            <w:vAlign w:val="bottom"/>
          </w:tcPr>
          <w:p>
            <w:pPr>
              <w:ind w:left="280"/>
              <w:spacing w:after="0"/>
              <w:rPr>
                <w:sz w:val="20"/>
                <w:szCs w:val="20"/>
                <w:color w:val="auto"/>
              </w:rPr>
            </w:pPr>
            <w:r>
              <w:rPr>
                <w:rFonts w:ascii="Arial" w:cs="Arial" w:eastAsia="Arial" w:hAnsi="Arial"/>
                <w:sz w:val="18"/>
                <w:szCs w:val="18"/>
                <w:i w:val="1"/>
                <w:iCs w:val="1"/>
                <w:color w:val="auto"/>
              </w:rPr>
              <w:t>% of segment revenue</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38.6 %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43.0 %</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40.5 %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49.0 %</w:t>
            </w: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33</w:t>
            </w:r>
          </w:p>
        </w:tc>
      </w:tr>
      <w:tr>
        <w:trPr>
          <w:trHeight w:val="223"/>
        </w:trPr>
        <w:tc>
          <w:tcPr>
            <w:tcW w:w="44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53,784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52,216</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147,233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147,553</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442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 of total revenue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30.1 %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29.9 %</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28.4 %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29.2 %</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3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Gross profit margin was 30.1% and 29.9% for the three-month periods ended September 30, 2022 and 2021, respectively. Services segment realized a 0.6% increase in gross profit margin to 29.4% during the three months ended September 30, 2022. This was primarily due to better sales mix as compared to the prior period. International segment realized a (1.2)% decrease in gross profit margin to 29.9% during the three months ended September 30, 2022 due to inflationary impacts prevalent in the European region, partially offset by favorable sales mix and price increases in response to these inflationary impacts. Products and Systems segment gross margin decreased (4.4)% to 38.6% during the three months ended September, 2022 due to unfavorable sales mix and higher costs.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5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Gross profit margin was 28.4% and 29.2% for the nine months ended September 30, 2022 and 2021, respectively. Gross profit margin decreased primarily due to higher benefit costs, increased costs due to inflation and the end of government wage subsidies received in Canada.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three and nine months ended September 30, 2022 and 2021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312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2860" w:type="dxa"/>
            <w:vAlign w:val="bottom"/>
            <w:gridSpan w:val="3"/>
          </w:tcPr>
          <w:p>
            <w:pPr>
              <w:jc w:val="right"/>
              <w:ind w:right="453"/>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48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8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432"/>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41,590</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39,221</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124,303</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118,579</w:t>
            </w:r>
          </w:p>
        </w:tc>
      </w:tr>
      <w:tr>
        <w:trPr>
          <w:trHeight w:val="229"/>
        </w:trPr>
        <w:tc>
          <w:tcPr>
            <w:tcW w:w="4800" w:type="dxa"/>
            <w:vAlign w:val="bottom"/>
          </w:tcPr>
          <w:p>
            <w:pPr>
              <w:ind w:left="140"/>
              <w:spacing w:after="0"/>
              <w:rPr>
                <w:sz w:val="20"/>
                <w:szCs w:val="20"/>
                <w:color w:val="auto"/>
              </w:rPr>
            </w:pPr>
            <w:r>
              <w:rPr>
                <w:rFonts w:ascii="Arial" w:cs="Arial" w:eastAsia="Arial" w:hAnsi="Arial"/>
                <w:sz w:val="18"/>
                <w:szCs w:val="18"/>
                <w:color w:val="auto"/>
                <w:w w:val="97"/>
              </w:rPr>
              <w:t>Bad debt provision for troubled customers, net of recoveries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289</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engineering</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1,523</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2,629</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2,918</w:t>
            </w:r>
          </w:p>
        </w:tc>
        <w:tc>
          <w:tcPr>
            <w:tcW w:w="34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8,058</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9,070</w:t>
            </w: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insurance recoveries, net</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Acquisition-related expense, net</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w:t>
            </w:r>
          </w:p>
        </w:tc>
        <w:tc>
          <w:tcPr>
            <w:tcW w:w="3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63</w:t>
            </w: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1,068</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3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Total operating expenses increased $1.7 million during the three months ended September 30, 2022 compared to the three months ended September 30, 2021. Selling, general and administrative expenses increased $2.4 million during the three months ended September 30, 2022 compared to the three months ended September 30, 2021, due to the reversal of remaining COVID-19 temporary cost reductions in August 2021, which had been initially implemented in 2020. Depreciation and</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amortization decreased $(0.3) million during the three months ended September 30, 2022 compared to the three months ended September 30, 2021.</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3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Operating expenses increased $1.6 million, for the nine months ended September 30, 2022 compared to the nine months ended September 30, 2021. Selling, general, and administrative expenses increased $5.7 million during the nine months ended September 30, 2022 compared to the nine months ended September 30, 2021 primarily due to the reversal of remaining COVID-19 temporary cost reductions in August 2021, which had been initially implemented in 2020, and wage subsidies received in 2021 which were not received in 2022. Legal settlements, net of insurance recoveries for the nine months ended September 30, 2022 compared to the nine months ended September 30, 2021 decreased $2.0 million due primarily to insurance recoveries received in the first half of 2022. Depreciation and amortization decreased $(1.0) million during the nine months ended September 30, 2022 compared to the nine months ended September 30, 2021. Acquisition-related expense decreased $(1.0) million for the nine months ended September 30, 2022 compared to the nine months ended September 30, 2021 due to remeasurement of acquisition related contingent consideration which occurred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 reconciliation of the income (loss) from operations to income (loss) before special items for each of our three segments,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Corporate and Eliminations and the Company in total: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3140" w:type="dxa"/>
            <w:vAlign w:val="bottom"/>
            <w:gridSpan w:val="5"/>
          </w:tcPr>
          <w:p>
            <w:pPr>
              <w:jc w:val="right"/>
              <w:ind w:right="391"/>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284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
        </w:trPr>
        <w:tc>
          <w:tcPr>
            <w:tcW w:w="4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2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Services: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Income from operations (GAAP)</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16,700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16,085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35,315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38,991</w:t>
            </w: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Bad debt provision for troubled customers, net of</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recoveries</w:t>
            </w:r>
          </w:p>
        </w:tc>
        <w:tc>
          <w:tcPr>
            <w:tcW w:w="9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Reorganization and other costs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insurance recoveries, net</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Acquisition-related expense, net</w:t>
            </w: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156"/>
        </w:trPr>
        <w:tc>
          <w:tcPr>
            <w:tcW w:w="4200" w:type="dxa"/>
            <w:vAlign w:val="bottom"/>
            <w:tcBorders>
              <w:top w:val="single" w:sz="8" w:color="CCEEFF"/>
            </w:tcBorders>
            <w:shd w:val="clear" w:color="auto" w:fill="CCEEFF"/>
          </w:tcPr>
          <w:p>
            <w:pPr>
              <w:ind w:left="140"/>
              <w:spacing w:after="0" w:line="156" w:lineRule="exact"/>
              <w:rPr>
                <w:sz w:val="20"/>
                <w:szCs w:val="20"/>
                <w:color w:val="auto"/>
              </w:rPr>
            </w:pPr>
            <w:r>
              <w:rPr>
                <w:rFonts w:ascii="Arial" w:cs="Arial" w:eastAsia="Arial" w:hAnsi="Arial"/>
                <w:sz w:val="18"/>
                <w:szCs w:val="18"/>
                <w:color w:val="auto"/>
              </w:rPr>
              <w:t>Income from operations before special items (non-</w:t>
            </w:r>
          </w:p>
        </w:tc>
        <w:tc>
          <w:tcPr>
            <w:tcW w:w="9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GAAP)</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16,712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41,772</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International:</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 (GAAP)</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Reorganization and other costs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56"/>
        </w:trPr>
        <w:tc>
          <w:tcPr>
            <w:tcW w:w="420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rPr>
              <w:t>Income from operations before special items (non-</w:t>
            </w: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GAAP)</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Products and Systems: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operations (GAAP)</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Reorganization and other costs</w:t>
            </w: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2"/>
              </w:rPr>
              <w:t>Loss from operations before special items (non-GAAP)</w:t>
            </w:r>
          </w:p>
        </w:tc>
        <w:tc>
          <w:tcPr>
            <w:tcW w:w="920" w:type="dxa"/>
            <w:vAlign w:val="bottom"/>
            <w:tcBorders>
              <w:top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Corporate and Eliminations: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operations (GAAP)</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(8,067)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(24,632)</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Loss on debt modification</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Acquisition-related expense, net</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insurance recoveries, net</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23"/>
        </w:trPr>
        <w:tc>
          <w:tcPr>
            <w:tcW w:w="4200" w:type="dxa"/>
            <w:vAlign w:val="bottom"/>
          </w:tcPr>
          <w:p>
            <w:pPr>
              <w:ind w:left="140"/>
              <w:spacing w:after="0"/>
              <w:rPr>
                <w:sz w:val="20"/>
                <w:szCs w:val="20"/>
                <w:color w:val="auto"/>
              </w:rPr>
            </w:pPr>
            <w:r>
              <w:rPr>
                <w:rFonts w:ascii="Arial" w:cs="Arial" w:eastAsia="Arial" w:hAnsi="Arial"/>
                <w:sz w:val="18"/>
                <w:szCs w:val="18"/>
                <w:color w:val="auto"/>
                <w:w w:val="92"/>
              </w:rPr>
              <w:t>Loss from operations before special items (non-GAAP)</w:t>
            </w:r>
          </w:p>
        </w:tc>
        <w:tc>
          <w:tcPr>
            <w:tcW w:w="920" w:type="dxa"/>
            <w:vAlign w:val="bottom"/>
            <w:tcBorders>
              <w:top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(7,240)</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(7,737)</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(21,970)</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(24,940)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Company:</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Income from operations (GAAP)</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9,114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9,236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13,991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15,864</w:t>
            </w: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Bad debt provision for troubled customers, net of</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recoveries</w:t>
            </w:r>
          </w:p>
        </w:tc>
        <w:tc>
          <w:tcPr>
            <w:tcW w:w="9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Reorganization and other costs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modification</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Legal settlement and insurance recoveries, net</w:t>
            </w: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expense, net</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155"/>
        </w:trPr>
        <w:tc>
          <w:tcPr>
            <w:tcW w:w="4200" w:type="dxa"/>
            <w:vAlign w:val="bottom"/>
          </w:tcPr>
          <w:p>
            <w:pPr>
              <w:ind w:left="140"/>
              <w:spacing w:after="0" w:line="156" w:lineRule="exact"/>
              <w:rPr>
                <w:sz w:val="20"/>
                <w:szCs w:val="20"/>
                <w:color w:val="auto"/>
              </w:rPr>
            </w:pPr>
            <w:r>
              <w:rPr>
                <w:rFonts w:ascii="Arial" w:cs="Arial" w:eastAsia="Arial" w:hAnsi="Arial"/>
                <w:sz w:val="18"/>
                <w:szCs w:val="18"/>
                <w:color w:val="auto"/>
              </w:rPr>
              <w:t>Income from operations before special items (non-</w:t>
            </w:r>
          </w:p>
        </w:tc>
        <w:tc>
          <w:tcPr>
            <w:tcW w:w="920" w:type="dxa"/>
            <w:vAlign w:val="bottom"/>
            <w:vMerge w:val="restart"/>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9,938</w:t>
            </w:r>
          </w:p>
        </w:tc>
        <w:tc>
          <w:tcPr>
            <w:tcW w:w="100" w:type="dxa"/>
            <w:vAlign w:val="bottom"/>
          </w:tcPr>
          <w:p>
            <w:pPr>
              <w:spacing w:after="0"/>
              <w:rPr>
                <w:sz w:val="13"/>
                <w:szCs w:val="13"/>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9,480</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14,108</w:t>
            </w:r>
          </w:p>
        </w:tc>
        <w:tc>
          <w:tcPr>
            <w:tcW w:w="100" w:type="dxa"/>
            <w:vAlign w:val="bottom"/>
          </w:tcPr>
          <w:p>
            <w:pPr>
              <w:spacing w:after="0"/>
              <w:rPr>
                <w:sz w:val="13"/>
                <w:szCs w:val="13"/>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18,488</w:t>
            </w:r>
          </w:p>
        </w:tc>
        <w:tc>
          <w:tcPr>
            <w:tcW w:w="0" w:type="dxa"/>
            <w:vAlign w:val="bottom"/>
          </w:tcPr>
          <w:p>
            <w:pPr>
              <w:spacing w:after="0"/>
              <w:rPr>
                <w:sz w:val="1"/>
                <w:szCs w:val="1"/>
                <w:color w:val="auto"/>
              </w:rPr>
            </w:pPr>
          </w:p>
        </w:tc>
      </w:tr>
      <w:tr>
        <w:trPr>
          <w:trHeight w:val="221"/>
        </w:trPr>
        <w:tc>
          <w:tcPr>
            <w:tcW w:w="4200" w:type="dxa"/>
            <w:vAlign w:val="bottom"/>
          </w:tcPr>
          <w:p>
            <w:pPr>
              <w:ind w:left="140"/>
              <w:spacing w:after="0"/>
              <w:rPr>
                <w:sz w:val="20"/>
                <w:szCs w:val="20"/>
                <w:color w:val="auto"/>
              </w:rPr>
            </w:pPr>
            <w:r>
              <w:rPr>
                <w:rFonts w:ascii="Arial" w:cs="Arial" w:eastAsia="Arial" w:hAnsi="Arial"/>
                <w:sz w:val="18"/>
                <w:szCs w:val="18"/>
                <w:color w:val="auto"/>
              </w:rPr>
              <w:t>GAAP)</w:t>
            </w:r>
          </w:p>
        </w:tc>
        <w:tc>
          <w:tcPr>
            <w:tcW w:w="9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section </w:t>
      </w:r>
      <w:r>
        <w:rPr>
          <w:rFonts w:ascii="Arial" w:cs="Arial" w:eastAsia="Arial" w:hAnsi="Arial"/>
          <w:sz w:val="18"/>
          <w:szCs w:val="18"/>
          <w:b w:val="1"/>
          <w:bCs w:val="1"/>
          <w:i w:val="1"/>
          <w:iCs w:val="1"/>
          <w:color w:val="auto"/>
        </w:rPr>
        <w:t>Note About Non-GAAP Measures</w:t>
      </w:r>
      <w:r>
        <w:rPr>
          <w:rFonts w:ascii="Arial" w:cs="Arial" w:eastAsia="Arial" w:hAnsi="Arial"/>
          <w:sz w:val="18"/>
          <w:szCs w:val="18"/>
          <w:color w:val="auto"/>
        </w:rPr>
        <w:t xml:space="preserve"> in this report for an explanation of the use of non-GAAP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1" w:right="85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three months ended September 30, 2022, income from operations (GAAP) for the Company in total decreased $(0.1) million, compared with the three months ended September 30, 2021, while income from operations before special items (non-GAAP) for the Company in total increased $0.5 million. As a percentage of revenue, total Company income from operations before special items increased by 20 basis points to 5.6% in the three months ended September 30, 2022 from 5.4% in the three months ended September 30,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3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For the nine months ended September 30, 2022, income from operations (GAAP) for the Company in total decreased $(1.9) million, compared with the nine months ended September 30, 2021, while income from operations before special items (non-GAAP) for the Company in total decreased $(4.4) million. As a percentage of revenue, total Company income from operations before special items decreased by 100 basis points to 2.7% in the nine months ended September 30, 2022 from 3.7% in the nine months ended September 30, 2021. During the nine months ended September 30, 2022, the Company experienced overall organic growth offset by foreign currency headwinds.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1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Interest expense was approximately $2.7 million and $2.3 million for the three months ended September 30, 2022 and 2021, respectively. Interest expense was approximately $6.8 million and $8.7 million for the nine months ended September 30, 2022 and 2021, respectively. The increase in the three months ended September 30, 2022 was due to an increase in interest rates compared to the prior year quarter. The decrease in interest expense for the nine months ended September 30, 2022 compared to the prior year period results from the Company having entered into the New Credit Agreement providing for interest to be payable based on SOFR plus a credit spread adjustment and applicable SOFR margin ranging from 1.25% to 2.75%, and removed the previously existing minimum LIBOR floor.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43"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Our effective income tax rate was approximately 31.1% and 50.8% for the three months ended September 30, 2022 and 2021, respectively. Our effective income tax rate was approximately 48.5% and 44.4% for the nine months ended September 30, 2022 and 2021, respectively.</w:t>
      </w:r>
    </w:p>
    <w:p>
      <w:pPr>
        <w:spacing w:after="0" w:line="174"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effective income tax rate for the three months ended September 30, 2022 was higher than the statutory rate primarily due to various permanent tax adjustments and a $0.1 million valuation allowance recorded on a foreign jurisdiction. The Company's effective income tax rate for the three months ended September 30, 2021 was higher than the statutory rate primarily due to various permanent tax adjustments and a $1.2 million valuation allowance recorded during the period which was related to various state deferred tax assets and earnings in jurisdictions with higher income tax rates than the United States.</w:t>
      </w:r>
    </w:p>
    <w:p>
      <w:pPr>
        <w:spacing w:after="0" w:line="182" w:lineRule="exact"/>
        <w:rPr>
          <w:sz w:val="20"/>
          <w:szCs w:val="20"/>
          <w:color w:val="auto"/>
        </w:rPr>
      </w:pPr>
    </w:p>
    <w:p>
      <w:pPr>
        <w:jc w:val="both"/>
        <w:ind w:right="420"/>
        <w:spacing w:after="0" w:line="257" w:lineRule="auto"/>
        <w:rPr>
          <w:sz w:val="20"/>
          <w:szCs w:val="20"/>
          <w:color w:val="auto"/>
        </w:rPr>
      </w:pPr>
      <w:r>
        <w:rPr>
          <w:rFonts w:ascii="Arial" w:cs="Arial" w:eastAsia="Arial" w:hAnsi="Arial"/>
          <w:sz w:val="17"/>
          <w:szCs w:val="17"/>
          <w:color w:val="auto"/>
        </w:rPr>
        <w:t>On the basis of this evaluation, as of September 30, 2022, a valuation allowance of $0.9 million has been recorded to recognize only the portion of the deferred tax asset that is more likely than not to be realized.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202"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The effective income tax rate for the nine months ended September 30, 2022 was higher than the statutory rate due primarily to various permanent tax adjustments and a $0.9 million valuation allowance recorded during the year which was related to a foreign jurisdiction. The effective income tax rate for the nine months ended September 30, 2021 was higher than the statutory rate due to various permanent tax adjustments and a $1.2 million valuation allowance recorded during the year related to various state deferred tax assets offset by the capitalization of certain non-US intercompany balances which resulted in a deductible foreign exchange loss in the US.</w:t>
      </w:r>
    </w:p>
    <w:p>
      <w:pPr>
        <w:spacing w:after="0" w:line="23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December 27, 2020, the United States enacted the Consolidated Appropriations Act, 2021, (the "Appropriations Act") an additional stimulus package providing financial relief for individuals and small business. The Appropriations Act contains a variety of tax provisions, including full expensing of business meals in 2021 and 2022, and expansion of the employee retention tax credit. We evaluated the impact of this guidance on our consolidated financial position, results of operations, and cash flows, and it will not have a material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6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On August 19, 2022, the United States enacted the Inflation Reduction Act, (the "Inflation Act"), a package intended to reduce inflation. The Inflation Act contains a variety of tax provisions, including a 15% corporate minimum tax, a tax on stock repurchases, and various tax credit opportunities. We evaluated the impact of this guidance on our consolidated financial position, results of operations, and cash flows, and it will not have a material impact.</w:t>
      </w:r>
    </w:p>
    <w:p>
      <w:pPr>
        <w:spacing w:after="0" w:line="17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flows are summarized in the table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3140" w:type="dxa"/>
            <w:vAlign w:val="bottom"/>
            <w:gridSpan w:val="5"/>
          </w:tcPr>
          <w:p>
            <w:pPr>
              <w:jc w:val="right"/>
              <w:ind w:right="433"/>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8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10,531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22,469</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94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w w:val="91"/>
              </w:rPr>
              <w:t>(8,877)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(15,494)</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(4,753)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(8,866)</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1"/>
              </w:rPr>
              <w:t>(2,927)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1"/>
              </w:rPr>
              <w:t>(6,026)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During the nine months ended September 30, 2022, cash provided by operating activities was $10.5 million, representing a year-on-year decrease of $(11.9) million, or 53%. The decrease was primarily attributable to a build up of net working capital in the course of normal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During the nine months ended September 30, 2022, cash used in investing activities was $8.9 million, representing a year-on-year decrease of $(6.6) million, or 43%. The decreased usage was primarily attributable to a reduction in capital expenditures during the current period as compared to the prior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5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Net cash used in financing activities was $4.8 million for the nine months ended September 30, 2022, compared to net cash used in financing activities of $8.9 million for the nine months ended September 30, 2021. During the nine months ended September 30, 2022, net repayments of debt were approximately $3.0 million lower as compared to 2021 as cash flows were used to support operating activities.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p>
      <w:pPr>
        <w:spacing w:after="0" w:line="229"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The effect of exchange rate changes on our cash and cash equivalents was a decrease of $(2.9) million in the nine months ended September 30, 2022, compared to a decrease of $(1.3) million for the nine months ended September 30, 2021. The primary driver of the change was foreign currency fluctuations during the quarter related to the Euro and the US Dollar.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As of September 30, 2022, we had cash and cash equivalents totaling $18.1 million and $105.3 million of unused commitments under our New Credit Agreement with borrowings of $196.7 million and $3.0 million of letters of credit outstanding. We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finance operations primarily through our existing cash balances, cash collected from operations, bank borrowings and capital lease financing. We believe these sources are sufficient to fund our operations for the foreseeable future.</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September 30, 2022, we were in compliance with the terms of the New Credit Agreement and will continuously monitor our compliance with the covenants contained in the New Credit Agreement.</w:t>
      </w:r>
    </w:p>
    <w:p>
      <w:pPr>
        <w:spacing w:after="0" w:line="19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terms of our New Credit Agreement are described in Note 11-</w:t>
      </w:r>
      <w:r>
        <w:rPr>
          <w:rFonts w:ascii="Arial" w:cs="Arial" w:eastAsia="Arial" w:hAnsi="Arial"/>
          <w:sz w:val="18"/>
          <w:szCs w:val="18"/>
          <w:b w:val="1"/>
          <w:bCs w:val="1"/>
          <w:i w:val="1"/>
          <w:iCs w:val="1"/>
          <w:color w:val="auto"/>
        </w:rPr>
        <w:t>Long-Term Debt</w:t>
      </w:r>
      <w:r>
        <w:rPr>
          <w:rFonts w:ascii="Arial" w:cs="Arial" w:eastAsia="Arial" w:hAnsi="Arial"/>
          <w:sz w:val="18"/>
          <w:szCs w:val="18"/>
          <w:color w:val="auto"/>
        </w:rPr>
        <w:t xml:space="preserve"> of the Notes to the Unaudited Condensed Consolidated Financial Statements, under the heading "</w:t>
      </w:r>
      <w:r>
        <w:rPr>
          <w:rFonts w:ascii="Arial" w:cs="Arial" w:eastAsia="Arial" w:hAnsi="Arial"/>
          <w:sz w:val="18"/>
          <w:szCs w:val="18"/>
          <w:i w:val="1"/>
          <w:iCs w:val="1"/>
          <w:color w:val="auto"/>
        </w:rPr>
        <w:t>Senior Credit Facility</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significant changes in our contractual obligations and outstanding indebtedness as disclosed in the 2021 Annual Report, other than the Senior Credit Facility refinancing described in Note 11-</w:t>
      </w:r>
      <w:r>
        <w:rPr>
          <w:rFonts w:ascii="Arial" w:cs="Arial" w:eastAsia="Arial" w:hAnsi="Arial"/>
          <w:sz w:val="18"/>
          <w:szCs w:val="18"/>
          <w:b w:val="1"/>
          <w:bCs w:val="1"/>
          <w:i w:val="1"/>
          <w:iCs w:val="1"/>
          <w:color w:val="auto"/>
        </w:rPr>
        <w:t>Long-Term Debt</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nine months ended September 30, 2022,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2021 Annual Report.</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significant changes to our quantitative and qualitative disclosures about market risk as discussed in Part II, Item 7A “Quantitative and Qualitative Disclosures About Market Risk,” included in the 2021 Annual Report.</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Pursuant to Rule 13a-15(b) under the Exchange Act, our management carried out an evaluation, under the supervision and with the participation of our President and Chief Executive Officer and our Executive Vice President, Chief Financial Officer and Treasurer, of the effectiveness of the design and operation of our disclosure controls (as defined in Rule 13a-15(e) of the Exchange Act) and procedures. Based upon that evaluation, our President and Chief Executive Officer and our Executive Vice President, Chief Financial Officer and Treasurer concluded that, as of September 30, 2022, our disclosure controls and procedures were effective.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September 30, 2022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See Note 14-</w:t>
      </w:r>
      <w:r>
        <w:rPr>
          <w:rFonts w:ascii="Arial" w:cs="Arial" w:eastAsia="Arial" w:hAnsi="Arial"/>
          <w:sz w:val="17"/>
          <w:szCs w:val="17"/>
          <w:b w:val="1"/>
          <w:bCs w:val="1"/>
          <w:i w:val="1"/>
          <w:iCs w:val="1"/>
          <w:color w:val="auto"/>
        </w:rPr>
        <w:t>Commitments and Contingencies</w:t>
      </w:r>
      <w:r>
        <w:rPr>
          <w:rFonts w:ascii="Arial" w:cs="Arial" w:eastAsia="Arial" w:hAnsi="Arial"/>
          <w:sz w:val="17"/>
          <w:szCs w:val="17"/>
          <w:color w:val="auto"/>
        </w:rPr>
        <w:t xml:space="preserve"> to the Notes to Unaudited Condensed Consolidated Financial Statements included in this Quarterly Report for a description of our legal proceedings. There have been no material developments with regard to any matters disclosed under Part I, Item 3 "Legal Proceedings" in our 2021 Annual Report, except as disclosed in such Note 14-</w:t>
      </w:r>
      <w:r>
        <w:rPr>
          <w:rFonts w:ascii="Arial" w:cs="Arial" w:eastAsia="Arial" w:hAnsi="Arial"/>
          <w:sz w:val="17"/>
          <w:szCs w:val="17"/>
          <w:b w:val="1"/>
          <w:bCs w:val="1"/>
          <w:i w:val="1"/>
          <w:iCs w:val="1"/>
          <w:color w:val="auto"/>
        </w:rPr>
        <w:t>Commitments and Contingencies</w:t>
      </w:r>
      <w:r>
        <w:rPr>
          <w:rFonts w:ascii="Arial" w:cs="Arial" w:eastAsia="Arial" w:hAnsi="Arial"/>
          <w:sz w:val="17"/>
          <w:szCs w:val="17"/>
          <w:color w:val="auto"/>
        </w:rPr>
        <w:t>.</w:t>
      </w:r>
    </w:p>
    <w:p>
      <w:pPr>
        <w:spacing w:after="0" w:line="16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risk factors discussed under the “Risk Factors” section included in our 2021 Annual Report. Except as described below, there have been no material changes to the risk factors previously disclosed in the 2021 Annual Report.</w:t>
      </w:r>
    </w:p>
    <w:p>
      <w:pPr>
        <w:spacing w:after="0" w:line="200" w:lineRule="exact"/>
        <w:rPr>
          <w:sz w:val="20"/>
          <w:szCs w:val="20"/>
          <w:color w:val="auto"/>
        </w:rPr>
      </w:pPr>
    </w:p>
    <w:p>
      <w:pPr>
        <w:spacing w:after="0" w:line="2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29" w:lineRule="exact"/>
        <w:rPr>
          <w:sz w:val="20"/>
          <w:szCs w:val="20"/>
          <w:color w:val="auto"/>
        </w:rPr>
      </w:pPr>
    </w:p>
    <w:p>
      <w:pPr>
        <w:ind w:left="660" w:right="8500" w:hanging="652"/>
        <w:spacing w:after="0" w:line="500" w:lineRule="auto"/>
        <w:tabs>
          <w:tab w:leader="none" w:pos="267"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i w:val="1"/>
          <w:iCs w:val="1"/>
          <w:color w:val="auto"/>
        </w:rPr>
      </w:pPr>
    </w:p>
    <w:p>
      <w:pPr>
        <w:ind w:left="660" w:right="6680" w:hanging="652"/>
        <w:spacing w:after="0" w:line="498" w:lineRule="auto"/>
        <w:tabs>
          <w:tab w:leader="none" w:pos="267"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did not repurchase any shares of our common stock during the quarter, including no repurchases as a result of the surrender of shares by employees to satisfy tax withholding obligations in connection with the vesting of restricted stock units.</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020" w:type="dxa"/>
            <w:vAlign w:val="bottom"/>
            <w:gridSpan w:val="9"/>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420"/>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840" w:type="dxa"/>
            <w:vAlign w:val="bottom"/>
            <w:gridSpan w:val="5"/>
          </w:tcPr>
          <w:p>
            <w:pPr>
              <w:ind w:left="210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2"/>
        </w:trPr>
        <w:tc>
          <w:tcPr>
            <w:tcW w:w="340" w:type="dxa"/>
            <w:vAlign w:val="bottom"/>
            <w:gridSpan w:val="2"/>
          </w:tcPr>
          <w:p>
            <w:pPr>
              <w:ind w:left="20"/>
              <w:spacing w:after="0" w:line="182" w:lineRule="exact"/>
              <w:rPr>
                <w:rFonts w:ascii="Arial" w:cs="Arial" w:eastAsia="Arial" w:hAnsi="Arial"/>
                <w:sz w:val="18"/>
                <w:szCs w:val="18"/>
                <w:color w:val="0000FF"/>
                <w:w w:val="85"/>
              </w:rPr>
            </w:pPr>
            <w:hyperlink r:id="rId55">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gridSpan w:val="6"/>
          </w:tcPr>
          <w:p>
            <w:pPr>
              <w:spacing w:after="0" w:line="182" w:lineRule="exact"/>
              <w:rPr>
                <w:rFonts w:ascii="Arial" w:cs="Arial" w:eastAsia="Arial" w:hAnsi="Arial"/>
                <w:sz w:val="18"/>
                <w:szCs w:val="18"/>
                <w:color w:val="0000FF"/>
                <w:w w:val="99"/>
              </w:rPr>
            </w:pPr>
            <w:hyperlink r:id="rId55">
              <w:r>
                <w:rPr>
                  <w:rFonts w:ascii="Arial" w:cs="Arial" w:eastAsia="Arial" w:hAnsi="Arial"/>
                  <w:sz w:val="18"/>
                  <w:szCs w:val="18"/>
                  <w:color w:val="0000FF"/>
                  <w:w w:val="99"/>
                </w:rPr>
                <w:t>Credit Agreement, dated August 1, 2022 (filed as exhibit 10.1 to current report on form 8-K August 1, 2022 and</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55">
              <w:r>
                <w:rPr>
                  <w:rFonts w:ascii="Arial" w:cs="Arial" w:eastAsia="Arial" w:hAnsi="Arial"/>
                  <w:sz w:val="18"/>
                  <w:szCs w:val="18"/>
                  <w:color w:val="0000FF"/>
                  <w:w w:val="89"/>
                </w:rPr>
                <w:t>incorporated by reference)</w:t>
              </w:r>
            </w:hyperlink>
          </w:p>
        </w:tc>
        <w:tc>
          <w:tcPr>
            <w:tcW w:w="6160" w:type="dxa"/>
            <w:vAlign w:val="bottom"/>
            <w:tcBorders>
              <w:top w:val="single" w:sz="8" w:color="0000FF"/>
            </w:tcBorders>
            <w:gridSpan w:val="4"/>
          </w:tcPr>
          <w:p>
            <w:pPr>
              <w:spacing w:after="0"/>
              <w:rPr>
                <w:sz w:val="13"/>
                <w:szCs w:val="13"/>
                <w:color w:val="auto"/>
              </w:rPr>
            </w:pPr>
          </w:p>
        </w:tc>
        <w:tc>
          <w:tcPr>
            <w:tcW w:w="680" w:type="dxa"/>
            <w:vAlign w:val="bottom"/>
          </w:tcPr>
          <w:p>
            <w:pPr>
              <w:spacing w:after="0"/>
              <w:rPr>
                <w:sz w:val="13"/>
                <w:szCs w:val="13"/>
                <w:color w:val="auto"/>
              </w:rPr>
            </w:pPr>
          </w:p>
        </w:tc>
      </w:tr>
      <w:tr>
        <w:trPr>
          <w:trHeight w:val="493"/>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6"/>
          </w:tcPr>
          <w:p>
            <w:pPr>
              <w:spacing w:after="0"/>
              <w:rPr>
                <w:sz w:val="20"/>
                <w:szCs w:val="20"/>
                <w:color w:val="auto"/>
              </w:rPr>
            </w:pPr>
            <w:r>
              <w:rPr>
                <w:rFonts w:ascii="Arial" w:cs="Arial" w:eastAsia="Arial" w:hAnsi="Arial"/>
                <w:sz w:val="18"/>
                <w:szCs w:val="18"/>
                <w:color w:val="0000FF"/>
                <w:w w:val="99"/>
              </w:rPr>
              <w:t>Certification of Chief Executive Officer pursuant to Rule 13a-14(a) under the Securities Exchange Act of 1934.</w:t>
            </w:r>
          </w:p>
        </w:tc>
      </w:tr>
      <w:tr>
        <w:trPr>
          <w:trHeight w:val="439"/>
        </w:trPr>
        <w:tc>
          <w:tcPr>
            <w:tcW w:w="20" w:type="dxa"/>
            <w:vAlign w:val="bottom"/>
          </w:tcPr>
          <w:p>
            <w:pPr>
              <w:spacing w:after="0"/>
              <w:rPr>
                <w:sz w:val="24"/>
                <w:szCs w:val="24"/>
                <w:color w:val="auto"/>
              </w:rPr>
            </w:pPr>
          </w:p>
        </w:tc>
        <w:tc>
          <w:tcPr>
            <w:tcW w:w="3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1"/>
              </w:rPr>
              <w:t>Certification of Chief Financial Officer pursuant to Rule 13a-14(a) under the Securities Exchange Act of 1934.</w:t>
            </w:r>
          </w:p>
        </w:tc>
        <w:tc>
          <w:tcPr>
            <w:tcW w:w="40" w:type="dxa"/>
            <w:vAlign w:val="bottom"/>
            <w:tcBorders>
              <w:top w:val="single" w:sz="8" w:color="0000FF"/>
            </w:tcBorders>
          </w:tcPr>
          <w:p>
            <w:pPr>
              <w:spacing w:after="0"/>
              <w:rPr>
                <w:sz w:val="24"/>
                <w:szCs w:val="24"/>
                <w:color w:val="auto"/>
              </w:rPr>
            </w:pPr>
          </w:p>
        </w:tc>
        <w:tc>
          <w:tcPr>
            <w:tcW w:w="720" w:type="dxa"/>
            <w:vAlign w:val="bottom"/>
            <w:gridSpan w:val="2"/>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p>
        </w:tc>
        <w:tc>
          <w:tcPr>
            <w:tcW w:w="440" w:type="dxa"/>
            <w:vAlign w:val="bottom"/>
            <w:tcBorders>
              <w:bottom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1"/>
              </w:rPr>
              <w:t>Certification pursuant to Section 906 of the Sarbanes-Oxley Act of 2002.</w:t>
            </w:r>
          </w:p>
        </w:tc>
        <w:tc>
          <w:tcPr>
            <w:tcW w:w="3480" w:type="dxa"/>
            <w:vAlign w:val="bottom"/>
            <w:gridSpan w:val="4"/>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6"/>
          </w:tcPr>
          <w:p>
            <w:pPr>
              <w:spacing w:after="0"/>
              <w:rPr>
                <w:sz w:val="20"/>
                <w:szCs w:val="20"/>
                <w:color w:val="auto"/>
              </w:rPr>
            </w:pPr>
            <w:r>
              <w:rPr>
                <w:rFonts w:ascii="Arial" w:cs="Arial" w:eastAsia="Arial" w:hAnsi="Arial"/>
                <w:sz w:val="18"/>
                <w:szCs w:val="18"/>
                <w:color w:val="auto"/>
              </w:rPr>
              <w:t>XBRL Schema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6"/>
          </w:tcPr>
          <w:p>
            <w:pPr>
              <w:spacing w:after="0"/>
              <w:rPr>
                <w:sz w:val="20"/>
                <w:szCs w:val="20"/>
                <w:color w:val="auto"/>
              </w:rPr>
            </w:pPr>
            <w:r>
              <w:rPr>
                <w:rFonts w:ascii="Arial" w:cs="Arial" w:eastAsia="Arial" w:hAnsi="Arial"/>
                <w:sz w:val="18"/>
                <w:szCs w:val="18"/>
                <w:color w:val="auto"/>
              </w:rPr>
              <w:t>XBRL Calculation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6"/>
          </w:tcPr>
          <w:p>
            <w:pPr>
              <w:spacing w:after="0"/>
              <w:rPr>
                <w:sz w:val="20"/>
                <w:szCs w:val="20"/>
                <w:color w:val="auto"/>
              </w:rPr>
            </w:pPr>
            <w:r>
              <w:rPr>
                <w:rFonts w:ascii="Arial" w:cs="Arial" w:eastAsia="Arial" w:hAnsi="Arial"/>
                <w:sz w:val="18"/>
                <w:szCs w:val="18"/>
                <w:color w:val="auto"/>
              </w:rPr>
              <w:t>XBRL Labels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6"/>
          </w:tcPr>
          <w:p>
            <w:pPr>
              <w:spacing w:after="0"/>
              <w:rPr>
                <w:sz w:val="20"/>
                <w:szCs w:val="20"/>
                <w:color w:val="auto"/>
              </w:rPr>
            </w:pPr>
            <w:r>
              <w:rPr>
                <w:rFonts w:ascii="Arial" w:cs="Arial" w:eastAsia="Arial" w:hAnsi="Arial"/>
                <w:sz w:val="18"/>
                <w:szCs w:val="18"/>
                <w:color w:val="auto"/>
              </w:rPr>
              <w:t>XBRL Presentation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6"/>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3" w:name="page44"/>
    <w:bookmarkEnd w:id="4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MISTRAS GROUP, INC.</w:t>
      </w:r>
    </w:p>
    <w:p>
      <w:pPr>
        <w:spacing w:after="0" w:line="256" w:lineRule="exact"/>
        <w:rPr>
          <w:sz w:val="20"/>
          <w:szCs w:val="20"/>
          <w:color w:val="auto"/>
        </w:rPr>
      </w:pPr>
    </w:p>
    <w:p>
      <w:pPr>
        <w:ind w:left="4860"/>
        <w:spacing w:after="0"/>
        <w:tabs>
          <w:tab w:leader="none" w:pos="5300" w:val="left"/>
        </w:tabs>
        <w:rPr>
          <w:sz w:val="20"/>
          <w:szCs w:val="20"/>
          <w:color w:val="auto"/>
        </w:rPr>
      </w:pPr>
      <w:r>
        <w:rPr>
          <w:rFonts w:ascii="Arial" w:cs="Arial" w:eastAsia="Arial" w:hAnsi="Arial"/>
          <w:sz w:val="18"/>
          <w:szCs w:val="18"/>
          <w:color w:val="auto"/>
        </w:rPr>
        <w:t>By:</w:t>
        <w:tab/>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630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Edward J. Prajzner</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(Principal Financial and Accounting Officer and duly authorized officer)</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2022</w:t>
      </w:r>
    </w:p>
    <w:p>
      <w:pPr>
        <w:sectPr>
          <w:pgSz w:w="11900" w:h="16838" w:orient="portrait"/>
          <w:cols w:equalWidth="0" w:num="1">
            <w:col w:w="10920"/>
          </w:cols>
          <w:pgMar w:left="320" w:top="121" w:right="6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Dennis Bertolotti, certify that:</w:t>
      </w:r>
    </w:p>
    <w:p>
      <w:pPr>
        <w:spacing w:after="0" w:line="9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34"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ind w:left="1300" w:right="460" w:hanging="644"/>
        <w:spacing w:after="0" w:line="342" w:lineRule="auto"/>
        <w:tabs>
          <w:tab w:leader="none" w:pos="129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07, 2022</w:t>
      </w:r>
    </w:p>
    <w:p>
      <w:pPr>
        <w:spacing w:after="0" w:line="5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575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Dennis Bertolotti</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8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Edward J. Prajzner, certify that:</w:t>
      </w:r>
    </w:p>
    <w:p>
      <w:pPr>
        <w:spacing w:after="0" w:line="90"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34"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ind w:left="1300" w:right="460" w:hanging="644"/>
        <w:spacing w:after="0" w:line="342" w:lineRule="auto"/>
        <w:tabs>
          <w:tab w:leader="none" w:pos="129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07, 2022</w:t>
      </w:r>
    </w:p>
    <w:p>
      <w:pPr>
        <w:spacing w:after="0" w:line="5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8404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Edward J. Prajzner</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98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September 30, 2022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07, 2022</w:t>
      </w:r>
    </w:p>
    <w:p>
      <w:pPr>
        <w:spacing w:after="0" w:line="5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37973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Dennis Bertolotti</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Executive Officer)</w:t>
      </w:r>
    </w:p>
    <w:p>
      <w:pPr>
        <w:spacing w:after="0" w:line="29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37973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Edward J. Prajzner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lvl w:ilvl="1">
      <w:lvlJc w:val="left"/>
      <w:lvlText w:val="%2."/>
      <w:numFmt w:val="lowerLetter"/>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
      <w:numFmt w:val="bullet"/>
      <w:start w:val="1"/>
    </w:lvl>
    <w:lvl w:ilvl="1">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55" Type="http://schemas.openxmlformats.org/officeDocument/2006/relationships/hyperlink" Target="https://www.sec.gov/Archives/edgar/data/1436126/000143612622000036/kl2-3296490xv9xmistras_xc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2022-11-07T15:42:23Z</dcterms:created>
  <dcterms:modified xsi:type="dcterms:W3CDTF">2022-11-07T15:42:23Z</dcterms:modified>
</cp:coreProperties>
</file>