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20" w:hanging="572"/>
        <w:spacing w:after="0" w:line="237" w:lineRule="auto"/>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February 28, 2011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80" w:hanging="572"/>
        <w:spacing w:after="0" w:line="256"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transition period to</w:t>
      </w:r>
    </w:p>
    <w:p>
      <w:pPr>
        <w:spacing w:after="0" w:line="252"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6740" w:type="dxa"/>
            <w:vAlign w:val="bottom"/>
            <w:gridSpan w:val="3"/>
          </w:tcPr>
          <w:p>
            <w:pPr>
              <w:jc w:val="center"/>
              <w:ind w:left="2279"/>
              <w:spacing w:after="0"/>
              <w:rPr>
                <w:sz w:val="20"/>
                <w:szCs w:val="20"/>
                <w:color w:val="auto"/>
              </w:rPr>
            </w:pPr>
            <w:r>
              <w:rPr>
                <w:rFonts w:ascii="Arial" w:cs="Arial" w:eastAsia="Arial" w:hAnsi="Arial"/>
                <w:sz w:val="18"/>
                <w:szCs w:val="18"/>
                <w:b w:val="1"/>
                <w:bCs w:val="1"/>
                <w:color w:val="auto"/>
                <w:w w:val="90"/>
              </w:rPr>
              <w:t>Commission file number 001- 34481</w:t>
            </w:r>
          </w:p>
        </w:tc>
        <w:tc>
          <w:tcPr>
            <w:tcW w:w="1620" w:type="dxa"/>
            <w:vAlign w:val="bottom"/>
          </w:tcPr>
          <w:p>
            <w:pPr>
              <w:spacing w:after="0"/>
              <w:rPr>
                <w:sz w:val="20"/>
                <w:szCs w:val="20"/>
                <w:color w:val="auto"/>
              </w:rPr>
            </w:pPr>
          </w:p>
        </w:tc>
      </w:tr>
      <w:tr>
        <w:trPr>
          <w:trHeight w:val="324"/>
        </w:trPr>
        <w:tc>
          <w:tcPr>
            <w:tcW w:w="3400" w:type="dxa"/>
            <w:vAlign w:val="bottom"/>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87"/>
        </w:trPr>
        <w:tc>
          <w:tcPr>
            <w:tcW w:w="6740" w:type="dxa"/>
            <w:vAlign w:val="bottom"/>
            <w:gridSpan w:val="3"/>
          </w:tcPr>
          <w:p>
            <w:pPr>
              <w:jc w:val="center"/>
              <w:ind w:left="2259"/>
              <w:spacing w:after="0"/>
              <w:rPr>
                <w:sz w:val="20"/>
                <w:szCs w:val="20"/>
                <w:color w:val="auto"/>
              </w:rPr>
            </w:pPr>
            <w:r>
              <w:rPr>
                <w:rFonts w:ascii="Arial" w:cs="Arial" w:eastAsia="Arial" w:hAnsi="Arial"/>
                <w:sz w:val="43"/>
                <w:szCs w:val="43"/>
                <w:b w:val="1"/>
                <w:bCs w:val="1"/>
                <w:color w:val="auto"/>
                <w:w w:val="93"/>
              </w:rPr>
              <w:t>Mistras Group, Inc.</w:t>
            </w:r>
          </w:p>
        </w:tc>
        <w:tc>
          <w:tcPr>
            <w:tcW w:w="1620" w:type="dxa"/>
            <w:vAlign w:val="bottom"/>
          </w:tcPr>
          <w:p>
            <w:pPr>
              <w:spacing w:after="0"/>
              <w:rPr>
                <w:sz w:val="24"/>
                <w:szCs w:val="24"/>
                <w:color w:val="auto"/>
              </w:rPr>
            </w:pPr>
          </w:p>
        </w:tc>
      </w:tr>
      <w:tr>
        <w:trPr>
          <w:trHeight w:val="230"/>
        </w:trPr>
        <w:tc>
          <w:tcPr>
            <w:tcW w:w="6740" w:type="dxa"/>
            <w:vAlign w:val="bottom"/>
            <w:gridSpan w:val="3"/>
          </w:tcPr>
          <w:p>
            <w:pPr>
              <w:jc w:val="center"/>
              <w:ind w:left="2279"/>
              <w:spacing w:after="0"/>
              <w:rPr>
                <w:sz w:val="20"/>
                <w:szCs w:val="20"/>
                <w:color w:val="auto"/>
              </w:rPr>
            </w:pPr>
            <w:r>
              <w:rPr>
                <w:rFonts w:ascii="Arial" w:cs="Arial" w:eastAsia="Arial" w:hAnsi="Arial"/>
                <w:sz w:val="18"/>
                <w:szCs w:val="18"/>
                <w:color w:val="auto"/>
                <w:w w:val="90"/>
              </w:rPr>
              <w:t>(Exact name of registrant as specified in its charter)</w:t>
            </w:r>
          </w:p>
        </w:tc>
        <w:tc>
          <w:tcPr>
            <w:tcW w:w="1620" w:type="dxa"/>
            <w:vAlign w:val="bottom"/>
          </w:tcPr>
          <w:p>
            <w:pPr>
              <w:spacing w:after="0"/>
              <w:rPr>
                <w:sz w:val="20"/>
                <w:szCs w:val="20"/>
                <w:color w:val="auto"/>
              </w:rPr>
            </w:pPr>
          </w:p>
        </w:tc>
      </w:tr>
      <w:tr>
        <w:trPr>
          <w:trHeight w:val="351"/>
        </w:trPr>
        <w:tc>
          <w:tcPr>
            <w:tcW w:w="3400" w:type="dxa"/>
            <w:vAlign w:val="bottom"/>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46"/>
        </w:trPr>
        <w:tc>
          <w:tcPr>
            <w:tcW w:w="674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16"/>
        </w:trPr>
        <w:tc>
          <w:tcPr>
            <w:tcW w:w="6740" w:type="dxa"/>
            <w:vAlign w:val="bottom"/>
            <w:gridSpan w:val="3"/>
          </w:tcPr>
          <w:p>
            <w:pPr>
              <w:jc w:val="center"/>
              <w:ind w:right="3900"/>
              <w:spacing w:after="0"/>
              <w:rPr>
                <w:sz w:val="20"/>
                <w:szCs w:val="20"/>
                <w:color w:val="auto"/>
              </w:rPr>
            </w:pPr>
            <w:r>
              <w:rPr>
                <w:rFonts w:ascii="Arial" w:cs="Arial" w:eastAsia="Arial" w:hAnsi="Arial"/>
                <w:sz w:val="18"/>
                <w:szCs w:val="18"/>
                <w:color w:val="auto"/>
                <w:w w:val="92"/>
              </w:rPr>
              <w:t>(State or other jurisdiction of</w:t>
            </w:r>
          </w:p>
        </w:tc>
        <w:tc>
          <w:tcPr>
            <w:tcW w:w="1620" w:type="dxa"/>
            <w:vAlign w:val="bottom"/>
          </w:tcPr>
          <w:p>
            <w:pPr>
              <w:jc w:val="center"/>
              <w:ind w:left="190"/>
              <w:spacing w:after="0"/>
              <w:rPr>
                <w:sz w:val="20"/>
                <w:szCs w:val="20"/>
                <w:color w:val="auto"/>
              </w:rPr>
            </w:pPr>
            <w:r>
              <w:rPr>
                <w:rFonts w:ascii="Arial" w:cs="Arial" w:eastAsia="Arial" w:hAnsi="Arial"/>
                <w:sz w:val="18"/>
                <w:szCs w:val="18"/>
                <w:color w:val="auto"/>
                <w:w w:val="92"/>
              </w:rPr>
              <w:t>(I.R.S. Employer</w:t>
            </w:r>
          </w:p>
        </w:tc>
      </w:tr>
      <w:tr>
        <w:trPr>
          <w:trHeight w:val="230"/>
        </w:trPr>
        <w:tc>
          <w:tcPr>
            <w:tcW w:w="6740" w:type="dxa"/>
            <w:vAlign w:val="bottom"/>
            <w:gridSpan w:val="3"/>
          </w:tcPr>
          <w:p>
            <w:pPr>
              <w:jc w:val="center"/>
              <w:ind w:right="3900"/>
              <w:spacing w:after="0"/>
              <w:rPr>
                <w:sz w:val="20"/>
                <w:szCs w:val="20"/>
                <w:color w:val="auto"/>
              </w:rPr>
            </w:pPr>
            <w:r>
              <w:rPr>
                <w:rFonts w:ascii="Arial" w:cs="Arial" w:eastAsia="Arial" w:hAnsi="Arial"/>
                <w:sz w:val="18"/>
                <w:szCs w:val="18"/>
                <w:color w:val="auto"/>
                <w:w w:val="92"/>
              </w:rPr>
              <w:t>incorporation or organization)</w:t>
            </w:r>
          </w:p>
        </w:tc>
        <w:tc>
          <w:tcPr>
            <w:tcW w:w="1620" w:type="dxa"/>
            <w:vAlign w:val="bottom"/>
          </w:tcPr>
          <w:p>
            <w:pPr>
              <w:jc w:val="center"/>
              <w:ind w:left="1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74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w w:val="91"/>
              </w:rPr>
              <w:t>195 Clarksville Road</w:t>
            </w:r>
          </w:p>
        </w:tc>
        <w:tc>
          <w:tcPr>
            <w:tcW w:w="1620" w:type="dxa"/>
            <w:vAlign w:val="bottom"/>
          </w:tcPr>
          <w:p>
            <w:pPr>
              <w:spacing w:after="0"/>
              <w:rPr>
                <w:sz w:val="24"/>
                <w:szCs w:val="24"/>
                <w:color w:val="auto"/>
              </w:rPr>
            </w:pPr>
          </w:p>
        </w:tc>
      </w:tr>
      <w:tr>
        <w:trPr>
          <w:trHeight w:val="220"/>
        </w:trPr>
        <w:tc>
          <w:tcPr>
            <w:tcW w:w="674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w w:val="89"/>
              </w:rPr>
              <w:t>Princeton Junction, New Jersey</w:t>
            </w:r>
          </w:p>
        </w:tc>
        <w:tc>
          <w:tcPr>
            <w:tcW w:w="162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30"/>
        </w:trPr>
        <w:tc>
          <w:tcPr>
            <w:tcW w:w="6740" w:type="dxa"/>
            <w:vAlign w:val="bottom"/>
            <w:gridSpan w:val="3"/>
          </w:tcPr>
          <w:p>
            <w:pPr>
              <w:jc w:val="center"/>
              <w:ind w:right="390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jc w:val="center"/>
              <w:ind w:left="210"/>
              <w:spacing w:after="0"/>
              <w:rPr>
                <w:sz w:val="20"/>
                <w:szCs w:val="20"/>
                <w:color w:val="auto"/>
              </w:rPr>
            </w:pPr>
            <w:r>
              <w:rPr>
                <w:rFonts w:ascii="Arial" w:cs="Arial" w:eastAsia="Arial" w:hAnsi="Arial"/>
                <w:sz w:val="18"/>
                <w:szCs w:val="18"/>
                <w:color w:val="auto"/>
                <w:w w:val="94"/>
              </w:rPr>
              <w:t>(Zip Code)</w:t>
            </w:r>
          </w:p>
        </w:tc>
      </w:tr>
      <w:tr>
        <w:trPr>
          <w:trHeight w:val="445"/>
        </w:trPr>
        <w:tc>
          <w:tcPr>
            <w:tcW w:w="5700" w:type="dxa"/>
            <w:vAlign w:val="bottom"/>
            <w:gridSpan w:val="2"/>
          </w:tcPr>
          <w:p>
            <w:pPr>
              <w:jc w:val="center"/>
              <w:ind w:left="3319"/>
              <w:spacing w:after="0"/>
              <w:rPr>
                <w:sz w:val="20"/>
                <w:szCs w:val="20"/>
                <w:color w:val="auto"/>
              </w:rPr>
            </w:pPr>
            <w:r>
              <w:rPr>
                <w:rFonts w:ascii="Arial" w:cs="Arial" w:eastAsia="Arial" w:hAnsi="Arial"/>
                <w:sz w:val="18"/>
                <w:szCs w:val="18"/>
                <w:b w:val="1"/>
                <w:bCs w:val="1"/>
                <w:color w:val="auto"/>
                <w:w w:val="90"/>
              </w:rPr>
              <w:t>(609) 716-4000</w:t>
            </w: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0"/>
        </w:trPr>
        <w:tc>
          <w:tcPr>
            <w:tcW w:w="6740" w:type="dxa"/>
            <w:vAlign w:val="bottom"/>
            <w:gridSpan w:val="3"/>
          </w:tcPr>
          <w:p>
            <w:pPr>
              <w:jc w:val="center"/>
              <w:ind w:left="2259"/>
              <w:spacing w:after="0"/>
              <w:rPr>
                <w:sz w:val="20"/>
                <w:szCs w:val="20"/>
                <w:color w:val="auto"/>
              </w:rPr>
            </w:pPr>
            <w:r>
              <w:rPr>
                <w:rFonts w:ascii="Arial" w:cs="Arial" w:eastAsia="Arial" w:hAnsi="Arial"/>
                <w:sz w:val="18"/>
                <w:szCs w:val="18"/>
                <w:color w:val="auto"/>
                <w:w w:val="90"/>
              </w:rPr>
              <w:t>(Registrant’s telephone number, including area code)</w:t>
            </w:r>
          </w:p>
        </w:tc>
        <w:tc>
          <w:tcPr>
            <w:tcW w:w="16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80"/>
        <w:spacing w:after="0"/>
        <w:rPr>
          <w:sz w:val="20"/>
          <w:szCs w:val="20"/>
          <w:color w:val="auto"/>
        </w:rPr>
      </w:pPr>
      <w:r>
        <w:rPr>
          <w:rFonts w:ascii="Arial" w:cs="Arial" w:eastAsia="Arial" w:hAnsi="Arial"/>
          <w:sz w:val="17"/>
          <w:szCs w:val="17"/>
          <w:color w:val="auto"/>
        </w:rPr>
        <w:t>x Yes o No</w:t>
      </w:r>
    </w:p>
    <w:p>
      <w:pPr>
        <w:spacing w:after="0" w:line="249"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580"/>
        <w:spacing w:after="0"/>
        <w:rPr>
          <w:sz w:val="20"/>
          <w:szCs w:val="20"/>
          <w:color w:val="auto"/>
        </w:rPr>
      </w:pPr>
      <w:r>
        <w:rPr>
          <w:rFonts w:ascii="Arial" w:cs="Arial" w:eastAsia="Arial" w:hAnsi="Arial"/>
          <w:sz w:val="16"/>
          <w:szCs w:val="16"/>
          <w:color w:val="auto"/>
        </w:rPr>
        <w:t>o Yes o No</w:t>
      </w:r>
    </w:p>
    <w:p>
      <w:pPr>
        <w:spacing w:after="0" w:line="26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25" w:right="239" w:bottom="1440" w:gutter="0" w:footer="0" w:header="0"/>
        </w:sectPr>
      </w:pPr>
    </w:p>
    <w:p>
      <w:pPr>
        <w:spacing w:after="0" w:line="249"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Non-accelerated filer x</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16" w:lineRule="exact"/>
        <w:rPr>
          <w:sz w:val="24"/>
          <w:szCs w:val="24"/>
          <w:color w:val="auto"/>
        </w:rPr>
      </w:pPr>
    </w:p>
    <w:p>
      <w:pPr>
        <w:sectPr>
          <w:pgSz w:w="11900" w:h="16838" w:orient="portrait"/>
          <w:cols w:equalWidth="0" w:num="2">
            <w:col w:w="5000" w:space="720"/>
            <w:col w:w="5700"/>
          </w:cols>
          <w:pgMar w:left="240" w:top="225" w:right="239" w:bottom="1440"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 Yes x No</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April 8, 2011, the registrant had 26,670,181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20" w:type="dxa"/>
            <w:vAlign w:val="bottom"/>
            <w:gridSpan w:val="9"/>
          </w:tcPr>
          <w:p>
            <w:pPr>
              <w:jc w:val="center"/>
              <w:ind w:right="3400"/>
              <w:spacing w:after="0"/>
              <w:rPr>
                <w:sz w:val="20"/>
                <w:szCs w:val="20"/>
                <w:color w:val="auto"/>
              </w:rPr>
            </w:pPr>
            <w:r>
              <w:rPr>
                <w:rFonts w:ascii="Arial" w:cs="Arial" w:eastAsia="Arial" w:hAnsi="Arial"/>
                <w:sz w:val="18"/>
                <w:szCs w:val="18"/>
                <w:color w:val="auto"/>
                <w:w w:val="95"/>
              </w:rPr>
              <w:t>TABLE OF CONTENTS</w:t>
            </w:r>
          </w:p>
        </w:tc>
        <w:tc>
          <w:tcPr>
            <w:tcW w:w="900" w:type="dxa"/>
            <w:vAlign w:val="bottom"/>
          </w:tcPr>
          <w:p>
            <w:pPr>
              <w:spacing w:after="0"/>
              <w:rPr>
                <w:sz w:val="20"/>
                <w:szCs w:val="20"/>
                <w:color w:val="auto"/>
              </w:rPr>
            </w:pPr>
          </w:p>
        </w:tc>
      </w:tr>
      <w:tr>
        <w:trPr>
          <w:trHeight w:val="466"/>
        </w:trPr>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PAGE</w:t>
            </w:r>
          </w:p>
        </w:tc>
      </w:tr>
      <w:tr>
        <w:trPr>
          <w:trHeight w:val="176"/>
        </w:trPr>
        <w:tc>
          <w:tcPr>
            <w:tcW w:w="10520" w:type="dxa"/>
            <w:vAlign w:val="bottom"/>
            <w:gridSpan w:val="25"/>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900" w:type="dxa"/>
            <w:vAlign w:val="bottom"/>
          </w:tcPr>
          <w:p>
            <w:pPr>
              <w:spacing w:after="0"/>
              <w:rPr>
                <w:sz w:val="15"/>
                <w:szCs w:val="15"/>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38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5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Balance Sheets as of February 28, 2011 and May 31, 2010</w:t>
              </w:r>
            </w:hyperlink>
          </w:p>
        </w:tc>
        <w:tc>
          <w:tcPr>
            <w:tcW w:w="256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Unaudited Consolidated Statements of Operations for the three and nine months ended February 28, 2011 and</w:t>
              </w:r>
            </w:hyperlink>
          </w:p>
        </w:tc>
        <w:tc>
          <w:tcPr>
            <w:tcW w:w="90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2010</w:t>
              </w:r>
            </w:hyperlink>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Unaudited Consolidated Statement of Stockholders’ Equity for the nine months ended February 28, 2011 and</w:t>
              </w:r>
            </w:hyperlink>
          </w:p>
        </w:tc>
        <w:tc>
          <w:tcPr>
            <w:tcW w:w="90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2010</w:t>
              </w:r>
            </w:hyperlink>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412"/>
        </w:trPr>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 for the nine months ended February 28, 2011 and 2010</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Unaudited Consolidated Financial Statements</w:t>
              </w:r>
            </w:hyperlink>
          </w:p>
        </w:tc>
        <w:tc>
          <w:tcPr>
            <w:tcW w:w="3700" w:type="dxa"/>
            <w:vAlign w:val="bottom"/>
            <w:tcBorders>
              <w:top w:val="single" w:sz="8" w:color="0000EE"/>
            </w:tcBorders>
            <w:gridSpan w:val="5"/>
          </w:tcPr>
          <w:p>
            <w:pPr>
              <w:spacing w:after="0"/>
              <w:rPr>
                <w:sz w:val="24"/>
                <w:szCs w:val="24"/>
                <w:color w:val="auto"/>
              </w:rPr>
            </w:pPr>
          </w:p>
        </w:tc>
        <w:tc>
          <w:tcPr>
            <w:tcW w:w="90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8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2.</w:t>
              </w:r>
            </w:hyperlink>
          </w:p>
        </w:tc>
        <w:tc>
          <w:tcPr>
            <w:tcW w:w="74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3.</w:t>
              </w:r>
            </w:hyperlink>
          </w:p>
        </w:tc>
        <w:tc>
          <w:tcPr>
            <w:tcW w:w="74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4.</w:t>
              </w:r>
            </w:hyperlink>
          </w:p>
        </w:tc>
        <w:tc>
          <w:tcPr>
            <w:tcW w:w="74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268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PART II—OTHER INFORMATION</w:t>
              </w:r>
            </w:hyperlink>
          </w:p>
        </w:tc>
        <w:tc>
          <w:tcPr>
            <w:tcW w:w="7840" w:type="dxa"/>
            <w:vAlign w:val="bottom"/>
            <w:gridSpan w:val="15"/>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ITEM 1.</w:t>
              </w:r>
            </w:hyperlink>
          </w:p>
        </w:tc>
        <w:tc>
          <w:tcPr>
            <w:tcW w:w="74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380" w:type="dxa"/>
            <w:vAlign w:val="bottom"/>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1.A.</w:t>
              </w:r>
            </w:hyperlink>
          </w:p>
        </w:tc>
        <w:tc>
          <w:tcPr>
            <w:tcW w:w="85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ITEM 2.</w:t>
              </w:r>
            </w:hyperlink>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ITEM 3.</w:t>
              </w:r>
            </w:hyperlink>
          </w:p>
        </w:tc>
        <w:tc>
          <w:tcPr>
            <w:tcW w:w="74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622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ITEM 5.</w:t>
              </w:r>
            </w:hyperlink>
          </w:p>
        </w:tc>
        <w:tc>
          <w:tcPr>
            <w:tcW w:w="74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24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ITEM 6.</w:t>
              </w:r>
            </w:hyperlink>
          </w:p>
        </w:tc>
        <w:tc>
          <w:tcPr>
            <w:tcW w:w="74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960" w:type="dxa"/>
            <w:vAlign w:val="bottom"/>
            <w:gridSpan w:val="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960" w:type="dxa"/>
            <w:vAlign w:val="bottom"/>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 INDEX</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628"/>
        </w:trPr>
        <w:tc>
          <w:tcPr>
            <w:tcW w:w="5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20" w:type="dxa"/>
            <w:vAlign w:val="bottom"/>
            <w:gridSpan w:val="9"/>
          </w:tcPr>
          <w:p>
            <w:pPr>
              <w:jc w:val="center"/>
              <w:ind w:right="3400"/>
              <w:spacing w:after="0"/>
              <w:rPr>
                <w:sz w:val="20"/>
                <w:szCs w:val="20"/>
                <w:color w:val="auto"/>
              </w:rPr>
            </w:pPr>
            <w:r>
              <w:rPr>
                <w:rFonts w:ascii="Arial" w:cs="Arial" w:eastAsia="Arial" w:hAnsi="Arial"/>
                <w:sz w:val="18"/>
                <w:szCs w:val="18"/>
                <w:color w:val="auto"/>
              </w:rPr>
              <w:t>-i-</w:t>
            </w:r>
          </w:p>
        </w:tc>
        <w:tc>
          <w:tcPr>
            <w:tcW w:w="900" w:type="dxa"/>
            <w:vAlign w:val="bottom"/>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rPr>
              <w:t>PART I—FINANCIAL INFORMATION</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700" w:type="dxa"/>
            <w:vAlign w:val="bottom"/>
          </w:tcPr>
          <w:p>
            <w:pPr>
              <w:ind w:left="40"/>
              <w:spacing w:after="0"/>
              <w:rPr>
                <w:sz w:val="20"/>
                <w:szCs w:val="20"/>
                <w:color w:val="auto"/>
              </w:rPr>
            </w:pPr>
            <w:r>
              <w:rPr>
                <w:rFonts w:ascii="Arial" w:cs="Arial" w:eastAsia="Arial" w:hAnsi="Arial"/>
                <w:sz w:val="18"/>
                <w:szCs w:val="18"/>
                <w:b w:val="1"/>
                <w:bCs w:val="1"/>
                <w:color w:val="auto"/>
                <w:w w:val="93"/>
              </w:rPr>
              <w:t>Financial Statements (unaudited)</w:t>
            </w:r>
          </w:p>
        </w:tc>
        <w:tc>
          <w:tcPr>
            <w:tcW w:w="2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7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Mistras Group, Inc. and Subsidiaries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72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88"/>
              </w:rPr>
              <w:t>Unaudited Consolidated Balance Sheets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8"/>
              </w:rPr>
              <w:t>(in thousands, except share data)</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February 28, 2011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May 31,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2700" w:type="dxa"/>
            <w:vAlign w:val="bottom"/>
            <w:shd w:val="clear" w:color="auto" w:fill="EAF9E8"/>
          </w:tcPr>
          <w:p>
            <w:pPr>
              <w:spacing w:after="0"/>
              <w:rPr>
                <w:sz w:val="18"/>
                <w:szCs w:val="18"/>
                <w:color w:val="auto"/>
              </w:rPr>
            </w:pPr>
          </w:p>
        </w:tc>
        <w:tc>
          <w:tcPr>
            <w:tcW w:w="2600" w:type="dxa"/>
            <w:vAlign w:val="bottom"/>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8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Current Assets</w:t>
            </w:r>
          </w:p>
        </w:tc>
        <w:tc>
          <w:tcPr>
            <w:tcW w:w="2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Cash and cash equivalents</w:t>
            </w:r>
          </w:p>
        </w:tc>
        <w:tc>
          <w:tcPr>
            <w:tcW w:w="3720" w:type="dxa"/>
            <w:vAlign w:val="bottom"/>
            <w:gridSpan w:val="2"/>
            <w:shd w:val="clear" w:color="auto" w:fill="EAF9E8"/>
          </w:tcPr>
          <w:p>
            <w:pPr>
              <w:jc w:val="right"/>
              <w:ind w:right="9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6,560</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62,290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2"/>
              </w:rPr>
              <w:t>Inventories, net</w:t>
            </w:r>
          </w:p>
        </w:tc>
        <w:tc>
          <w:tcPr>
            <w:tcW w:w="2700" w:type="dxa"/>
            <w:vAlign w:val="bottom"/>
            <w:shd w:val="clear" w:color="auto" w:fill="EAF9E8"/>
          </w:tcPr>
          <w:p>
            <w:pPr>
              <w:spacing w:after="0"/>
              <w:rPr>
                <w:sz w:val="18"/>
                <w:szCs w:val="18"/>
                <w:color w:val="auto"/>
              </w:rPr>
            </w:pP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10,285</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2,271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5,622</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2700" w:type="dxa"/>
            <w:vAlign w:val="bottom"/>
            <w:shd w:val="clear" w:color="auto" w:fill="EAF9E8"/>
          </w:tcPr>
          <w:p>
            <w:pPr>
              <w:spacing w:after="0"/>
              <w:rPr>
                <w:sz w:val="2"/>
                <w:szCs w:val="2"/>
                <w:color w:val="auto"/>
              </w:rPr>
            </w:pPr>
          </w:p>
        </w:tc>
        <w:tc>
          <w:tcPr>
            <w:tcW w:w="2600" w:type="dxa"/>
            <w:vAlign w:val="bottom"/>
            <w:shd w:val="clear" w:color="auto" w:fill="EAF9E8"/>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87,028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86,975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Property, plant and equipment, net</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46,322</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39,981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19,317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16,088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2700" w:type="dxa"/>
            <w:vAlign w:val="bottom"/>
            <w:shd w:val="clear" w:color="auto" w:fill="EAF9E8"/>
          </w:tcPr>
          <w:p>
            <w:pPr>
              <w:spacing w:after="0"/>
              <w:rPr>
                <w:sz w:val="18"/>
                <w:szCs w:val="18"/>
                <w:color w:val="auto"/>
              </w:rPr>
            </w:pP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53,442</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Other assets</w:t>
            </w:r>
          </w:p>
        </w:tc>
        <w:tc>
          <w:tcPr>
            <w:tcW w:w="2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896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assets</w:t>
            </w:r>
          </w:p>
        </w:tc>
        <w:tc>
          <w:tcPr>
            <w:tcW w:w="2700" w:type="dxa"/>
            <w:vAlign w:val="bottom"/>
            <w:shd w:val="clear" w:color="auto" w:fill="EAF9E8"/>
          </w:tcPr>
          <w:p>
            <w:pPr>
              <w:spacing w:after="0"/>
              <w:rPr>
                <w:sz w:val="22"/>
                <w:szCs w:val="22"/>
                <w:color w:val="auto"/>
              </w:rPr>
            </w:pPr>
          </w:p>
        </w:tc>
        <w:tc>
          <w:tcPr>
            <w:tcW w:w="3720" w:type="dxa"/>
            <w:vAlign w:val="bottom"/>
            <w:gridSpan w:val="2"/>
            <w:shd w:val="clear" w:color="auto" w:fill="EAF9E8"/>
          </w:tcPr>
          <w:p>
            <w:pPr>
              <w:jc w:val="right"/>
              <w:ind w:right="9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207,005</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188,632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EAF9E8"/>
            </w:tcBorders>
            <w:gridSpan w:val="3"/>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4"/>
            <w:shd w:val="clear" w:color="auto" w:fill="EAF9E8"/>
          </w:tcPr>
          <w:p>
            <w:pPr>
              <w:spacing w:after="0"/>
              <w:rPr>
                <w:sz w:val="20"/>
                <w:szCs w:val="20"/>
                <w:color w:val="auto"/>
              </w:rPr>
            </w:pPr>
            <w:r>
              <w:rPr>
                <w:rFonts w:ascii="Arial" w:cs="Arial" w:eastAsia="Arial" w:hAnsi="Arial"/>
                <w:sz w:val="18"/>
                <w:szCs w:val="18"/>
                <w:b w:val="1"/>
                <w:bCs w:val="1"/>
                <w:color w:val="auto"/>
              </w:rPr>
              <w:t>LIABILITIES, PREFERRED STOCK AND EQUITY</w:t>
            </w: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7"/>
              </w:rPr>
              <w:t>Current liabilities</w:t>
            </w:r>
          </w:p>
        </w:tc>
        <w:tc>
          <w:tcPr>
            <w:tcW w:w="2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Current portion of long-term debt</w:t>
            </w:r>
          </w:p>
        </w:tc>
        <w:tc>
          <w:tcPr>
            <w:tcW w:w="3720" w:type="dxa"/>
            <w:vAlign w:val="bottom"/>
            <w:gridSpan w:val="2"/>
            <w:shd w:val="clear" w:color="auto" w:fill="EAF9E8"/>
          </w:tcPr>
          <w:p>
            <w:pPr>
              <w:jc w:val="right"/>
              <w:ind w:right="9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4,769</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5,997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Accounts payable</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4,733</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22,288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Income taxes payable</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2,212</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2700" w:type="dxa"/>
            <w:vAlign w:val="bottom"/>
            <w:shd w:val="clear" w:color="auto" w:fill="EAF9E8"/>
          </w:tcPr>
          <w:p>
            <w:pPr>
              <w:spacing w:after="0"/>
              <w:rPr>
                <w:sz w:val="2"/>
                <w:szCs w:val="2"/>
                <w:color w:val="auto"/>
              </w:rPr>
            </w:pPr>
          </w:p>
        </w:tc>
        <w:tc>
          <w:tcPr>
            <w:tcW w:w="2600" w:type="dxa"/>
            <w:vAlign w:val="bottom"/>
            <w:shd w:val="clear" w:color="auto" w:fill="EAF9E8"/>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39,999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39,684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Long-term debt, net of current portion</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9,793</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w w:val="92"/>
              </w:rPr>
              <w:t>Obligations under capital leases, net of current portion</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8,676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Deferred income taxes</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3,526</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1,058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liabilities</w:t>
            </w:r>
          </w:p>
        </w:tc>
        <w:tc>
          <w:tcPr>
            <w:tcW w:w="26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63,052</w:t>
            </w:r>
          </w:p>
        </w:tc>
        <w:tc>
          <w:tcPr>
            <w:tcW w:w="1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Borders>
              <w:top w:val="single" w:sz="8" w:color="EAF9E8"/>
            </w:tcBorders>
            <w:gridSpan w:val="2"/>
          </w:tcPr>
          <w:p>
            <w:pPr>
              <w:spacing w:after="0"/>
              <w:rPr>
                <w:sz w:val="18"/>
                <w:szCs w:val="18"/>
                <w:color w:val="auto"/>
              </w:rPr>
            </w:pPr>
          </w:p>
        </w:tc>
        <w:tc>
          <w:tcPr>
            <w:tcW w:w="2600" w:type="dxa"/>
            <w:vAlign w:val="bottom"/>
            <w:tcBorders>
              <w:top w:val="single" w:sz="8" w:color="EAF9E8"/>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Commitments and contingencies</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Preferred stock, 10,000,000 shares authorized</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EAF9E8"/>
          </w:tcPr>
          <w:p>
            <w:pPr>
              <w:spacing w:after="0"/>
              <w:rPr>
                <w:sz w:val="20"/>
                <w:szCs w:val="20"/>
                <w:color w:val="auto"/>
              </w:rPr>
            </w:pPr>
            <w:r>
              <w:rPr>
                <w:rFonts w:ascii="Arial" w:cs="Arial" w:eastAsia="Arial" w:hAnsi="Arial"/>
                <w:sz w:val="18"/>
                <w:szCs w:val="18"/>
                <w:color w:val="auto"/>
              </w:rPr>
              <w:t>Equity</w:t>
            </w:r>
          </w:p>
        </w:tc>
        <w:tc>
          <w:tcPr>
            <w:tcW w:w="2700" w:type="dxa"/>
            <w:vAlign w:val="bottom"/>
            <w:shd w:val="clear" w:color="auto" w:fill="EAF9E8"/>
          </w:tcPr>
          <w:p>
            <w:pPr>
              <w:spacing w:after="0"/>
              <w:rPr>
                <w:sz w:val="18"/>
                <w:szCs w:val="18"/>
                <w:color w:val="auto"/>
              </w:rPr>
            </w:pP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Common stock, $0.01 par value, 200,000,000 shares authorized, 26,670,181 and</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4"/>
          </w:tcPr>
          <w:p>
            <w:pPr>
              <w:ind w:left="320"/>
              <w:spacing w:after="0"/>
              <w:rPr>
                <w:sz w:val="20"/>
                <w:szCs w:val="20"/>
                <w:color w:val="auto"/>
              </w:rPr>
            </w:pPr>
            <w:r>
              <w:rPr>
                <w:rFonts w:ascii="Arial" w:cs="Arial" w:eastAsia="Arial" w:hAnsi="Arial"/>
                <w:sz w:val="18"/>
                <w:szCs w:val="18"/>
                <w:color w:val="auto"/>
              </w:rPr>
              <w:t>26,663,528 shares issued and outstanding as of February 28, 2011 and May 31,</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2"/>
          </w:tcPr>
          <w:p>
            <w:pPr>
              <w:ind w:left="320"/>
              <w:spacing w:after="0"/>
              <w:rPr>
                <w:sz w:val="20"/>
                <w:szCs w:val="20"/>
                <w:color w:val="auto"/>
              </w:rPr>
            </w:pPr>
            <w:r>
              <w:rPr>
                <w:rFonts w:ascii="Arial" w:cs="Arial" w:eastAsia="Arial" w:hAnsi="Arial"/>
                <w:sz w:val="18"/>
                <w:szCs w:val="18"/>
                <w:color w:val="auto"/>
              </w:rPr>
              <w:t>2010, respectively</w:t>
            </w:r>
          </w:p>
        </w:tc>
        <w:tc>
          <w:tcPr>
            <w:tcW w:w="2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Additional paid-in capital</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164,764</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(20,735)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(30,448)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Accumulated other comprehensive loss</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2700" w:type="dxa"/>
            <w:vAlign w:val="bottom"/>
            <w:shd w:val="clear" w:color="auto" w:fill="EAF9E8"/>
          </w:tcPr>
          <w:p>
            <w:pPr>
              <w:spacing w:after="0"/>
              <w:rPr>
                <w:sz w:val="2"/>
                <w:szCs w:val="2"/>
                <w:color w:val="auto"/>
              </w:rPr>
            </w:pPr>
          </w:p>
        </w:tc>
        <w:tc>
          <w:tcPr>
            <w:tcW w:w="2600" w:type="dxa"/>
            <w:vAlign w:val="bottom"/>
            <w:shd w:val="clear" w:color="auto" w:fill="EAF9E8"/>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143,589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130,286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Noncontrolling interest</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2700" w:type="dxa"/>
            <w:vAlign w:val="bottom"/>
            <w:shd w:val="clear" w:color="auto" w:fill="EAF9E8"/>
          </w:tcPr>
          <w:p>
            <w:pPr>
              <w:spacing w:after="0"/>
              <w:rPr>
                <w:sz w:val="2"/>
                <w:szCs w:val="2"/>
                <w:color w:val="auto"/>
              </w:rPr>
            </w:pPr>
          </w:p>
        </w:tc>
        <w:tc>
          <w:tcPr>
            <w:tcW w:w="2600" w:type="dxa"/>
            <w:vAlign w:val="bottom"/>
            <w:shd w:val="clear" w:color="auto" w:fill="EAF9E8"/>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Total equity</w:t>
            </w:r>
          </w:p>
        </w:tc>
        <w:tc>
          <w:tcPr>
            <w:tcW w:w="2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143,953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130,554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liabilities, preferred stock and equity</w:t>
            </w:r>
          </w:p>
        </w:tc>
        <w:tc>
          <w:tcPr>
            <w:tcW w:w="3720" w:type="dxa"/>
            <w:vAlign w:val="bottom"/>
            <w:gridSpan w:val="2"/>
            <w:shd w:val="clear" w:color="auto" w:fill="EAF9E8"/>
          </w:tcPr>
          <w:p>
            <w:pPr>
              <w:jc w:val="right"/>
              <w:ind w:right="9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207,005</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188,632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EAF9E8"/>
            </w:tcBorders>
            <w:shd w:val="clear" w:color="auto" w:fill="EAF9E8"/>
          </w:tcPr>
          <w:p>
            <w:pPr>
              <w:spacing w:after="0" w:line="20" w:lineRule="exact"/>
              <w:rPr>
                <w:sz w:val="1"/>
                <w:szCs w:val="1"/>
                <w:color w:val="auto"/>
              </w:rPr>
            </w:pPr>
          </w:p>
        </w:tc>
        <w:tc>
          <w:tcPr>
            <w:tcW w:w="2700" w:type="dxa"/>
            <w:vAlign w:val="bottom"/>
            <w:tcBorders>
              <w:top w:val="single" w:sz="8" w:color="EAF9E8"/>
            </w:tcBorders>
            <w:shd w:val="clear" w:color="auto" w:fill="EAF9E8"/>
          </w:tcPr>
          <w:p>
            <w:pPr>
              <w:spacing w:after="0" w:line="20" w:lineRule="exact"/>
              <w:rPr>
                <w:sz w:val="1"/>
                <w:szCs w:val="1"/>
                <w:color w:val="auto"/>
              </w:rPr>
            </w:pPr>
          </w:p>
        </w:tc>
        <w:tc>
          <w:tcPr>
            <w:tcW w:w="2600" w:type="dxa"/>
            <w:vAlign w:val="bottom"/>
            <w:tcBorders>
              <w:top w:val="single" w:sz="8" w:color="EAF9E8"/>
            </w:tcBorders>
            <w:shd w:val="clear" w:color="auto" w:fill="EAF9E8"/>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5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 February 28,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Nine months ended February 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72,411</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57,966</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216,616</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176,484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Products</w:t>
            </w:r>
          </w:p>
        </w:tc>
        <w:tc>
          <w:tcPr>
            <w:tcW w:w="960" w:type="dxa"/>
            <w:vAlign w:val="bottom"/>
            <w:tcBorders>
              <w:bottom w:val="single" w:sz="8" w:color="auto"/>
            </w:tcBorders>
            <w:shd w:val="clear" w:color="auto" w:fill="EAF9E8"/>
          </w:tcPr>
          <w:p>
            <w:pPr>
              <w:spacing w:after="0"/>
              <w:rPr>
                <w:sz w:val="19"/>
                <w:szCs w:val="19"/>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6,802</w:t>
            </w:r>
          </w:p>
        </w:tc>
        <w:tc>
          <w:tcPr>
            <w:tcW w:w="340" w:type="dxa"/>
            <w:vAlign w:val="bottom"/>
            <w:tcBorders>
              <w:bottom w:val="single" w:sz="8" w:color="EAF9E8"/>
            </w:tcBorders>
            <w:shd w:val="clear" w:color="auto" w:fill="EAF9E8"/>
          </w:tcPr>
          <w:p>
            <w:pPr>
              <w:spacing w:after="0"/>
              <w:rPr>
                <w:sz w:val="19"/>
                <w:szCs w:val="19"/>
                <w:color w:val="auto"/>
              </w:rPr>
            </w:pPr>
          </w:p>
        </w:tc>
        <w:tc>
          <w:tcPr>
            <w:tcW w:w="34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6,390</w:t>
            </w:r>
          </w:p>
        </w:tc>
        <w:tc>
          <w:tcPr>
            <w:tcW w:w="18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19,844</w:t>
            </w:r>
          </w:p>
        </w:tc>
        <w:tc>
          <w:tcPr>
            <w:tcW w:w="16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15,860</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9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79,213</w:t>
            </w: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64,356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236,460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Cost of Revenues:</w:t>
            </w:r>
          </w:p>
        </w:tc>
        <w:tc>
          <w:tcPr>
            <w:tcW w:w="960" w:type="dxa"/>
            <w:vAlign w:val="bottom"/>
            <w:tcBorders>
              <w:top w:val="single" w:sz="8" w:color="auto"/>
            </w:tcBorders>
            <w:shd w:val="clear" w:color="auto" w:fill="EAF9E8"/>
          </w:tcPr>
          <w:p>
            <w:pPr>
              <w:spacing w:after="0"/>
              <w:rPr>
                <w:sz w:val="18"/>
                <w:szCs w:val="18"/>
                <w:color w:val="auto"/>
              </w:rPr>
            </w:pPr>
          </w:p>
        </w:tc>
        <w:tc>
          <w:tcPr>
            <w:tcW w:w="54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Cost of services</w:t>
            </w:r>
          </w:p>
        </w:tc>
        <w:tc>
          <w:tcPr>
            <w:tcW w:w="9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50,696</w:t>
            </w: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41,641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147,754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Cost of goods sold</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2,460</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2,343</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7,804</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Depreciation of services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3,307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9,252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Depreciation of products</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EAF9E8"/>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b w:val="1"/>
                <w:bCs w:val="1"/>
                <w:color w:val="auto"/>
              </w:rPr>
              <w:t>Total cost of revenues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56,616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46,729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165,277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134,551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22,597</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17,627</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71,183</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16,005</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47,099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Research and engineering</w:t>
            </w:r>
          </w:p>
        </w:tc>
        <w:tc>
          <w:tcPr>
            <w:tcW w:w="9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514</w:t>
            </w: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586</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1,638</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3,889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Legal reserve</w:t>
            </w:r>
          </w:p>
        </w:tc>
        <w:tc>
          <w:tcPr>
            <w:tcW w:w="960" w:type="dxa"/>
            <w:vAlign w:val="bottom"/>
            <w:shd w:val="clear" w:color="auto" w:fill="EAF9E8"/>
          </w:tcPr>
          <w:p>
            <w:pPr>
              <w:spacing w:after="0"/>
              <w:rPr>
                <w:sz w:val="19"/>
                <w:szCs w:val="19"/>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EAF9E8"/>
            </w:tcBorders>
          </w:tcPr>
          <w:p>
            <w:pPr>
              <w:ind w:left="160"/>
              <w:spacing w:after="0"/>
              <w:rPr>
                <w:sz w:val="20"/>
                <w:szCs w:val="20"/>
                <w:color w:val="auto"/>
              </w:rPr>
            </w:pPr>
            <w:r>
              <w:rPr>
                <w:rFonts w:ascii="Arial" w:cs="Arial" w:eastAsia="Arial" w:hAnsi="Arial"/>
                <w:sz w:val="18"/>
                <w:szCs w:val="18"/>
                <w:color w:val="auto"/>
              </w:rPr>
              <w:t>Income from operations</w:t>
            </w: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4,693</w:t>
            </w:r>
          </w:p>
        </w:tc>
        <w:tc>
          <w:tcPr>
            <w:tcW w:w="34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8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18,206</w:t>
            </w:r>
          </w:p>
        </w:tc>
        <w:tc>
          <w:tcPr>
            <w:tcW w:w="16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expenses</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596</w:t>
            </w: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1,957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Loss on extinguishment of long-term debt</w:t>
            </w:r>
          </w:p>
        </w:tc>
        <w:tc>
          <w:tcPr>
            <w:tcW w:w="960" w:type="dxa"/>
            <w:vAlign w:val="bottom"/>
            <w:shd w:val="clear" w:color="auto" w:fill="EAF9E8"/>
          </w:tcPr>
          <w:p>
            <w:pPr>
              <w:spacing w:after="0"/>
              <w:rPr>
                <w:sz w:val="19"/>
                <w:szCs w:val="19"/>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Borders>
              <w:top w:val="single" w:sz="8" w:color="EAF9E8"/>
            </w:tcBorders>
          </w:tcPr>
          <w:p>
            <w:pPr>
              <w:ind w:left="160"/>
              <w:spacing w:after="0" w:line="201" w:lineRule="exact"/>
              <w:rPr>
                <w:sz w:val="20"/>
                <w:szCs w:val="20"/>
                <w:color w:val="auto"/>
              </w:rPr>
            </w:pPr>
            <w:r>
              <w:rPr>
                <w:rFonts w:ascii="Arial" w:cs="Arial" w:eastAsia="Arial" w:hAnsi="Arial"/>
                <w:sz w:val="18"/>
                <w:szCs w:val="18"/>
                <w:color w:val="auto"/>
              </w:rPr>
              <w:t>Income before provision for income taxes and</w:t>
            </w:r>
          </w:p>
        </w:tc>
        <w:tc>
          <w:tcPr>
            <w:tcW w:w="9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noncontrolling interest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4,097</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888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16,249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1,690</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6,562</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EAF9E8"/>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2,407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9,687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Net loss (income) attributable to noncontrolling</w:t>
            </w:r>
          </w:p>
        </w:tc>
        <w:tc>
          <w:tcPr>
            <w:tcW w:w="960" w:type="dxa"/>
            <w:vAlign w:val="bottom"/>
            <w:shd w:val="clear" w:color="auto" w:fill="EAF9E8"/>
          </w:tcPr>
          <w:p>
            <w:pPr>
              <w:spacing w:after="0"/>
              <w:rPr>
                <w:sz w:val="17"/>
                <w:szCs w:val="17"/>
                <w:color w:val="auto"/>
              </w:rPr>
            </w:pPr>
          </w:p>
        </w:tc>
        <w:tc>
          <w:tcPr>
            <w:tcW w:w="5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interests, net of taxes</w:t>
            </w:r>
          </w:p>
        </w:tc>
        <w:tc>
          <w:tcPr>
            <w:tcW w:w="960" w:type="dxa"/>
            <w:vAlign w:val="bottom"/>
            <w:shd w:val="clear" w:color="auto" w:fill="EAF9E8"/>
          </w:tcPr>
          <w:p>
            <w:pPr>
              <w:spacing w:after="0"/>
              <w:rPr>
                <w:sz w:val="20"/>
                <w:szCs w:val="20"/>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w:t>
            </w:r>
          </w:p>
        </w:tc>
        <w:tc>
          <w:tcPr>
            <w:tcW w:w="16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EAF9E8"/>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2,443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9,713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Accretion of preferred stock</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EAF9E8"/>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Net income attributable to common shareholders</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2,443</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774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9,713</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11,650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Earnings per common share (See Note 4):</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0.09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EAF9E8"/>
          </w:tcPr>
          <w:p>
            <w:pPr>
              <w:jc w:val="right"/>
              <w:ind w:right="80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0.03</w:t>
            </w:r>
          </w:p>
        </w:tc>
        <w:tc>
          <w:tcPr>
            <w:tcW w:w="4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0.36</w:t>
            </w:r>
          </w:p>
        </w:tc>
        <w:tc>
          <w:tcPr>
            <w:tcW w:w="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94"/>
              </w:rPr>
              <w:t>26,667</w:t>
            </w: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26,469</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26,665</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26,919</w:t>
            </w:r>
          </w:p>
        </w:tc>
        <w:tc>
          <w:tcPr>
            <w:tcW w:w="3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27,764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26,824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24,511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Additionl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Mistras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earnings</w:t>
            </w:r>
          </w:p>
        </w:tc>
        <w:tc>
          <w:tcPr>
            <w:tcW w:w="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Group, Inc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860" w:type="dxa"/>
            <w:vAlign w:val="bottom"/>
            <w:tcBorders>
              <w:bottom w:val="single" w:sz="8" w:color="auto"/>
            </w:tcBorders>
            <w:gridSpan w:val="4"/>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7"/>
                <w:szCs w:val="7"/>
                <w:color w:val="auto"/>
              </w:rPr>
            </w:pPr>
          </w:p>
        </w:tc>
        <w:tc>
          <w:tcPr>
            <w:tcW w:w="114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00" w:type="dxa"/>
            <w:vAlign w:val="bottom"/>
          </w:tcPr>
          <w:p>
            <w:pPr>
              <w:spacing w:after="0"/>
              <w:rPr>
                <w:sz w:val="7"/>
                <w:szCs w:val="7"/>
                <w:color w:val="auto"/>
              </w:rPr>
            </w:pPr>
          </w:p>
        </w:tc>
        <w:tc>
          <w:tcPr>
            <w:tcW w:w="102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140" w:type="dxa"/>
            <w:vAlign w:val="bottom"/>
            <w:gridSpan w:val="4"/>
            <w:vMerge w:val="restart"/>
          </w:tcPr>
          <w:p>
            <w:pPr>
              <w:ind w:left="100"/>
              <w:spacing w:after="0" w:line="149" w:lineRule="exact"/>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3"/>
                <w:szCs w:val="3"/>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deficit)</w:t>
            </w:r>
          </w:p>
        </w:tc>
        <w:tc>
          <w:tcPr>
            <w:tcW w:w="6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Nine months ended February 28, 2010:</w:t>
            </w: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May 31, 2009</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13,000</w:t>
            </w:r>
          </w:p>
        </w:tc>
        <w:tc>
          <w:tcPr>
            <w:tcW w:w="140" w:type="dxa"/>
            <w:vAlign w:val="bottom"/>
          </w:tcPr>
          <w:p>
            <w:pPr>
              <w:jc w:val="center"/>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(47,376)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(1,583)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(47,912)</w:t>
            </w: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245</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(47,667)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5,151</w:t>
            </w: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 translation adjustment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648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648</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bottom w:val="single" w:sz="8" w:color="EAF9E8"/>
            </w:tcBorders>
            <w:shd w:val="clear" w:color="auto" w:fill="EAF9E8"/>
          </w:tcPr>
          <w:p>
            <w:pPr>
              <w:ind w:left="320"/>
              <w:spacing w:after="0" w:line="149" w:lineRule="exact"/>
              <w:rPr>
                <w:sz w:val="20"/>
                <w:szCs w:val="20"/>
                <w:color w:val="auto"/>
              </w:rPr>
            </w:pPr>
            <w:r>
              <w:rPr>
                <w:rFonts w:ascii="Arial" w:cs="Arial" w:eastAsia="Arial" w:hAnsi="Arial"/>
                <w:sz w:val="14"/>
                <w:szCs w:val="14"/>
                <w:b w:val="1"/>
                <w:bCs w:val="1"/>
                <w:color w:val="auto"/>
              </w:rPr>
              <w:t>Comprehensive Income</w:t>
            </w:r>
          </w:p>
        </w:tc>
        <w:tc>
          <w:tcPr>
            <w:tcW w:w="820" w:type="dxa"/>
            <w:vAlign w:val="bottom"/>
            <w:tcBorders>
              <w:bottom w:val="single" w:sz="8" w:color="EAF9E8"/>
            </w:tcBorders>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780" w:type="dxa"/>
            <w:vAlign w:val="bottom"/>
            <w:tcBorders>
              <w:bottom w:val="single" w:sz="8" w:color="EAF9E8"/>
            </w:tcBorders>
            <w:shd w:val="clear" w:color="auto" w:fill="EAF9E8"/>
          </w:tcPr>
          <w:p>
            <w:pPr>
              <w:spacing w:after="0"/>
              <w:rPr>
                <w:sz w:val="13"/>
                <w:szCs w:val="13"/>
                <w:color w:val="auto"/>
              </w:rPr>
            </w:pPr>
          </w:p>
        </w:tc>
        <w:tc>
          <w:tcPr>
            <w:tcW w:w="240" w:type="dxa"/>
            <w:vAlign w:val="bottom"/>
            <w:tcBorders>
              <w:bottom w:val="single" w:sz="8" w:color="EAF9E8"/>
            </w:tcBorders>
            <w:shd w:val="clear" w:color="auto" w:fill="EAF9E8"/>
          </w:tcPr>
          <w:p>
            <w:pPr>
              <w:spacing w:after="0"/>
              <w:rPr>
                <w:sz w:val="13"/>
                <w:szCs w:val="13"/>
                <w:color w:val="auto"/>
              </w:rPr>
            </w:pPr>
          </w:p>
        </w:tc>
        <w:tc>
          <w:tcPr>
            <w:tcW w:w="160" w:type="dxa"/>
            <w:vAlign w:val="bottom"/>
            <w:tcBorders>
              <w:bottom w:val="single" w:sz="8" w:color="EAF9E8"/>
            </w:tcBorders>
            <w:shd w:val="clear" w:color="auto" w:fill="EAF9E8"/>
          </w:tcPr>
          <w:p>
            <w:pPr>
              <w:spacing w:after="0"/>
              <w:rPr>
                <w:sz w:val="13"/>
                <w:szCs w:val="13"/>
                <w:color w:val="auto"/>
              </w:rPr>
            </w:pPr>
          </w:p>
        </w:tc>
        <w:tc>
          <w:tcPr>
            <w:tcW w:w="780" w:type="dxa"/>
            <w:vAlign w:val="bottom"/>
            <w:tcBorders>
              <w:bottom w:val="single" w:sz="8" w:color="EAF9E8"/>
            </w:tcBorders>
            <w:shd w:val="clear" w:color="auto" w:fill="EAF9E8"/>
          </w:tcPr>
          <w:p>
            <w:pPr>
              <w:spacing w:after="0"/>
              <w:rPr>
                <w:sz w:val="13"/>
                <w:szCs w:val="13"/>
                <w:color w:val="auto"/>
              </w:rPr>
            </w:pPr>
          </w:p>
        </w:tc>
        <w:tc>
          <w:tcPr>
            <w:tcW w:w="60" w:type="dxa"/>
            <w:vAlign w:val="bottom"/>
            <w:tcBorders>
              <w:bottom w:val="single" w:sz="8" w:color="EAF9E8"/>
            </w:tcBorders>
            <w:shd w:val="clear" w:color="auto" w:fill="EAF9E8"/>
          </w:tcPr>
          <w:p>
            <w:pPr>
              <w:spacing w:after="0"/>
              <w:rPr>
                <w:sz w:val="13"/>
                <w:szCs w:val="13"/>
                <w:color w:val="auto"/>
              </w:rPr>
            </w:pPr>
          </w:p>
        </w:tc>
        <w:tc>
          <w:tcPr>
            <w:tcW w:w="40" w:type="dxa"/>
            <w:vAlign w:val="bottom"/>
            <w:tcBorders>
              <w:bottom w:val="single" w:sz="8" w:color="EAF9E8"/>
            </w:tcBorders>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780" w:type="dxa"/>
            <w:vAlign w:val="bottom"/>
            <w:tcBorders>
              <w:bottom w:val="single" w:sz="8" w:color="EAF9E8"/>
            </w:tcBorders>
            <w:shd w:val="clear" w:color="auto" w:fill="EAF9E8"/>
          </w:tcPr>
          <w:p>
            <w:pPr>
              <w:spacing w:after="0"/>
              <w:rPr>
                <w:sz w:val="13"/>
                <w:szCs w:val="13"/>
                <w:color w:val="auto"/>
              </w:rPr>
            </w:pPr>
          </w:p>
        </w:tc>
        <w:tc>
          <w:tcPr>
            <w:tcW w:w="220" w:type="dxa"/>
            <w:vAlign w:val="bottom"/>
            <w:tcBorders>
              <w:bottom w:val="single" w:sz="8" w:color="EAF9E8"/>
            </w:tcBorders>
            <w:shd w:val="clear" w:color="auto" w:fill="EAF9E8"/>
          </w:tcPr>
          <w:p>
            <w:pPr>
              <w:spacing w:after="0"/>
              <w:rPr>
                <w:sz w:val="13"/>
                <w:szCs w:val="13"/>
                <w:color w:val="auto"/>
              </w:rPr>
            </w:pPr>
          </w:p>
        </w:tc>
        <w:tc>
          <w:tcPr>
            <w:tcW w:w="60" w:type="dxa"/>
            <w:vAlign w:val="bottom"/>
            <w:tcBorders>
              <w:bottom w:val="single" w:sz="8" w:color="EAF9E8"/>
            </w:tcBorders>
            <w:shd w:val="clear" w:color="auto" w:fill="EAF9E8"/>
          </w:tcPr>
          <w:p>
            <w:pPr>
              <w:spacing w:after="0"/>
              <w:rPr>
                <w:sz w:val="13"/>
                <w:szCs w:val="13"/>
                <w:color w:val="auto"/>
              </w:rPr>
            </w:pPr>
          </w:p>
        </w:tc>
        <w:tc>
          <w:tcPr>
            <w:tcW w:w="840" w:type="dxa"/>
            <w:vAlign w:val="bottom"/>
            <w:tcBorders>
              <w:bottom w:val="single" w:sz="8" w:color="EAF9E8"/>
            </w:tcBorders>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shd w:val="clear" w:color="auto" w:fill="EAF9E8"/>
          </w:tcPr>
          <w:p>
            <w:pPr>
              <w:spacing w:after="0"/>
              <w:rPr>
                <w:sz w:val="13"/>
                <w:szCs w:val="13"/>
                <w:color w:val="auto"/>
              </w:rPr>
            </w:pPr>
          </w:p>
        </w:tc>
        <w:tc>
          <w:tcPr>
            <w:tcW w:w="940" w:type="dxa"/>
            <w:vAlign w:val="bottom"/>
            <w:tcBorders>
              <w:bottom w:val="single" w:sz="8" w:color="auto"/>
            </w:tcBorders>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5,799</w:t>
            </w:r>
          </w:p>
        </w:tc>
        <w:tc>
          <w:tcPr>
            <w:tcW w:w="100" w:type="dxa"/>
            <w:vAlign w:val="bottom"/>
            <w:tcBorders>
              <w:bottom w:val="single" w:sz="8" w:color="auto"/>
            </w:tcBorders>
            <w:shd w:val="clear" w:color="auto" w:fill="EAF9E8"/>
          </w:tcPr>
          <w:p>
            <w:pPr>
              <w:spacing w:after="0"/>
              <w:rPr>
                <w:sz w:val="13"/>
                <w:szCs w:val="13"/>
                <w:color w:val="auto"/>
              </w:rPr>
            </w:pPr>
          </w:p>
        </w:tc>
        <w:tc>
          <w:tcPr>
            <w:tcW w:w="140" w:type="dxa"/>
            <w:vAlign w:val="bottom"/>
            <w:tcBorders>
              <w:bottom w:val="single" w:sz="8" w:color="auto"/>
            </w:tcBorders>
            <w:shd w:val="clear" w:color="auto" w:fill="EAF9E8"/>
          </w:tcPr>
          <w:p>
            <w:pPr>
              <w:spacing w:after="0"/>
              <w:rPr>
                <w:sz w:val="13"/>
                <w:szCs w:val="13"/>
                <w:color w:val="auto"/>
              </w:rPr>
            </w:pPr>
          </w:p>
        </w:tc>
        <w:tc>
          <w:tcPr>
            <w:tcW w:w="900" w:type="dxa"/>
            <w:vAlign w:val="bottom"/>
            <w:tcBorders>
              <w:bottom w:val="single" w:sz="8" w:color="auto"/>
            </w:tcBorders>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80" w:type="dxa"/>
            <w:vAlign w:val="bottom"/>
            <w:tcBorders>
              <w:bottom w:val="single" w:sz="8" w:color="auto"/>
            </w:tcBorders>
            <w:shd w:val="clear" w:color="auto" w:fill="EAF9E8"/>
          </w:tcPr>
          <w:p>
            <w:pPr>
              <w:spacing w:after="0"/>
              <w:rPr>
                <w:sz w:val="13"/>
                <w:szCs w:val="13"/>
                <w:color w:val="auto"/>
              </w:rPr>
            </w:pPr>
          </w:p>
        </w:tc>
        <w:tc>
          <w:tcPr>
            <w:tcW w:w="160" w:type="dxa"/>
            <w:vAlign w:val="bottom"/>
            <w:tcBorders>
              <w:bottom w:val="single" w:sz="8" w:color="auto"/>
            </w:tcBorders>
            <w:shd w:val="clear" w:color="auto" w:fill="EAF9E8"/>
          </w:tcPr>
          <w:p>
            <w:pPr>
              <w:spacing w:after="0"/>
              <w:rPr>
                <w:sz w:val="13"/>
                <w:szCs w:val="13"/>
                <w:color w:val="auto"/>
              </w:rPr>
            </w:pPr>
          </w:p>
        </w:tc>
        <w:tc>
          <w:tcPr>
            <w:tcW w:w="760" w:type="dxa"/>
            <w:vAlign w:val="bottom"/>
            <w:tcBorders>
              <w:bottom w:val="single" w:sz="8" w:color="auto"/>
            </w:tcBorders>
            <w:shd w:val="clear" w:color="auto" w:fill="EAF9E8"/>
          </w:tcPr>
          <w:p>
            <w:pPr>
              <w:jc w:val="right"/>
              <w:spacing w:after="0" w:line="149" w:lineRule="exact"/>
              <w:rPr>
                <w:sz w:val="20"/>
                <w:szCs w:val="20"/>
                <w:color w:val="auto"/>
              </w:rPr>
            </w:pPr>
            <w:r>
              <w:rPr>
                <w:rFonts w:ascii="Arial" w:cs="Arial" w:eastAsia="Arial" w:hAnsi="Arial"/>
                <w:sz w:val="14"/>
                <w:szCs w:val="14"/>
                <w:color w:val="auto"/>
              </w:rPr>
              <w:t>5,829</w:t>
            </w:r>
          </w:p>
        </w:tc>
        <w:tc>
          <w:tcPr>
            <w:tcW w:w="100" w:type="dxa"/>
            <w:vAlign w:val="bottom"/>
            <w:tcBorders>
              <w:bottom w:val="single" w:sz="8" w:color="EAF9E8"/>
            </w:tcBorders>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Accretion of preferred stock</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6,499</w:t>
            </w: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6,499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w w:val="99"/>
              </w:rPr>
              <w:t>Issuance of common stock upon conversion</w:t>
            </w:r>
          </w:p>
        </w:tc>
        <w:tc>
          <w:tcPr>
            <w:tcW w:w="8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8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7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EAF9E8"/>
          </w:tcPr>
          <w:p>
            <w:pPr>
              <w:ind w:left="160"/>
              <w:spacing w:after="0"/>
              <w:rPr>
                <w:sz w:val="20"/>
                <w:szCs w:val="20"/>
                <w:color w:val="auto"/>
              </w:rPr>
            </w:pPr>
            <w:r>
              <w:rPr>
                <w:rFonts w:ascii="Arial" w:cs="Arial" w:eastAsia="Arial" w:hAnsi="Arial"/>
                <w:sz w:val="14"/>
                <w:szCs w:val="14"/>
                <w:color w:val="auto"/>
              </w:rPr>
              <w:t>of class A &amp; B preferred stock</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6,759</w:t>
            </w:r>
          </w:p>
        </w:tc>
        <w:tc>
          <w:tcPr>
            <w:tcW w:w="140" w:type="dxa"/>
            <w:vAlign w:val="bottom"/>
            <w:shd w:val="clear" w:color="auto" w:fill="EAF9E8"/>
          </w:tcPr>
          <w:p>
            <w:pPr>
              <w:spacing w:after="0"/>
              <w:rPr>
                <w:sz w:val="14"/>
                <w:szCs w:val="1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68</w:t>
            </w:r>
          </w:p>
        </w:tc>
        <w:tc>
          <w:tcPr>
            <w:tcW w:w="24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84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84,416</w:t>
            </w:r>
          </w:p>
        </w:tc>
        <w:tc>
          <w:tcPr>
            <w:tcW w:w="4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4"/>
                <w:szCs w:val="14"/>
                <w:color w:val="auto"/>
              </w:rPr>
            </w:pPr>
          </w:p>
        </w:tc>
        <w:tc>
          <w:tcPr>
            <w:tcW w:w="9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84,484</w:t>
            </w: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84,484</w:t>
            </w:r>
          </w:p>
        </w:tc>
        <w:tc>
          <w:tcPr>
            <w:tcW w:w="1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4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w w:val="99"/>
              </w:rPr>
              <w:t>Issuance of common stock from initial public</w:t>
            </w:r>
          </w:p>
        </w:tc>
        <w:tc>
          <w:tcPr>
            <w:tcW w:w="8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8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7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EAF9E8"/>
          </w:tcPr>
          <w:p>
            <w:pPr>
              <w:ind w:left="160"/>
              <w:spacing w:after="0"/>
              <w:rPr>
                <w:sz w:val="20"/>
                <w:szCs w:val="20"/>
                <w:color w:val="auto"/>
              </w:rPr>
            </w:pPr>
            <w:r>
              <w:rPr>
                <w:rFonts w:ascii="Arial" w:cs="Arial" w:eastAsia="Arial" w:hAnsi="Arial"/>
                <w:sz w:val="14"/>
                <w:szCs w:val="14"/>
                <w:color w:val="auto"/>
              </w:rPr>
              <w:t>offering, net</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6,700</w:t>
            </w:r>
          </w:p>
        </w:tc>
        <w:tc>
          <w:tcPr>
            <w:tcW w:w="140" w:type="dxa"/>
            <w:vAlign w:val="bottom"/>
            <w:shd w:val="clear" w:color="auto" w:fill="EAF9E8"/>
          </w:tcPr>
          <w:p>
            <w:pPr>
              <w:spacing w:after="0"/>
              <w:rPr>
                <w:sz w:val="14"/>
                <w:szCs w:val="1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67</w:t>
            </w:r>
          </w:p>
        </w:tc>
        <w:tc>
          <w:tcPr>
            <w:tcW w:w="24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84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73,950</w:t>
            </w:r>
          </w:p>
        </w:tc>
        <w:tc>
          <w:tcPr>
            <w:tcW w:w="4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4"/>
                <w:szCs w:val="14"/>
                <w:color w:val="auto"/>
              </w:rPr>
            </w:pPr>
          </w:p>
        </w:tc>
        <w:tc>
          <w:tcPr>
            <w:tcW w:w="96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74,017</w:t>
            </w: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74,017</w:t>
            </w:r>
          </w:p>
        </w:tc>
        <w:tc>
          <w:tcPr>
            <w:tcW w:w="1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Stock compensation</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Exercise of stock options</w:t>
            </w:r>
          </w:p>
        </w:tc>
        <w:tc>
          <w:tcPr>
            <w:tcW w:w="8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55</w:t>
            </w: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20</w:t>
            </w:r>
          </w:p>
        </w:tc>
        <w:tc>
          <w:tcPr>
            <w:tcW w:w="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bottom w:val="single" w:sz="8" w:color="EAF9E8"/>
            </w:tcBorders>
            <w:shd w:val="clear" w:color="auto" w:fill="EAF9E8"/>
          </w:tcPr>
          <w:p>
            <w:pPr>
              <w:spacing w:after="0"/>
              <w:rPr>
                <w:sz w:val="13"/>
                <w:szCs w:val="13"/>
                <w:color w:val="auto"/>
              </w:rPr>
            </w:pPr>
          </w:p>
        </w:tc>
        <w:tc>
          <w:tcPr>
            <w:tcW w:w="820" w:type="dxa"/>
            <w:vAlign w:val="bottom"/>
            <w:tcBorders>
              <w:bottom w:val="single" w:sz="8" w:color="auto"/>
            </w:tcBorders>
            <w:shd w:val="clear" w:color="auto" w:fill="EAF9E8"/>
          </w:tcPr>
          <w:p>
            <w:pPr>
              <w:spacing w:after="0"/>
              <w:rPr>
                <w:sz w:val="13"/>
                <w:szCs w:val="13"/>
                <w:color w:val="auto"/>
              </w:rPr>
            </w:pPr>
          </w:p>
        </w:tc>
        <w:tc>
          <w:tcPr>
            <w:tcW w:w="120" w:type="dxa"/>
            <w:vAlign w:val="bottom"/>
            <w:tcBorders>
              <w:bottom w:val="single" w:sz="8" w:color="auto"/>
            </w:tcBorders>
            <w:shd w:val="clear" w:color="auto" w:fill="EAF9E8"/>
          </w:tcPr>
          <w:p>
            <w:pPr>
              <w:spacing w:after="0"/>
              <w:rPr>
                <w:sz w:val="13"/>
                <w:szCs w:val="13"/>
                <w:color w:val="auto"/>
              </w:rPr>
            </w:pPr>
          </w:p>
        </w:tc>
        <w:tc>
          <w:tcPr>
            <w:tcW w:w="140" w:type="dxa"/>
            <w:vAlign w:val="bottom"/>
            <w:tcBorders>
              <w:bottom w:val="single" w:sz="8" w:color="auto"/>
            </w:tcBorders>
            <w:shd w:val="clear" w:color="auto" w:fill="EAF9E8"/>
          </w:tcPr>
          <w:p>
            <w:pPr>
              <w:spacing w:after="0"/>
              <w:rPr>
                <w:sz w:val="13"/>
                <w:szCs w:val="13"/>
                <w:color w:val="auto"/>
              </w:rPr>
            </w:pPr>
          </w:p>
        </w:tc>
        <w:tc>
          <w:tcPr>
            <w:tcW w:w="780" w:type="dxa"/>
            <w:vAlign w:val="bottom"/>
            <w:tcBorders>
              <w:bottom w:val="single" w:sz="8" w:color="auto"/>
            </w:tcBorders>
            <w:shd w:val="clear" w:color="auto" w:fill="EAF9E8"/>
          </w:tcPr>
          <w:p>
            <w:pPr>
              <w:spacing w:after="0"/>
              <w:rPr>
                <w:sz w:val="13"/>
                <w:szCs w:val="13"/>
                <w:color w:val="auto"/>
              </w:rPr>
            </w:pPr>
          </w:p>
        </w:tc>
        <w:tc>
          <w:tcPr>
            <w:tcW w:w="240" w:type="dxa"/>
            <w:vAlign w:val="bottom"/>
            <w:tcBorders>
              <w:bottom w:val="single" w:sz="8" w:color="auto"/>
            </w:tcBorders>
            <w:shd w:val="clear" w:color="auto" w:fill="EAF9E8"/>
          </w:tcPr>
          <w:p>
            <w:pPr>
              <w:spacing w:after="0"/>
              <w:rPr>
                <w:sz w:val="13"/>
                <w:szCs w:val="13"/>
                <w:color w:val="auto"/>
              </w:rPr>
            </w:pPr>
          </w:p>
        </w:tc>
        <w:tc>
          <w:tcPr>
            <w:tcW w:w="160" w:type="dxa"/>
            <w:vAlign w:val="bottom"/>
            <w:tcBorders>
              <w:bottom w:val="single" w:sz="8" w:color="auto"/>
            </w:tcBorders>
            <w:shd w:val="clear" w:color="auto" w:fill="EAF9E8"/>
          </w:tcPr>
          <w:p>
            <w:pPr>
              <w:spacing w:after="0"/>
              <w:rPr>
                <w:sz w:val="13"/>
                <w:szCs w:val="13"/>
                <w:color w:val="auto"/>
              </w:rPr>
            </w:pPr>
          </w:p>
        </w:tc>
        <w:tc>
          <w:tcPr>
            <w:tcW w:w="780" w:type="dxa"/>
            <w:vAlign w:val="bottom"/>
            <w:tcBorders>
              <w:bottom w:val="single" w:sz="8" w:color="auto"/>
            </w:tcBorders>
            <w:shd w:val="clear" w:color="auto" w:fill="EAF9E8"/>
          </w:tcPr>
          <w:p>
            <w:pPr>
              <w:spacing w:after="0"/>
              <w:rPr>
                <w:sz w:val="13"/>
                <w:szCs w:val="13"/>
                <w:color w:val="auto"/>
              </w:rPr>
            </w:pPr>
          </w:p>
        </w:tc>
        <w:tc>
          <w:tcPr>
            <w:tcW w:w="60" w:type="dxa"/>
            <w:vAlign w:val="bottom"/>
            <w:tcBorders>
              <w:bottom w:val="single" w:sz="8" w:color="auto"/>
            </w:tcBorders>
            <w:shd w:val="clear" w:color="auto" w:fill="EAF9E8"/>
          </w:tcPr>
          <w:p>
            <w:pPr>
              <w:spacing w:after="0"/>
              <w:rPr>
                <w:sz w:val="13"/>
                <w:szCs w:val="13"/>
                <w:color w:val="auto"/>
              </w:rPr>
            </w:pPr>
          </w:p>
        </w:tc>
        <w:tc>
          <w:tcPr>
            <w:tcW w:w="40" w:type="dxa"/>
            <w:vAlign w:val="bottom"/>
            <w:tcBorders>
              <w:bottom w:val="single" w:sz="8" w:color="auto"/>
            </w:tcBorders>
            <w:shd w:val="clear" w:color="auto" w:fill="EAF9E8"/>
          </w:tcPr>
          <w:p>
            <w:pPr>
              <w:spacing w:after="0"/>
              <w:rPr>
                <w:sz w:val="13"/>
                <w:szCs w:val="13"/>
                <w:color w:val="auto"/>
              </w:rPr>
            </w:pPr>
          </w:p>
        </w:tc>
        <w:tc>
          <w:tcPr>
            <w:tcW w:w="140" w:type="dxa"/>
            <w:vAlign w:val="bottom"/>
            <w:tcBorders>
              <w:bottom w:val="single" w:sz="8" w:color="auto"/>
            </w:tcBorders>
            <w:shd w:val="clear" w:color="auto" w:fill="EAF9E8"/>
          </w:tcPr>
          <w:p>
            <w:pPr>
              <w:spacing w:after="0"/>
              <w:rPr>
                <w:sz w:val="13"/>
                <w:szCs w:val="13"/>
                <w:color w:val="auto"/>
              </w:rPr>
            </w:pPr>
          </w:p>
        </w:tc>
        <w:tc>
          <w:tcPr>
            <w:tcW w:w="780" w:type="dxa"/>
            <w:vAlign w:val="bottom"/>
            <w:tcBorders>
              <w:bottom w:val="single" w:sz="8" w:color="auto"/>
            </w:tcBorders>
            <w:shd w:val="clear" w:color="auto" w:fill="EAF9E8"/>
          </w:tcPr>
          <w:p>
            <w:pPr>
              <w:spacing w:after="0"/>
              <w:rPr>
                <w:sz w:val="13"/>
                <w:szCs w:val="13"/>
                <w:color w:val="auto"/>
              </w:rPr>
            </w:pPr>
          </w:p>
        </w:tc>
        <w:tc>
          <w:tcPr>
            <w:tcW w:w="220" w:type="dxa"/>
            <w:vAlign w:val="bottom"/>
            <w:tcBorders>
              <w:bottom w:val="single" w:sz="8" w:color="auto"/>
            </w:tcBorders>
            <w:shd w:val="clear" w:color="auto" w:fill="EAF9E8"/>
          </w:tcPr>
          <w:p>
            <w:pPr>
              <w:spacing w:after="0"/>
              <w:rPr>
                <w:sz w:val="13"/>
                <w:szCs w:val="13"/>
                <w:color w:val="auto"/>
              </w:rPr>
            </w:pPr>
          </w:p>
        </w:tc>
        <w:tc>
          <w:tcPr>
            <w:tcW w:w="60" w:type="dxa"/>
            <w:vAlign w:val="bottom"/>
            <w:tcBorders>
              <w:bottom w:val="single" w:sz="8" w:color="auto"/>
            </w:tcBorders>
            <w:shd w:val="clear" w:color="auto" w:fill="EAF9E8"/>
          </w:tcPr>
          <w:p>
            <w:pPr>
              <w:spacing w:after="0"/>
              <w:rPr>
                <w:sz w:val="13"/>
                <w:szCs w:val="13"/>
                <w:color w:val="auto"/>
              </w:rPr>
            </w:pPr>
          </w:p>
        </w:tc>
        <w:tc>
          <w:tcPr>
            <w:tcW w:w="840" w:type="dxa"/>
            <w:vAlign w:val="bottom"/>
            <w:tcBorders>
              <w:bottom w:val="single" w:sz="8" w:color="auto"/>
            </w:tcBorders>
            <w:shd w:val="clear" w:color="auto" w:fill="EAF9E8"/>
          </w:tcPr>
          <w:p>
            <w:pPr>
              <w:spacing w:after="0"/>
              <w:rPr>
                <w:sz w:val="13"/>
                <w:szCs w:val="13"/>
                <w:color w:val="auto"/>
              </w:rPr>
            </w:pPr>
          </w:p>
        </w:tc>
        <w:tc>
          <w:tcPr>
            <w:tcW w:w="120" w:type="dxa"/>
            <w:vAlign w:val="bottom"/>
            <w:tcBorders>
              <w:bottom w:val="single" w:sz="8" w:color="auto"/>
            </w:tcBorders>
            <w:shd w:val="clear" w:color="auto" w:fill="EAF9E8"/>
          </w:tcPr>
          <w:p>
            <w:pPr>
              <w:spacing w:after="0"/>
              <w:rPr>
                <w:sz w:val="13"/>
                <w:szCs w:val="13"/>
                <w:color w:val="auto"/>
              </w:rPr>
            </w:pPr>
          </w:p>
        </w:tc>
        <w:tc>
          <w:tcPr>
            <w:tcW w:w="100" w:type="dxa"/>
            <w:vAlign w:val="bottom"/>
            <w:tcBorders>
              <w:bottom w:val="single" w:sz="8" w:color="auto"/>
            </w:tcBorders>
            <w:shd w:val="clear" w:color="auto" w:fill="EAF9E8"/>
          </w:tcPr>
          <w:p>
            <w:pPr>
              <w:spacing w:after="0"/>
              <w:rPr>
                <w:sz w:val="13"/>
                <w:szCs w:val="13"/>
                <w:color w:val="auto"/>
              </w:rPr>
            </w:pPr>
          </w:p>
        </w:tc>
        <w:tc>
          <w:tcPr>
            <w:tcW w:w="80" w:type="dxa"/>
            <w:vAlign w:val="bottom"/>
            <w:tcBorders>
              <w:bottom w:val="single" w:sz="8" w:color="auto"/>
            </w:tcBorders>
            <w:shd w:val="clear" w:color="auto" w:fill="EAF9E8"/>
          </w:tcPr>
          <w:p>
            <w:pPr>
              <w:spacing w:after="0"/>
              <w:rPr>
                <w:sz w:val="13"/>
                <w:szCs w:val="13"/>
                <w:color w:val="auto"/>
              </w:rPr>
            </w:pPr>
          </w:p>
        </w:tc>
        <w:tc>
          <w:tcPr>
            <w:tcW w:w="820" w:type="dxa"/>
            <w:vAlign w:val="bottom"/>
            <w:tcBorders>
              <w:bottom w:val="single" w:sz="8" w:color="auto"/>
            </w:tcBorders>
            <w:shd w:val="clear" w:color="auto" w:fill="EAF9E8"/>
          </w:tcPr>
          <w:p>
            <w:pPr>
              <w:spacing w:after="0"/>
              <w:rPr>
                <w:sz w:val="13"/>
                <w:szCs w:val="13"/>
                <w:color w:val="auto"/>
              </w:rPr>
            </w:pPr>
          </w:p>
        </w:tc>
        <w:tc>
          <w:tcPr>
            <w:tcW w:w="120" w:type="dxa"/>
            <w:vAlign w:val="bottom"/>
            <w:tcBorders>
              <w:bottom w:val="single" w:sz="8" w:color="auto"/>
            </w:tcBorders>
            <w:shd w:val="clear" w:color="auto" w:fill="EAF9E8"/>
          </w:tcPr>
          <w:p>
            <w:pPr>
              <w:spacing w:after="0"/>
              <w:rPr>
                <w:sz w:val="13"/>
                <w:szCs w:val="13"/>
                <w:color w:val="auto"/>
              </w:rPr>
            </w:pPr>
          </w:p>
        </w:tc>
        <w:tc>
          <w:tcPr>
            <w:tcW w:w="100" w:type="dxa"/>
            <w:vAlign w:val="bottom"/>
            <w:tcBorders>
              <w:bottom w:val="single" w:sz="8" w:color="auto"/>
            </w:tcBorders>
            <w:shd w:val="clear" w:color="auto" w:fill="EAF9E8"/>
          </w:tcPr>
          <w:p>
            <w:pPr>
              <w:spacing w:after="0"/>
              <w:rPr>
                <w:sz w:val="13"/>
                <w:szCs w:val="13"/>
                <w:color w:val="auto"/>
              </w:rPr>
            </w:pPr>
          </w:p>
        </w:tc>
        <w:tc>
          <w:tcPr>
            <w:tcW w:w="140" w:type="dxa"/>
            <w:vAlign w:val="bottom"/>
            <w:tcBorders>
              <w:bottom w:val="single" w:sz="8" w:color="auto"/>
            </w:tcBorders>
            <w:shd w:val="clear" w:color="auto" w:fill="EAF9E8"/>
          </w:tcPr>
          <w:p>
            <w:pPr>
              <w:spacing w:after="0"/>
              <w:rPr>
                <w:sz w:val="13"/>
                <w:szCs w:val="13"/>
                <w:color w:val="auto"/>
              </w:rPr>
            </w:pPr>
          </w:p>
        </w:tc>
        <w:tc>
          <w:tcPr>
            <w:tcW w:w="780" w:type="dxa"/>
            <w:vAlign w:val="bottom"/>
            <w:tcBorders>
              <w:bottom w:val="single" w:sz="8" w:color="auto"/>
            </w:tcBorders>
            <w:shd w:val="clear" w:color="auto" w:fill="EAF9E8"/>
          </w:tcPr>
          <w:p>
            <w:pPr>
              <w:spacing w:after="0"/>
              <w:rPr>
                <w:sz w:val="13"/>
                <w:szCs w:val="13"/>
                <w:color w:val="auto"/>
              </w:rPr>
            </w:pPr>
          </w:p>
        </w:tc>
        <w:tc>
          <w:tcPr>
            <w:tcW w:w="120" w:type="dxa"/>
            <w:vAlign w:val="bottom"/>
            <w:tcBorders>
              <w:bottom w:val="single" w:sz="8" w:color="auto"/>
            </w:tcBorders>
            <w:shd w:val="clear" w:color="auto" w:fill="EAF9E8"/>
          </w:tcPr>
          <w:p>
            <w:pPr>
              <w:spacing w:after="0"/>
              <w:rPr>
                <w:sz w:val="13"/>
                <w:szCs w:val="13"/>
                <w:color w:val="auto"/>
              </w:rPr>
            </w:pPr>
          </w:p>
        </w:tc>
        <w:tc>
          <w:tcPr>
            <w:tcW w:w="80" w:type="dxa"/>
            <w:vAlign w:val="bottom"/>
            <w:tcBorders>
              <w:bottom w:val="single" w:sz="8" w:color="auto"/>
            </w:tcBorders>
            <w:shd w:val="clear" w:color="auto" w:fill="EAF9E8"/>
          </w:tcPr>
          <w:p>
            <w:pPr>
              <w:spacing w:after="0"/>
              <w:rPr>
                <w:sz w:val="13"/>
                <w:szCs w:val="13"/>
                <w:color w:val="auto"/>
              </w:rPr>
            </w:pPr>
          </w:p>
        </w:tc>
        <w:tc>
          <w:tcPr>
            <w:tcW w:w="160" w:type="dxa"/>
            <w:vAlign w:val="bottom"/>
            <w:tcBorders>
              <w:bottom w:val="single" w:sz="8" w:color="auto"/>
            </w:tcBorders>
            <w:shd w:val="clear" w:color="auto" w:fill="EAF9E8"/>
          </w:tcPr>
          <w:p>
            <w:pPr>
              <w:spacing w:after="0"/>
              <w:rPr>
                <w:sz w:val="13"/>
                <w:szCs w:val="13"/>
                <w:color w:val="auto"/>
              </w:rPr>
            </w:pPr>
          </w:p>
        </w:tc>
        <w:tc>
          <w:tcPr>
            <w:tcW w:w="760" w:type="dxa"/>
            <w:vAlign w:val="bottom"/>
            <w:tcBorders>
              <w:bottom w:val="single" w:sz="8" w:color="auto"/>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February 28, 2010</w:t>
            </w:r>
          </w:p>
        </w:tc>
        <w:tc>
          <w:tcPr>
            <w:tcW w:w="94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26,514</w:t>
            </w:r>
          </w:p>
        </w:tc>
        <w:tc>
          <w:tcPr>
            <w:tcW w:w="140" w:type="dxa"/>
            <w:vAlign w:val="bottom"/>
            <w:tcBorders>
              <w:bottom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265</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161,163</w:t>
            </w:r>
          </w:p>
        </w:tc>
        <w:tc>
          <w:tcPr>
            <w:tcW w:w="1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(35,733)</w:t>
            </w: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(935)</w:t>
            </w:r>
          </w:p>
        </w:tc>
        <w:tc>
          <w:tcPr>
            <w:tcW w:w="1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124,760</w:t>
            </w:r>
          </w:p>
        </w:tc>
        <w:tc>
          <w:tcPr>
            <w:tcW w:w="24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274</w:t>
            </w:r>
          </w:p>
        </w:tc>
        <w:tc>
          <w:tcPr>
            <w:tcW w:w="24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125,034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8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Nine months ended February 28, 2011:</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Balance at May 31, 2010</w:t>
            </w:r>
          </w:p>
        </w:tc>
        <w:tc>
          <w:tcPr>
            <w:tcW w:w="94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26,664</w:t>
            </w:r>
          </w:p>
        </w:tc>
        <w:tc>
          <w:tcPr>
            <w:tcW w:w="140" w:type="dxa"/>
            <w:vAlign w:val="bottom"/>
            <w:shd w:val="clear" w:color="auto" w:fill="EAF9E8"/>
          </w:tcPr>
          <w:p>
            <w:pPr>
              <w:jc w:val="center"/>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267</w:t>
            </w:r>
          </w:p>
        </w:tc>
        <w:tc>
          <w:tcPr>
            <w:tcW w:w="240" w:type="dxa"/>
            <w:vAlign w:val="bottom"/>
            <w:shd w:val="clear" w:color="auto" w:fill="EAF9E8"/>
          </w:tcPr>
          <w:p>
            <w:pPr>
              <w:spacing w:after="0"/>
              <w:rPr>
                <w:sz w:val="12"/>
                <w:szCs w:val="12"/>
                <w:color w:val="auto"/>
              </w:rPr>
            </w:pPr>
          </w:p>
        </w:tc>
        <w:tc>
          <w:tcPr>
            <w:tcW w:w="160" w:type="dxa"/>
            <w:vAlign w:val="bottom"/>
            <w:shd w:val="clear" w:color="auto" w:fill="EAF9E8"/>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162,054</w:t>
            </w:r>
          </w:p>
        </w:tc>
        <w:tc>
          <w:tcPr>
            <w:tcW w:w="1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(30,448)</w:t>
            </w:r>
          </w:p>
        </w:tc>
        <w:tc>
          <w:tcPr>
            <w:tcW w:w="60" w:type="dxa"/>
            <w:vAlign w:val="bottom"/>
            <w:shd w:val="clear" w:color="auto" w:fill="EAF9E8"/>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(1,587)</w:t>
            </w:r>
          </w:p>
        </w:tc>
        <w:tc>
          <w:tcPr>
            <w:tcW w:w="1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130,286</w:t>
            </w:r>
          </w:p>
        </w:tc>
        <w:tc>
          <w:tcPr>
            <w:tcW w:w="240" w:type="dxa"/>
            <w:vAlign w:val="bottom"/>
            <w:gridSpan w:val="2"/>
            <w:shd w:val="clear" w:color="auto" w:fill="EAF9E8"/>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268</w:t>
            </w:r>
          </w:p>
        </w:tc>
        <w:tc>
          <w:tcPr>
            <w:tcW w:w="24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130,554</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9,713</w:t>
            </w:r>
          </w:p>
        </w:tc>
        <w:tc>
          <w:tcPr>
            <w:tcW w:w="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9,713</w:t>
            </w: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9,687</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bottom w:val="single" w:sz="8" w:color="EAF9E8"/>
            </w:tcBorders>
            <w:shd w:val="clear" w:color="auto" w:fill="EAF9E8"/>
          </w:tcPr>
          <w:p>
            <w:pPr>
              <w:ind w:left="160"/>
              <w:spacing w:after="0" w:line="149" w:lineRule="exact"/>
              <w:rPr>
                <w:sz w:val="20"/>
                <w:szCs w:val="20"/>
                <w:color w:val="auto"/>
              </w:rPr>
            </w:pPr>
            <w:r>
              <w:rPr>
                <w:rFonts w:ascii="Arial" w:cs="Arial" w:eastAsia="Arial" w:hAnsi="Arial"/>
                <w:sz w:val="14"/>
                <w:szCs w:val="14"/>
                <w:color w:val="auto"/>
              </w:rPr>
              <w:t>Foreign currency translation adjustment</w:t>
            </w:r>
          </w:p>
        </w:tc>
        <w:tc>
          <w:tcPr>
            <w:tcW w:w="940" w:type="dxa"/>
            <w:vAlign w:val="bottom"/>
            <w:tcBorders>
              <w:bottom w:val="single" w:sz="8" w:color="EAF9E8"/>
            </w:tcBorders>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EAF9E8"/>
            </w:tcBorders>
            <w:shd w:val="clear" w:color="auto" w:fill="EAF9E8"/>
          </w:tcPr>
          <w:p>
            <w:pPr>
              <w:spacing w:after="0"/>
              <w:rPr>
                <w:sz w:val="13"/>
                <w:szCs w:val="13"/>
                <w:color w:val="auto"/>
              </w:rPr>
            </w:pPr>
          </w:p>
        </w:tc>
        <w:tc>
          <w:tcPr>
            <w:tcW w:w="1020" w:type="dxa"/>
            <w:vAlign w:val="bottom"/>
            <w:tcBorders>
              <w:bottom w:val="single" w:sz="8" w:color="EAF9E8"/>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EAF9E8"/>
            </w:tcBorders>
            <w:shd w:val="clear" w:color="auto" w:fill="EAF9E8"/>
          </w:tcPr>
          <w:p>
            <w:pPr>
              <w:spacing w:after="0"/>
              <w:rPr>
                <w:sz w:val="13"/>
                <w:szCs w:val="13"/>
                <w:color w:val="auto"/>
              </w:rPr>
            </w:pPr>
          </w:p>
        </w:tc>
        <w:tc>
          <w:tcPr>
            <w:tcW w:w="840" w:type="dxa"/>
            <w:vAlign w:val="bottom"/>
            <w:tcBorders>
              <w:bottom w:val="single" w:sz="8" w:color="EAF9E8"/>
            </w:tcBorders>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EAF9E8"/>
            </w:tcBorders>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1000" w:type="dxa"/>
            <w:vAlign w:val="bottom"/>
            <w:tcBorders>
              <w:bottom w:val="single" w:sz="8" w:color="EAF9E8"/>
            </w:tcBorders>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EAF9E8"/>
            </w:tcBorders>
            <w:shd w:val="clear" w:color="auto" w:fill="EAF9E8"/>
          </w:tcPr>
          <w:p>
            <w:pPr>
              <w:spacing w:after="0"/>
              <w:rPr>
                <w:sz w:val="13"/>
                <w:szCs w:val="13"/>
                <w:color w:val="auto"/>
              </w:rPr>
            </w:pPr>
          </w:p>
        </w:tc>
        <w:tc>
          <w:tcPr>
            <w:tcW w:w="840" w:type="dxa"/>
            <w:vAlign w:val="bottom"/>
            <w:tcBorders>
              <w:bottom w:val="single" w:sz="8" w:color="EAF9E8"/>
            </w:tcBorders>
            <w:shd w:val="clear" w:color="auto" w:fill="EAF9E8"/>
          </w:tcPr>
          <w:p>
            <w:pPr>
              <w:jc w:val="right"/>
              <w:spacing w:after="0" w:line="149" w:lineRule="exact"/>
              <w:rPr>
                <w:sz w:val="20"/>
                <w:szCs w:val="20"/>
                <w:color w:val="auto"/>
              </w:rPr>
            </w:pPr>
            <w:r>
              <w:rPr>
                <w:rFonts w:ascii="Arial" w:cs="Arial" w:eastAsia="Arial" w:hAnsi="Arial"/>
                <w:sz w:val="14"/>
                <w:szCs w:val="14"/>
                <w:color w:val="auto"/>
              </w:rPr>
              <w:t>880</w:t>
            </w:r>
          </w:p>
        </w:tc>
        <w:tc>
          <w:tcPr>
            <w:tcW w:w="12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shd w:val="clear" w:color="auto" w:fill="EAF9E8"/>
          </w:tcPr>
          <w:p>
            <w:pPr>
              <w:spacing w:after="0"/>
              <w:rPr>
                <w:sz w:val="13"/>
                <w:szCs w:val="13"/>
                <w:color w:val="auto"/>
              </w:rPr>
            </w:pPr>
          </w:p>
        </w:tc>
        <w:tc>
          <w:tcPr>
            <w:tcW w:w="940" w:type="dxa"/>
            <w:vAlign w:val="bottom"/>
            <w:tcBorders>
              <w:bottom w:val="single" w:sz="8" w:color="auto"/>
            </w:tcBorders>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880</w:t>
            </w:r>
          </w:p>
        </w:tc>
        <w:tc>
          <w:tcPr>
            <w:tcW w:w="100" w:type="dxa"/>
            <w:vAlign w:val="bottom"/>
            <w:tcBorders>
              <w:bottom w:val="single" w:sz="8" w:color="auto"/>
            </w:tcBorders>
            <w:shd w:val="clear" w:color="auto" w:fill="EAF9E8"/>
          </w:tcPr>
          <w:p>
            <w:pPr>
              <w:spacing w:after="0"/>
              <w:rPr>
                <w:sz w:val="13"/>
                <w:szCs w:val="13"/>
                <w:color w:val="auto"/>
              </w:rPr>
            </w:pPr>
          </w:p>
        </w:tc>
        <w:tc>
          <w:tcPr>
            <w:tcW w:w="140" w:type="dxa"/>
            <w:vAlign w:val="bottom"/>
            <w:tcBorders>
              <w:bottom w:val="single" w:sz="8" w:color="auto"/>
            </w:tcBorders>
            <w:shd w:val="clear" w:color="auto" w:fill="EAF9E8"/>
          </w:tcPr>
          <w:p>
            <w:pPr>
              <w:spacing w:after="0"/>
              <w:rPr>
                <w:sz w:val="13"/>
                <w:szCs w:val="13"/>
                <w:color w:val="auto"/>
              </w:rPr>
            </w:pPr>
          </w:p>
        </w:tc>
        <w:tc>
          <w:tcPr>
            <w:tcW w:w="900" w:type="dxa"/>
            <w:vAlign w:val="bottom"/>
            <w:tcBorders>
              <w:bottom w:val="single" w:sz="8" w:color="auto"/>
            </w:tcBorders>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80" w:type="dxa"/>
            <w:vAlign w:val="bottom"/>
            <w:tcBorders>
              <w:bottom w:val="single" w:sz="8" w:color="auto"/>
            </w:tcBorders>
            <w:shd w:val="clear" w:color="auto" w:fill="EAF9E8"/>
          </w:tcPr>
          <w:p>
            <w:pPr>
              <w:spacing w:after="0"/>
              <w:rPr>
                <w:sz w:val="13"/>
                <w:szCs w:val="13"/>
                <w:color w:val="auto"/>
              </w:rPr>
            </w:pPr>
          </w:p>
        </w:tc>
        <w:tc>
          <w:tcPr>
            <w:tcW w:w="160" w:type="dxa"/>
            <w:vAlign w:val="bottom"/>
            <w:tcBorders>
              <w:bottom w:val="single" w:sz="8" w:color="auto"/>
            </w:tcBorders>
            <w:shd w:val="clear" w:color="auto" w:fill="EAF9E8"/>
          </w:tcPr>
          <w:p>
            <w:pPr>
              <w:spacing w:after="0"/>
              <w:rPr>
                <w:sz w:val="13"/>
                <w:szCs w:val="13"/>
                <w:color w:val="auto"/>
              </w:rPr>
            </w:pPr>
          </w:p>
        </w:tc>
        <w:tc>
          <w:tcPr>
            <w:tcW w:w="760" w:type="dxa"/>
            <w:vAlign w:val="bottom"/>
            <w:tcBorders>
              <w:bottom w:val="single" w:sz="8" w:color="auto"/>
            </w:tcBorders>
            <w:shd w:val="clear" w:color="auto" w:fill="EAF9E8"/>
          </w:tcPr>
          <w:p>
            <w:pPr>
              <w:jc w:val="right"/>
              <w:spacing w:after="0" w:line="149" w:lineRule="exact"/>
              <w:rPr>
                <w:sz w:val="20"/>
                <w:szCs w:val="20"/>
                <w:color w:val="auto"/>
              </w:rPr>
            </w:pPr>
            <w:r>
              <w:rPr>
                <w:rFonts w:ascii="Arial" w:cs="Arial" w:eastAsia="Arial" w:hAnsi="Arial"/>
                <w:sz w:val="14"/>
                <w:szCs w:val="14"/>
                <w:color w:val="auto"/>
              </w:rPr>
              <w:t>885</w:t>
            </w:r>
          </w:p>
        </w:tc>
        <w:tc>
          <w:tcPr>
            <w:tcW w:w="100" w:type="dxa"/>
            <w:vAlign w:val="bottom"/>
            <w:tcBorders>
              <w:bottom w:val="single" w:sz="8" w:color="EAF9E8"/>
            </w:tcBorders>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Comprehensive Income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10,593</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Stock compensation</w:t>
            </w:r>
          </w:p>
        </w:tc>
        <w:tc>
          <w:tcPr>
            <w:tcW w:w="8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2,680</w:t>
            </w:r>
          </w:p>
        </w:tc>
        <w:tc>
          <w:tcPr>
            <w:tcW w:w="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96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2,680</w:t>
            </w: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7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2,680</w:t>
            </w: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bottom w:val="single" w:sz="8" w:color="EAF9E8"/>
            </w:tcBorders>
            <w:shd w:val="clear" w:color="auto" w:fill="EAF9E8"/>
          </w:tcPr>
          <w:p>
            <w:pPr>
              <w:ind w:left="160"/>
              <w:spacing w:after="0" w:line="149" w:lineRule="exact"/>
              <w:rPr>
                <w:sz w:val="20"/>
                <w:szCs w:val="20"/>
                <w:color w:val="auto"/>
              </w:rPr>
            </w:pPr>
            <w:r>
              <w:rPr>
                <w:rFonts w:ascii="Arial" w:cs="Arial" w:eastAsia="Arial" w:hAnsi="Arial"/>
                <w:sz w:val="14"/>
                <w:szCs w:val="14"/>
                <w:color w:val="auto"/>
              </w:rPr>
              <w:t>Noncontrolling interest in subsidiary</w:t>
            </w:r>
          </w:p>
        </w:tc>
        <w:tc>
          <w:tcPr>
            <w:tcW w:w="940" w:type="dxa"/>
            <w:vAlign w:val="bottom"/>
            <w:tcBorders>
              <w:bottom w:val="single" w:sz="8" w:color="auto"/>
            </w:tcBorders>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EAF9E8"/>
          </w:tcPr>
          <w:p>
            <w:pPr>
              <w:spacing w:after="0"/>
              <w:rPr>
                <w:sz w:val="13"/>
                <w:szCs w:val="13"/>
                <w:color w:val="auto"/>
              </w:rPr>
            </w:pPr>
          </w:p>
        </w:tc>
        <w:tc>
          <w:tcPr>
            <w:tcW w:w="1020" w:type="dxa"/>
            <w:vAlign w:val="bottom"/>
            <w:tcBorders>
              <w:bottom w:val="single" w:sz="8" w:color="auto"/>
            </w:tcBorders>
            <w:gridSpan w:val="2"/>
            <w:shd w:val="clear" w:color="auto" w:fill="EAF9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AF9E8"/>
          </w:tcPr>
          <w:p>
            <w:pPr>
              <w:spacing w:after="0"/>
              <w:rPr>
                <w:sz w:val="13"/>
                <w:szCs w:val="13"/>
                <w:color w:val="auto"/>
              </w:rPr>
            </w:pPr>
          </w:p>
        </w:tc>
        <w:tc>
          <w:tcPr>
            <w:tcW w:w="840" w:type="dxa"/>
            <w:vAlign w:val="bottom"/>
            <w:tcBorders>
              <w:bottom w:val="single" w:sz="8" w:color="auto"/>
            </w:tcBorders>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EAF9E8"/>
          </w:tcPr>
          <w:p>
            <w:pPr>
              <w:spacing w:after="0"/>
              <w:rPr>
                <w:sz w:val="13"/>
                <w:szCs w:val="13"/>
                <w:color w:val="auto"/>
              </w:rPr>
            </w:pPr>
          </w:p>
        </w:tc>
        <w:tc>
          <w:tcPr>
            <w:tcW w:w="140" w:type="dxa"/>
            <w:vAlign w:val="bottom"/>
            <w:tcBorders>
              <w:bottom w:val="single" w:sz="8" w:color="auto"/>
            </w:tcBorders>
            <w:shd w:val="clear" w:color="auto" w:fill="EAF9E8"/>
          </w:tcPr>
          <w:p>
            <w:pPr>
              <w:spacing w:after="0"/>
              <w:rPr>
                <w:sz w:val="13"/>
                <w:szCs w:val="13"/>
                <w:color w:val="auto"/>
              </w:rPr>
            </w:pPr>
          </w:p>
        </w:tc>
        <w:tc>
          <w:tcPr>
            <w:tcW w:w="1000" w:type="dxa"/>
            <w:vAlign w:val="bottom"/>
            <w:tcBorders>
              <w:bottom w:val="single" w:sz="8" w:color="auto"/>
            </w:tcBorders>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EAF9E8"/>
          </w:tcPr>
          <w:p>
            <w:pPr>
              <w:spacing w:after="0"/>
              <w:rPr>
                <w:sz w:val="13"/>
                <w:szCs w:val="13"/>
                <w:color w:val="auto"/>
              </w:rPr>
            </w:pPr>
          </w:p>
        </w:tc>
        <w:tc>
          <w:tcPr>
            <w:tcW w:w="960" w:type="dxa"/>
            <w:vAlign w:val="bottom"/>
            <w:tcBorders>
              <w:bottom w:val="single" w:sz="8" w:color="auto"/>
            </w:tcBorders>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EAF9E8"/>
          </w:tcPr>
          <w:p>
            <w:pPr>
              <w:spacing w:after="0"/>
              <w:rPr>
                <w:sz w:val="13"/>
                <w:szCs w:val="13"/>
                <w:color w:val="auto"/>
              </w:rPr>
            </w:pPr>
          </w:p>
        </w:tc>
        <w:tc>
          <w:tcPr>
            <w:tcW w:w="80" w:type="dxa"/>
            <w:vAlign w:val="bottom"/>
            <w:tcBorders>
              <w:bottom w:val="single" w:sz="8" w:color="auto"/>
            </w:tcBorders>
            <w:shd w:val="clear" w:color="auto" w:fill="EAF9E8"/>
          </w:tcPr>
          <w:p>
            <w:pPr>
              <w:spacing w:after="0"/>
              <w:rPr>
                <w:sz w:val="13"/>
                <w:szCs w:val="13"/>
                <w:color w:val="auto"/>
              </w:rPr>
            </w:pPr>
          </w:p>
        </w:tc>
        <w:tc>
          <w:tcPr>
            <w:tcW w:w="940" w:type="dxa"/>
            <w:vAlign w:val="bottom"/>
            <w:tcBorders>
              <w:bottom w:val="single" w:sz="8" w:color="auto"/>
            </w:tcBorders>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EAF9E8"/>
          </w:tcPr>
          <w:p>
            <w:pPr>
              <w:spacing w:after="0"/>
              <w:rPr>
                <w:sz w:val="13"/>
                <w:szCs w:val="13"/>
                <w:color w:val="auto"/>
              </w:rPr>
            </w:pPr>
          </w:p>
        </w:tc>
        <w:tc>
          <w:tcPr>
            <w:tcW w:w="140" w:type="dxa"/>
            <w:vAlign w:val="bottom"/>
            <w:tcBorders>
              <w:bottom w:val="single" w:sz="8" w:color="auto"/>
            </w:tcBorders>
            <w:shd w:val="clear" w:color="auto" w:fill="EAF9E8"/>
          </w:tcPr>
          <w:p>
            <w:pPr>
              <w:spacing w:after="0"/>
              <w:rPr>
                <w:sz w:val="13"/>
                <w:szCs w:val="13"/>
                <w:color w:val="auto"/>
              </w:rPr>
            </w:pPr>
          </w:p>
        </w:tc>
        <w:tc>
          <w:tcPr>
            <w:tcW w:w="900" w:type="dxa"/>
            <w:vAlign w:val="bottom"/>
            <w:tcBorders>
              <w:bottom w:val="single" w:sz="8" w:color="auto"/>
            </w:tcBorders>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117</w:t>
            </w:r>
          </w:p>
        </w:tc>
        <w:tc>
          <w:tcPr>
            <w:tcW w:w="80" w:type="dxa"/>
            <w:vAlign w:val="bottom"/>
            <w:tcBorders>
              <w:bottom w:val="single" w:sz="8" w:color="auto"/>
            </w:tcBorders>
            <w:shd w:val="clear" w:color="auto" w:fill="EAF9E8"/>
          </w:tcPr>
          <w:p>
            <w:pPr>
              <w:spacing w:after="0"/>
              <w:rPr>
                <w:sz w:val="13"/>
                <w:szCs w:val="13"/>
                <w:color w:val="auto"/>
              </w:rPr>
            </w:pPr>
          </w:p>
        </w:tc>
        <w:tc>
          <w:tcPr>
            <w:tcW w:w="160" w:type="dxa"/>
            <w:vAlign w:val="bottom"/>
            <w:tcBorders>
              <w:bottom w:val="single" w:sz="8" w:color="auto"/>
            </w:tcBorders>
            <w:shd w:val="clear" w:color="auto" w:fill="EAF9E8"/>
          </w:tcPr>
          <w:p>
            <w:pPr>
              <w:spacing w:after="0"/>
              <w:rPr>
                <w:sz w:val="13"/>
                <w:szCs w:val="13"/>
                <w:color w:val="auto"/>
              </w:rPr>
            </w:pPr>
          </w:p>
        </w:tc>
        <w:tc>
          <w:tcPr>
            <w:tcW w:w="760" w:type="dxa"/>
            <w:vAlign w:val="bottom"/>
            <w:tcBorders>
              <w:bottom w:val="single" w:sz="8" w:color="auto"/>
            </w:tcBorders>
            <w:shd w:val="clear" w:color="auto" w:fill="EAF9E8"/>
          </w:tcPr>
          <w:p>
            <w:pPr>
              <w:jc w:val="right"/>
              <w:spacing w:after="0" w:line="149" w:lineRule="exact"/>
              <w:rPr>
                <w:sz w:val="20"/>
                <w:szCs w:val="20"/>
                <w:color w:val="auto"/>
              </w:rPr>
            </w:pPr>
            <w:r>
              <w:rPr>
                <w:rFonts w:ascii="Arial" w:cs="Arial" w:eastAsia="Arial" w:hAnsi="Arial"/>
                <w:sz w:val="14"/>
                <w:szCs w:val="14"/>
                <w:color w:val="auto"/>
              </w:rPr>
              <w:t>117</w:t>
            </w:r>
          </w:p>
        </w:tc>
        <w:tc>
          <w:tcPr>
            <w:tcW w:w="100" w:type="dxa"/>
            <w:vAlign w:val="bottom"/>
            <w:tcBorders>
              <w:bottom w:val="single" w:sz="8" w:color="EAF9E8"/>
            </w:tcBorders>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February 28, 2011</w:t>
            </w:r>
          </w:p>
        </w:tc>
        <w:tc>
          <w:tcPr>
            <w:tcW w:w="94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26,670</w:t>
            </w:r>
          </w:p>
        </w:tc>
        <w:tc>
          <w:tcPr>
            <w:tcW w:w="140" w:type="dxa"/>
            <w:vAlign w:val="bottom"/>
            <w:tcBorders>
              <w:bottom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267</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164,764</w:t>
            </w:r>
          </w:p>
        </w:tc>
        <w:tc>
          <w:tcPr>
            <w:tcW w:w="1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(20,735)</w:t>
            </w: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(707)</w:t>
            </w:r>
          </w:p>
        </w:tc>
        <w:tc>
          <w:tcPr>
            <w:tcW w:w="1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143,589</w:t>
            </w:r>
          </w:p>
        </w:tc>
        <w:tc>
          <w:tcPr>
            <w:tcW w:w="24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364</w:t>
            </w:r>
          </w:p>
        </w:tc>
        <w:tc>
          <w:tcPr>
            <w:tcW w:w="24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143,953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Nine months ended February 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11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9,713</w:t>
            </w:r>
          </w:p>
        </w:tc>
        <w:tc>
          <w:tcPr>
            <w:tcW w:w="20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13,608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extinguishment of long-term debt</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Gain on sale of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rate swap</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 currency gain</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(6,620)</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(1,377)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979</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971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1,468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21,365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5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(6,051)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Purchase of intangible assets</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Acquisition of businesses, net of cash acquired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(18,301)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Proceeds from sale of equipment</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(24,580)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5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Repayment of capital lease obligations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(4,631)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Repayments of long-term debt</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(6,808)</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(66,855)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borrowings (repayments) from revolver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Proceeds from borrowings of long-term debt</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Net proceeds from issuance of common stock</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2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(6,367)</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11,565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(9,477)</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Beginning of period</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w w:val="98"/>
              </w:rPr>
              <w:t>16,037</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End of period</w:t>
            </w:r>
          </w:p>
        </w:tc>
        <w:tc>
          <w:tcPr>
            <w:tcW w:w="22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6,560</w:t>
            </w:r>
          </w:p>
        </w:tc>
        <w:tc>
          <w:tcPr>
            <w:tcW w:w="20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Supplemental disclosure of cash paid</w:t>
            </w:r>
          </w:p>
        </w:tc>
        <w:tc>
          <w:tcPr>
            <w:tcW w:w="220" w:type="dxa"/>
            <w:vAlign w:val="bottom"/>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5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w:t>
            </w:r>
          </w:p>
        </w:tc>
        <w:tc>
          <w:tcPr>
            <w:tcW w:w="11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2,058</w:t>
            </w:r>
          </w:p>
        </w:tc>
        <w:tc>
          <w:tcPr>
            <w:tcW w:w="20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Income taxes</w:t>
            </w:r>
          </w:p>
        </w:tc>
        <w:tc>
          <w:tcPr>
            <w:tcW w:w="1160" w:type="dxa"/>
            <w:vAlign w:val="bottom"/>
            <w:gridSpan w:val="2"/>
            <w:shd w:val="clear" w:color="auto" w:fill="EAF9E8"/>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6,581</w:t>
            </w:r>
          </w:p>
        </w:tc>
        <w:tc>
          <w:tcPr>
            <w:tcW w:w="20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Noncash investing and financing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Equipment acquired through capital lease obligations</w:t>
            </w:r>
          </w:p>
        </w:tc>
        <w:tc>
          <w:tcPr>
            <w:tcW w:w="1160" w:type="dxa"/>
            <w:vAlign w:val="bottom"/>
            <w:gridSpan w:val="2"/>
            <w:shd w:val="clear" w:color="auto" w:fill="EAF9E8"/>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3,678</w:t>
            </w:r>
          </w:p>
        </w:tc>
        <w:tc>
          <w:tcPr>
            <w:tcW w:w="20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Issuance of notes payable and other debt obligations primarily related to acquisitions</w:t>
            </w:r>
          </w:p>
        </w:tc>
        <w:tc>
          <w:tcPr>
            <w:tcW w:w="1160" w:type="dxa"/>
            <w:vAlign w:val="bottom"/>
            <w:gridSpan w:val="2"/>
            <w:shd w:val="clear" w:color="auto" w:fill="EAF9E8"/>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1,637</w:t>
            </w:r>
          </w:p>
        </w:tc>
        <w:tc>
          <w:tcPr>
            <w:tcW w:w="20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4" w:lineRule="exact"/>
        <w:rPr>
          <w:sz w:val="20"/>
          <w:szCs w:val="20"/>
          <w:color w:val="auto"/>
        </w:rPr>
      </w:pPr>
    </w:p>
    <w:p>
      <w:pPr>
        <w:ind w:left="820" w:hanging="812"/>
        <w:spacing w:after="0"/>
        <w:tabs>
          <w:tab w:leader="none" w:pos="8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&amp;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Given the role the Company services play in ensuring the safe and efficient operation of infrastructure, the Company has historically provided a majority of its services to its customers on a regular, recurring basis. The Company serves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(“GAAP”) for interim financial information. Accordingly, they do not include all of the information and footnotes required by GAAP for complete financial statements. In the opinion of management, all adjustments (consisting of normal recurring accruals) considered necessary for a fair presentation have been included. Operating results for the three and nine months ended February 28, 2011 are not necessarily indicative of the results that may be expected for the year ending May 31, 2011. The balance sheet at May 31, 2010 has been derived from the audited financial statements at that date but does not include all of the information and footnotes required by GAAP for complete financial statements. You should read these unaudited consolidated financial statements together with the historical consolidated financial statements of the Company as filed with the Securities and Exchange Commission.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accompanying consolidated financial statements include the accounts of Mistras Group, Inc. and its wholly or majority-owned subsidiaries. Where the Company’s ownership interest is less than 100%, the noncontrolling interests are reported in stockholders’ equity in the accompanying consolidated balance sheets. The noncontrolling interest in net income, net of tax, is classified separately in the accompanying consolidated statements of operations.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significant intercompany accounts and transactions have been eliminated in consolidation. All foreign subsidiaries’ fiscal years end on April 30, while Mistras Group, Inc. and the domestic subsidiaries’ fiscal years end on May 31. The effect of this difference in timing of reporting foreign operations on the consolidated results of operations and consolidated financial position is not significant.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amounts previously reported in prior periods have been reclassified to conform to the current year presentation. Such reclassifications did not have a material effect on the Company’s financial condition or results of operations as previously reported.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4" w:lineRule="exact"/>
        <w:rPr>
          <w:sz w:val="20"/>
          <w:szCs w:val="20"/>
          <w:color w:val="auto"/>
        </w:rPr>
      </w:pPr>
    </w:p>
    <w:p>
      <w:pPr>
        <w:ind w:left="820" w:hanging="812"/>
        <w:spacing w:after="0"/>
        <w:tabs>
          <w:tab w:leader="none" w:pos="8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policies for the various sources of revenues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predominantly derives revenues by providing its services on a time and material basis and recognizes revenues when services are rendered. At the end of any reporting period, there may be earned but unbilled revenues that are accrued. Payments received in advance of revenue recognition are reflected as deferred revenues.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the sale of perpetual licenses are recognized upon the delivery and acceptance of the software. Revenues from term licenses are recognized ratably over the period of the license. Revenues from maintenance, unspecified upgrades and technical support are recognized ratably over the period such items are delivered. For multiple-element arrangement software contracts that include non-software elements, and where the software is essential to the functionality of the non-software elements (collectively referred to as software multiple-element arrangements), the Company applies the rules as noted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from product sales are recognized when risk of loss and title passes to the customer, which is generally upon product delivery. The exceptions to this accounting treatment would be for multiple-element arrangements (described below) or those situations where specialized installation or customer acceptance is required. Payments received in advance of revenue recognition are reflected as deferred revenues.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 of completion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portion of the Company’s revenues are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the Company’s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arrangements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occasionally enters into transactions that represent multiple-element arrangements, which may include any combination of services, software, and hardware. Under current Financial Accounting Standards Board (“FASB”) guidance, the Company utilizes vendor-specific objective evidence to determine whether the multiple elements can be separated into more than one unit of accounting. A multiple-element arrangement is separated into more than one unit of accounting if: (1) the delivered item has value on a standalone basis; and (2) there is objective and reliable evidence of the fair value of the undelivered items, if the delivery or performance of the undelivered items is probable and in the control of the Company.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these criteria are not met, then revenues are deferred until such criteria are met or until the period(s) over which the last undelivered element is delivered. If there is objective and reliable evidence of fair value for all units of accounting in an arrangement, the arrangement consideration is allocated to the separate units of accounting based on each unit’s relative fair value. Effective June 1, 2012, the Company will adopt updated guidance from the FASB that will require the allocation of revenue in multiple-element arrangements to separate units of accounting based on an element’s estimated selling price if vendor-specific or other first party evidence is not available; see “Recent Accounting Pronouncements”.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unaudited consolidated financial statements have been prepared in conformity with GAAP, which requires management to make estimates and assumptions about future events that affect the reported amounts of assets and liabilities, disclosure of contingent assets and liabilities at the date of the financial statements, and the reported amounts of revenues and expenses during the reporting period. Actual results could differ from these estimates. The more significant estimates include valuation of goodwill and intangible assets, useful lives of long-lived assets, allowances for doubtful accounts, inventory valuation, reserves for self-insured workers compensation and health benefits and provision for income taxes.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represents the excess of the purchase price over the fair market value of net assets of the acquired business at the date of acquisition. The Company tests for impairment annually, in its fiscal fourth quarter, using a two-step process. The first step identifies potential impairment by comparing the fair value of the Company’s reporting units to its carrying value. If the fair value is less than the carrying value, the second step measures the amount of impairment, if any. The impairment loss is the amount by which the carrying amount of goodwill exceeds the implied fair value of that goodwill. The most recent annual test for impairment performed for fiscal 2010 did not identify any instances of impairment and there were no events through February 28, 2011 that warranted a reconsideration of our impairment test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recorded at cost. Intangible assets with finite lives are amortized on a straight-line basis over their estimated useful lives.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primarily to large companies, extends reasonably short collection terms, performs credit evaluations and does not require collateral. The Company maintains reserves for potential credit losses.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divisions or business units of B.P., plc. (“BP”), the Company’s largest customer, accounted for 21% and 17% of revenues for the three months ended February 28, 2011 and 2010, respectively, and 17% and 19% of total revenues for the nine months ended February 28, 2011 and 2010, respectively. Accounts receivable from this customer was approximately 15% and 10% of total accounts receivable, net, as of February 28, 2011 and May 31, 2010, respectively.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measures the cost of employee services received in exchange for an award of equity instruments based upon the grant-date fair value of the award. The Company uses the “straight-line” attribution method for allocating compensation costs and recognizes the fair value of each equity award on a straight-line basis over the vesting period of the related awards.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uses the Black-Scholes option-pricing model to estimate the fair value of the stock option awards as of the grant date. The Black-Scholes model, by its design, is highly complex and dependent upon key data inputs estimated by management. The primary data inputs with the greatest degree of judgment are the expected term of stock-based awards and the estimated volatility of the Company’s common stock price. The Black-Scholes model is sensitive to changes in these two variables. Since the Company’s initial public offering (“IPO”), the expected term of the Company’s stock options is generally determined using the mid-point between the vesting period and the end of the contractual term. Expected stock price volatility is typically based on the daily historical trading data for a period equal to the expected term. Because the Company’s historical trading data only dates back to October 8, 2009, the first trading date after its IPO, the Company has estimated expected volatility using an analysis of the stock price volatility of comparable peer companies. Prior to the Company’s IPO, the exercise price equaled the estimated fair market value of the Company’s common stock, as determined by its board of directors. Since the Company’s IPO, the exercise price of stock option grants is determined using the closing market price of the Company’s common stock on the date of grant.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2009, the FASB issued guidance on revenue recognition related to multiple-element arrangements. The new guidance requires companies to allocate revenue in multiple-element arrangements based on an element’s estimated selling price if vendor-specific or other first party evidence of value is not available. This guidance is effective prospectively for revenue arrangements entered into or materially modified in fiscal years beginning on or after June 15, 2010. Early adoption is permitted retrospectively from the beginning of an entity’s fiscal year. The Company does not expect a significant impact on the financial statements of the Company when the guidance is adopted in fiscal 2012.</w:t>
      </w:r>
    </w:p>
    <w:p>
      <w:pPr>
        <w:spacing w:after="0" w:line="211" w:lineRule="exact"/>
        <w:rPr>
          <w:sz w:val="20"/>
          <w:szCs w:val="20"/>
          <w:color w:val="auto"/>
        </w:rPr>
      </w:pPr>
    </w:p>
    <w:p>
      <w:pPr>
        <w:ind w:left="820" w:hanging="812"/>
        <w:spacing w:after="0"/>
        <w:tabs>
          <w:tab w:leader="none" w:pos="8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2009, the Company completed its IPO of 10,000,000 shares of common stock at a price of $12.50 per share. The Company sold 6,700,000 shares. The Company received net proceeds of approximately $74.0 million from the offering. The Company used approximately $68.0 million of the net proceeds to repay the outstanding principal balance of its then term loan ($25.0 million) and of its revolving credit facility ($41.4 million), and accrued interest thereon ($0.1 million), as well as approximately $1.5 million to pay costs and expenses related to the offering. The remaining proceeds (approximately $6.0 million) were used for acquisitions and working capital purposes.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common stock will be paid when, and if declared by the board of directors. Each holder of common stock is entitled to vote on all matters and is entitled to one vote for each share held.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its IPO in October 2009, the Company completed several private placements of its Class A and Class B preferred stock. These preferred shares included various redemption and conversion features and were reported outside the equity section and adjusted to fair value, which represented their redemption value at each reporting date. Effective upon the closing of the IPO, all of the preferred shares outstanding as of the offering converted to common stock.</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September 2009, the Company’s board of directors and shareholders adopted and approved the 2009 Long-Term Incentive Plan (the “2009 Plan”), which became effective upon the closing of the IPO. Awards may be in the form of stock options, restricted stock units and other forms of stock-based incentives, including stock appreciation rights and deferred stock rights. The term of each incentive and non-qualified stock option is ten years. Vesting generally occurs over a period of four years, the expense for which is recorded on a straight-line basis over the requisite service period. The 2009 Plan allows for the grant of awards of up to approximately 2,286,000 shares of common stock, of which 1,998,000 shares were available for future grants as of February 28, 2011. Prior to the Company’s IPO in October 2009, the Company had two stock option plans: (i) the 1995 Incentive Stock Option and Restricted Stock Purchase Plan (the “1995 Plan”), and (ii) the 2007 Stock Option Plan (the “2007 Plan”). No additional awards may be granted from these two plans. As of February 28, 2011, there were stock options for a total of approximately 2,878,000 shares of common stock and approximately 217,000 unvested restricted stock units outstanding under the 2009 Plan, the 2007 Plan, and the 1995 Plan.</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Company’s stock option awards was estimated at the date of grant using the Black-Scholes option-pricing model with the following range of assumptions: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3"/>
              </w:rPr>
              <w:t>For the nine months ended February 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EAF9E8"/>
          </w:tcPr>
          <w:p>
            <w:pPr>
              <w:spacing w:after="0"/>
              <w:rPr>
                <w:sz w:val="20"/>
                <w:szCs w:val="20"/>
                <w:color w:val="auto"/>
              </w:rPr>
            </w:pPr>
            <w:r>
              <w:rPr>
                <w:rFonts w:ascii="Arial" w:cs="Arial" w:eastAsia="Arial" w:hAnsi="Arial"/>
                <w:sz w:val="18"/>
                <w:szCs w:val="18"/>
                <w:color w:val="auto"/>
              </w:rPr>
              <w:t>Dividend yield</w:t>
            </w:r>
          </w:p>
        </w:tc>
        <w:tc>
          <w:tcPr>
            <w:tcW w:w="154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rPr>
              <w:t>0.0%</w:t>
            </w:r>
          </w:p>
        </w:tc>
        <w:tc>
          <w:tcPr>
            <w:tcW w:w="18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44%</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EAF9E8"/>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rPr>
              <w:t>2.6%</w:t>
            </w:r>
          </w:p>
        </w:tc>
        <w:tc>
          <w:tcPr>
            <w:tcW w:w="18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Expected term (years)</w:t>
            </w:r>
          </w:p>
        </w:tc>
        <w:tc>
          <w:tcPr>
            <w:tcW w:w="1540" w:type="dxa"/>
            <w:vAlign w:val="bottom"/>
          </w:tcPr>
          <w:p>
            <w:pPr>
              <w:jc w:val="right"/>
              <w:ind w:right="430"/>
              <w:spacing w:after="0"/>
              <w:rPr>
                <w:sz w:val="20"/>
                <w:szCs w:val="20"/>
                <w:color w:val="auto"/>
              </w:rPr>
            </w:pPr>
            <w:r>
              <w:rPr>
                <w:rFonts w:ascii="Arial" w:cs="Arial" w:eastAsia="Arial" w:hAnsi="Arial"/>
                <w:sz w:val="18"/>
                <w:szCs w:val="18"/>
                <w:color w:val="auto"/>
              </w:rPr>
              <w:t>6.3</w:t>
            </w:r>
          </w:p>
        </w:tc>
        <w:tc>
          <w:tcPr>
            <w:tcW w:w="1840" w:type="dxa"/>
            <w:vAlign w:val="bottom"/>
            <w:gridSpan w:val="2"/>
          </w:tcPr>
          <w:p>
            <w:pPr>
              <w:jc w:val="right"/>
              <w:ind w:right="520"/>
              <w:spacing w:after="0"/>
              <w:rPr>
                <w:sz w:val="20"/>
                <w:szCs w:val="20"/>
                <w:color w:val="auto"/>
              </w:rPr>
            </w:pPr>
            <w:r>
              <w:rPr>
                <w:rFonts w:ascii="Arial" w:cs="Arial" w:eastAsia="Arial" w:hAnsi="Arial"/>
                <w:sz w:val="18"/>
                <w:szCs w:val="18"/>
                <w:color w:val="auto"/>
              </w:rPr>
              <w:t>4.0-6.3</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recognized stock-based compensation expense related to stock option awards of approximately $0.8 million and $0.8 million for the three months ended February 28, 2011 and 2010, respectively. For the nine months ended February 28, 2011 and 2010, the Company recognized stock-based compensation expense related to stock option awards of $2.4 million and $1.9 million, respectively. Cash proceeds from and the aggregate intrinsic value of stock options exercised during the three and nine month periods ended February 28, 2011 and 2010 were as follows: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3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8"/>
              </w:rPr>
              <w:t>For the three and 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February 28,</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AF9E8"/>
          </w:tcPr>
          <w:p>
            <w:pPr>
              <w:spacing w:after="0"/>
              <w:rPr>
                <w:sz w:val="20"/>
                <w:szCs w:val="20"/>
                <w:color w:val="auto"/>
              </w:rPr>
            </w:pPr>
            <w:r>
              <w:rPr>
                <w:rFonts w:ascii="Arial" w:cs="Arial" w:eastAsia="Arial" w:hAnsi="Arial"/>
                <w:sz w:val="18"/>
                <w:szCs w:val="18"/>
                <w:color w:val="auto"/>
              </w:rPr>
              <w:t>Cash proceeds from options exercised</w:t>
            </w:r>
          </w:p>
        </w:tc>
        <w:tc>
          <w:tcPr>
            <w:tcW w:w="2800" w:type="dxa"/>
            <w:vAlign w:val="bottom"/>
            <w:gridSpan w:val="2"/>
            <w:shd w:val="clear" w:color="auto" w:fill="EAF9E8"/>
          </w:tcPr>
          <w:p>
            <w:pPr>
              <w:jc w:val="right"/>
              <w:ind w:right="83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w:t>
            </w:r>
          </w:p>
        </w:tc>
        <w:tc>
          <w:tcPr>
            <w:tcW w:w="8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Aggregate intrinsic value of options exercised</w:t>
            </w:r>
          </w:p>
        </w:tc>
        <w:tc>
          <w:tcPr>
            <w:tcW w:w="1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28, 2011, there was approximately $7.7 million of unrecognized compensation costs, net of estimated forfeitures, related to stock option awards which are expected to be recognized over a remaining weighted average period of 2.5 years.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recognized approximately $0.1 million and $0.3 million in stock-based compensation expense related to restricted stock unit awards during the three and nine month periods ended February 28, 2011. There was no such expense incurred during the three and nine month periods ended February 28, 2010. As of February 28, 2011, there was approximately $1.8 million of unrecognized compensation costs, net of estimated forfeitures, related to restricted stock unit awards, which are expected to be recognized over a remaining weighted average period of 3.5 years.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4" w:lineRule="exact"/>
        <w:rPr>
          <w:sz w:val="20"/>
          <w:szCs w:val="20"/>
          <w:color w:val="auto"/>
        </w:rPr>
      </w:pPr>
    </w:p>
    <w:p>
      <w:pPr>
        <w:ind w:left="820" w:hanging="812"/>
        <w:spacing w:after="0"/>
        <w:tabs>
          <w:tab w:leader="none" w:pos="8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5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 February 28,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6"/>
          </w:tcPr>
          <w:p>
            <w:pPr>
              <w:ind w:left="140"/>
              <w:spacing w:after="0"/>
              <w:rPr>
                <w:sz w:val="20"/>
                <w:szCs w:val="20"/>
                <w:color w:val="auto"/>
              </w:rPr>
            </w:pPr>
            <w:r>
              <w:rPr>
                <w:rFonts w:ascii="Arial" w:cs="Arial" w:eastAsia="Arial" w:hAnsi="Arial"/>
                <w:sz w:val="18"/>
                <w:szCs w:val="18"/>
                <w:b w:val="1"/>
                <w:bCs w:val="1"/>
                <w:color w:val="auto"/>
              </w:rPr>
              <w:t>Nine months ended February 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Basic earnings per share</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0" w:type="dxa"/>
            <w:vAlign w:val="bottom"/>
            <w:shd w:val="clear" w:color="auto" w:fill="EAF9E8"/>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960" w:type="dxa"/>
            <w:vAlign w:val="bottom"/>
            <w:shd w:val="clear" w:color="auto" w:fill="EAF9E8"/>
          </w:tcPr>
          <w:p>
            <w:pPr>
              <w:jc w:val="right"/>
              <w:ind w:right="8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2,443</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774</w:t>
            </w:r>
          </w:p>
        </w:tc>
        <w:tc>
          <w:tcPr>
            <w:tcW w:w="4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9,713</w:t>
            </w:r>
          </w:p>
        </w:tc>
        <w:tc>
          <w:tcPr>
            <w:tcW w:w="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0" w:type="dxa"/>
            <w:vAlign w:val="bottom"/>
            <w:shd w:val="clear" w:color="auto" w:fill="EAF9E8"/>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26,667</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26,469</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26,665</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4200" w:type="dxa"/>
            <w:vAlign w:val="bottom"/>
            <w:shd w:val="clear" w:color="auto" w:fill="EAF9E8"/>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gridSpan w:val="2"/>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Numerator:</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2,443</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774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9,713</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Denominator</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9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26,667</w:t>
            </w: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26,469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26,665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0" w:type="dxa"/>
            <w:vAlign w:val="bottom"/>
            <w:shd w:val="clear" w:color="auto" w:fill="EAF9E8"/>
          </w:tcPr>
          <w:p>
            <w:pPr>
              <w:ind w:left="20"/>
              <w:spacing w:after="0"/>
              <w:rPr>
                <w:sz w:val="20"/>
                <w:szCs w:val="20"/>
                <w:color w:val="auto"/>
              </w:rPr>
            </w:pPr>
            <w:r>
              <w:rPr>
                <w:rFonts w:ascii="Arial" w:cs="Arial" w:eastAsia="Arial" w:hAnsi="Arial"/>
                <w:sz w:val="18"/>
                <w:szCs w:val="18"/>
                <w:color w:val="auto"/>
              </w:rPr>
              <w:t>Dilutive effect of stock options outstanding</w:t>
            </w:r>
          </w:p>
        </w:tc>
        <w:tc>
          <w:tcPr>
            <w:tcW w:w="9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202</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1,295</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Dilutive effect of restricted stock units outstanding</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0" w:type="dxa"/>
            <w:vAlign w:val="bottom"/>
            <w:shd w:val="clear" w:color="auto" w:fill="EAF9E8"/>
          </w:tcPr>
          <w:p>
            <w:pPr>
              <w:ind w:left="20"/>
              <w:spacing w:after="0"/>
              <w:rPr>
                <w:sz w:val="20"/>
                <w:szCs w:val="20"/>
                <w:color w:val="auto"/>
              </w:rPr>
            </w:pPr>
            <w:r>
              <w:rPr>
                <w:rFonts w:ascii="Arial" w:cs="Arial" w:eastAsia="Arial" w:hAnsi="Arial"/>
                <w:sz w:val="18"/>
                <w:szCs w:val="18"/>
                <w:color w:val="auto"/>
              </w:rPr>
              <w:t>Dilutive effect of conversion of preferred shares</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4200" w:type="dxa"/>
            <w:vAlign w:val="bottom"/>
            <w:shd w:val="clear" w:color="auto" w:fill="EAF9E8"/>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Total shares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26,919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27,764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26,824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Diluted earnings per share</w:t>
            </w:r>
          </w:p>
        </w:tc>
        <w:tc>
          <w:tcPr>
            <w:tcW w:w="960" w:type="dxa"/>
            <w:vAlign w:val="bottom"/>
            <w:shd w:val="clear" w:color="auto" w:fill="EAF9E8"/>
          </w:tcPr>
          <w:p>
            <w:pPr>
              <w:jc w:val="right"/>
              <w:ind w:right="8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EAF9E8"/>
          </w:tcPr>
          <w:p>
            <w:pPr>
              <w:spacing w:after="0"/>
              <w:rPr>
                <w:sz w:val="20"/>
                <w:szCs w:val="20"/>
                <w:color w:val="auto"/>
              </w:rPr>
            </w:pPr>
          </w:p>
        </w:tc>
        <w:tc>
          <w:tcPr>
            <w:tcW w:w="34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0.03</w:t>
            </w:r>
          </w:p>
        </w:tc>
        <w:tc>
          <w:tcPr>
            <w:tcW w:w="4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0.36</w:t>
            </w:r>
          </w:p>
        </w:tc>
        <w:tc>
          <w:tcPr>
            <w:tcW w:w="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4200" w:type="dxa"/>
            <w:vAlign w:val="bottom"/>
            <w:tcBorders>
              <w:top w:val="single" w:sz="8" w:color="EAF9E8"/>
            </w:tcBorders>
            <w:shd w:val="clear" w:color="auto" w:fill="EAF9E8"/>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5.</w:t>
            </w:r>
          </w:p>
        </w:tc>
        <w:tc>
          <w:tcPr>
            <w:tcW w:w="4200" w:type="dxa"/>
            <w:vAlign w:val="bottom"/>
          </w:tcPr>
          <w:p>
            <w:pPr>
              <w:ind w:left="660"/>
              <w:spacing w:after="0"/>
              <w:rPr>
                <w:sz w:val="20"/>
                <w:szCs w:val="20"/>
                <w:color w:val="auto"/>
              </w:rPr>
            </w:pPr>
            <w:r>
              <w:rPr>
                <w:rFonts w:ascii="Arial" w:cs="Arial" w:eastAsia="Arial" w:hAnsi="Arial"/>
                <w:sz w:val="18"/>
                <w:szCs w:val="18"/>
                <w:b w:val="1"/>
                <w:bCs w:val="1"/>
                <w:color w:val="auto"/>
              </w:rPr>
              <w:t>Acquisitions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made four acquisitions during the nine months ended February 28, 2011 for strategic market expansion. Three of the acquisitions were asset purchases, but which met the definition of “acquisitions of businesses” under the provision FASB Accounting Standards Codification (“ASC”) 805-10-20. In the remaining acquisition, we acquired 80% of the common stock of the acquiree. The holders of the remaining 20% interest can require the Company to purchase the noncontrolling interest at any time for a price based upon EBITDA of the acquiree’s operations. The estimated fair value of the minority holders’ put option was de minimis as of February 28, 2011. The 20% minority interest is reflected as noncontrolling interest in stockholders’ equity. In addition to the cash and debt consideration, the Company also accrued a liability of approximately $0.7 million as of February 28, 2011 for the estimated fair value of contingent consideration expected to be payable in the event that certain of the acquired companies achieve specific performance metrics over the next four years of operations. The potential contingent consideration ranges from zero to $2.4 million and would be payable in four annual installments based upon operational performance for the fiscal years ended May 31, 2012 through 2015.</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Assets and liabilities of the acquired businesses were included in the Consolidated Balance Sheet as of February 28, 2011 based on their estimated fair value on the date of acquisition as determined in a purchase price allocation, using available information and making assumptions management believes are reasonable. Results of operations for the period from acquisition date are reported in each respective operating segment’s statement of operations.</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Revenues included in the Consolidated Statement of Operations for the three and nine month periods ended February 28, 2011 from these acquisitions for the period subsequent to the closing of each respective transaction was approximately $4.5 million and $9.9 million, respectively. On a pro forma basis from the beginning of fiscal 2011, revenues from these acquisitions would have been approximately $4.5 million and $15.9 million for the three and nine month periods ended February 28, 2011. Operating income or other financial measures for these acquisitions both from the date of closing of each respective transaction and on a pro forma basis is impractical to estimate due to the integration of these entities post-acquisition.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purchase price allocation for all acquisitions during the nine months ended February 28, 2011 and 2010, respectively:</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80" w:type="dxa"/>
            <w:vAlign w:val="bottom"/>
            <w:gridSpan w:val="7"/>
          </w:tcPr>
          <w:p>
            <w:pPr>
              <w:ind w:left="420"/>
              <w:spacing w:after="0"/>
              <w:rPr>
                <w:sz w:val="20"/>
                <w:szCs w:val="20"/>
                <w:color w:val="auto"/>
              </w:rPr>
            </w:pPr>
            <w:r>
              <w:rPr>
                <w:rFonts w:ascii="Arial" w:cs="Arial" w:eastAsia="Arial" w:hAnsi="Arial"/>
                <w:sz w:val="18"/>
                <w:szCs w:val="18"/>
                <w:b w:val="1"/>
                <w:bCs w:val="1"/>
                <w:color w:val="auto"/>
              </w:rPr>
              <w:t>Nine months ended February 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AF9E8"/>
          </w:tcPr>
          <w:p>
            <w:pPr>
              <w:spacing w:after="0"/>
              <w:rPr>
                <w:sz w:val="20"/>
                <w:szCs w:val="20"/>
                <w:color w:val="auto"/>
              </w:rPr>
            </w:pPr>
            <w:r>
              <w:rPr>
                <w:rFonts w:ascii="Arial" w:cs="Arial" w:eastAsia="Arial" w:hAnsi="Arial"/>
                <w:sz w:val="18"/>
                <w:szCs w:val="18"/>
                <w:color w:val="auto"/>
              </w:rPr>
              <w:t>Number of entities</w:t>
            </w:r>
          </w:p>
        </w:tc>
        <w:tc>
          <w:tcPr>
            <w:tcW w:w="20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Cash paid</w:t>
            </w:r>
          </w:p>
        </w:tc>
        <w:tc>
          <w:tcPr>
            <w:tcW w:w="3020" w:type="dxa"/>
            <w:vAlign w:val="bottom"/>
            <w:gridSpan w:val="2"/>
            <w:shd w:val="clear" w:color="auto" w:fill="EAF9E8"/>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18,301</w:t>
            </w:r>
          </w:p>
        </w:tc>
        <w:tc>
          <w:tcPr>
            <w:tcW w:w="16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14,350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Subordinated notes issued</w:t>
            </w:r>
          </w:p>
        </w:tc>
        <w:tc>
          <w:tcPr>
            <w:tcW w:w="2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Debt assumed</w:t>
            </w:r>
          </w:p>
        </w:tc>
        <w:tc>
          <w:tcPr>
            <w:tcW w:w="20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1,100</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20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EAF9E8"/>
          </w:tcPr>
          <w:p>
            <w:pPr>
              <w:spacing w:after="0"/>
              <w:rPr>
                <w:sz w:val="18"/>
                <w:szCs w:val="18"/>
                <w:color w:val="auto"/>
              </w:rPr>
            </w:pPr>
          </w:p>
        </w:tc>
        <w:tc>
          <w:tcPr>
            <w:tcW w:w="20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Purchase price</w:t>
            </w:r>
          </w:p>
        </w:tc>
        <w:tc>
          <w:tcPr>
            <w:tcW w:w="30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21,735</w:t>
            </w:r>
          </w:p>
        </w:tc>
        <w:tc>
          <w:tcPr>
            <w:tcW w:w="16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spacing w:after="0"/>
              <w:rPr>
                <w:sz w:val="18"/>
                <w:szCs w:val="18"/>
                <w:color w:val="auto"/>
              </w:rPr>
            </w:pPr>
          </w:p>
        </w:tc>
        <w:tc>
          <w:tcPr>
            <w:tcW w:w="20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Current net assets acquired</w:t>
            </w:r>
          </w:p>
        </w:tc>
        <w:tc>
          <w:tcPr>
            <w:tcW w:w="2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Property, plant and equipment</w:t>
            </w:r>
          </w:p>
        </w:tc>
        <w:tc>
          <w:tcPr>
            <w:tcW w:w="20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6,341</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5,124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Deferred tax asset</w:t>
            </w:r>
          </w:p>
        </w:tc>
        <w:tc>
          <w:tcPr>
            <w:tcW w:w="2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Intangibles, primarily customer lists</w:t>
            </w:r>
          </w:p>
        </w:tc>
        <w:tc>
          <w:tcPr>
            <w:tcW w:w="20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6,465</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8,239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Less: noncontrolling interest</w:t>
            </w:r>
          </w:p>
        </w:tc>
        <w:tc>
          <w:tcPr>
            <w:tcW w:w="20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7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3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Borders>
              <w:top w:val="single" w:sz="8" w:color="EAF9E8"/>
            </w:tcBorders>
          </w:tcPr>
          <w:p>
            <w:pPr>
              <w:spacing w:after="0"/>
              <w:rPr>
                <w:sz w:val="18"/>
                <w:szCs w:val="18"/>
                <w:color w:val="auto"/>
              </w:rPr>
            </w:pPr>
          </w:p>
        </w:tc>
        <w:tc>
          <w:tcPr>
            <w:tcW w:w="2020" w:type="dxa"/>
            <w:vAlign w:val="bottom"/>
            <w:tcBorders>
              <w:top w:val="single" w:sz="8" w:color="EAF9E8"/>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60" w:type="dxa"/>
            <w:vAlign w:val="bottom"/>
            <w:shd w:val="clear" w:color="auto" w:fill="EAF9E8"/>
          </w:tcPr>
          <w:p>
            <w:pPr>
              <w:spacing w:after="0"/>
              <w:rPr>
                <w:sz w:val="20"/>
                <w:szCs w:val="20"/>
                <w:color w:val="auto"/>
              </w:rPr>
            </w:pPr>
            <w:r>
              <w:rPr>
                <w:rFonts w:ascii="Arial" w:cs="Arial" w:eastAsia="Arial" w:hAnsi="Arial"/>
                <w:sz w:val="18"/>
                <w:szCs w:val="18"/>
                <w:color w:val="auto"/>
              </w:rPr>
              <w:t>Net assets acquired</w:t>
            </w:r>
          </w:p>
        </w:tc>
        <w:tc>
          <w:tcPr>
            <w:tcW w:w="3020" w:type="dxa"/>
            <w:vAlign w:val="bottom"/>
            <w:gridSpan w:val="2"/>
            <w:shd w:val="clear" w:color="auto" w:fill="EAF9E8"/>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21,735</w:t>
            </w:r>
          </w:p>
        </w:tc>
        <w:tc>
          <w:tcPr>
            <w:tcW w:w="160" w:type="dxa"/>
            <w:vAlign w:val="bottom"/>
            <w:shd w:val="clear" w:color="auto" w:fill="EAF9E8"/>
          </w:tcPr>
          <w:p>
            <w:pPr>
              <w:spacing w:after="0"/>
              <w:rPr>
                <w:sz w:val="20"/>
                <w:szCs w:val="20"/>
                <w:color w:val="auto"/>
              </w:rPr>
            </w:pP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20,436</w:t>
            </w: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EAF9E8"/>
            </w:tcBorders>
            <w:shd w:val="clear" w:color="auto" w:fill="EAF9E8"/>
          </w:tcPr>
          <w:p>
            <w:pPr>
              <w:spacing w:after="0" w:line="20" w:lineRule="exact"/>
              <w:rPr>
                <w:sz w:val="1"/>
                <w:szCs w:val="1"/>
                <w:color w:val="auto"/>
              </w:rPr>
            </w:pPr>
          </w:p>
        </w:tc>
        <w:tc>
          <w:tcPr>
            <w:tcW w:w="202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amortization period of intangible assets acquired ranges from one to seven years. Goodwill resulting from these acquisitions arises largely from the synergies expected from combining the operations of the acquisitions with our existing services operations, as well as from the benefits derived from the assembled workforce of the acquired companies. The goodwill recognized is expected to be deductible for tax purposes.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6.</w:t>
            </w:r>
          </w:p>
        </w:tc>
        <w:tc>
          <w:tcPr>
            <w:tcW w:w="3980" w:type="dxa"/>
            <w:vAlign w:val="bottom"/>
          </w:tcPr>
          <w:p>
            <w:pPr>
              <w:ind w:left="220"/>
              <w:spacing w:after="0"/>
              <w:rPr>
                <w:sz w:val="20"/>
                <w:szCs w:val="20"/>
                <w:color w:val="auto"/>
              </w:rPr>
            </w:pPr>
            <w:r>
              <w:rPr>
                <w:rFonts w:ascii="Arial" w:cs="Arial" w:eastAsia="Arial" w:hAnsi="Arial"/>
                <w:sz w:val="18"/>
                <w:szCs w:val="18"/>
                <w:b w:val="1"/>
                <w:bCs w:val="1"/>
                <w:color w:val="auto"/>
              </w:rPr>
              <w:t>Property, plant and equipment, net</w:t>
            </w: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5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6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Useful Life</w:t>
            </w:r>
          </w:p>
        </w:tc>
        <w:tc>
          <w:tcPr>
            <w:tcW w:w="2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9"/>
              </w:rPr>
              <w:t>February 28, 2011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May 31, 2010</w:t>
            </w:r>
          </w:p>
        </w:tc>
      </w:tr>
      <w:tr>
        <w:trPr>
          <w:trHeight w:val="216"/>
        </w:trPr>
        <w:tc>
          <w:tcPr>
            <w:tcW w:w="6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(Years)</w:t>
            </w:r>
          </w:p>
        </w:tc>
        <w:tc>
          <w:tcPr>
            <w:tcW w:w="2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 w:type="dxa"/>
            <w:vAlign w:val="bottom"/>
            <w:shd w:val="clear" w:color="auto" w:fill="EAF9E8"/>
          </w:tcPr>
          <w:p>
            <w:pPr>
              <w:spacing w:after="0"/>
              <w:rPr>
                <w:sz w:val="20"/>
                <w:szCs w:val="20"/>
                <w:color w:val="auto"/>
              </w:rPr>
            </w:pPr>
            <w:r>
              <w:rPr>
                <w:rFonts w:ascii="Arial" w:cs="Arial" w:eastAsia="Arial" w:hAnsi="Arial"/>
                <w:sz w:val="18"/>
                <w:szCs w:val="18"/>
                <w:color w:val="auto"/>
              </w:rPr>
              <w:t>Land</w:t>
            </w:r>
          </w:p>
        </w:tc>
        <w:tc>
          <w:tcPr>
            <w:tcW w:w="3980" w:type="dxa"/>
            <w:vAlign w:val="bottom"/>
            <w:shd w:val="clear" w:color="auto" w:fill="EAF9E8"/>
          </w:tcPr>
          <w:p>
            <w:pPr>
              <w:spacing w:after="0"/>
              <w:rPr>
                <w:sz w:val="18"/>
                <w:szCs w:val="18"/>
                <w:color w:val="auto"/>
              </w:rPr>
            </w:pPr>
          </w:p>
        </w:tc>
        <w:tc>
          <w:tcPr>
            <w:tcW w:w="23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2,209</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1,304</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240" w:type="dxa"/>
            <w:vAlign w:val="bottom"/>
          </w:tcPr>
          <w:p>
            <w:pPr>
              <w:spacing w:after="0"/>
              <w:rPr>
                <w:sz w:val="18"/>
                <w:szCs w:val="18"/>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12,411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10,240</w:t>
            </w:r>
          </w:p>
        </w:tc>
      </w:tr>
      <w:tr>
        <w:trPr>
          <w:trHeight w:val="216"/>
        </w:trPr>
        <w:tc>
          <w:tcPr>
            <w:tcW w:w="45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Office furniture and equipment</w:t>
            </w:r>
          </w:p>
        </w:tc>
        <w:tc>
          <w:tcPr>
            <w:tcW w:w="20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5-8</w:t>
            </w:r>
          </w:p>
        </w:tc>
        <w:tc>
          <w:tcPr>
            <w:tcW w:w="240" w:type="dxa"/>
            <w:vAlign w:val="bottom"/>
            <w:shd w:val="clear" w:color="auto" w:fill="EAF9E8"/>
          </w:tcPr>
          <w:p>
            <w:pPr>
              <w:spacing w:after="0"/>
              <w:rPr>
                <w:sz w:val="18"/>
                <w:szCs w:val="18"/>
                <w:color w:val="auto"/>
              </w:rPr>
            </w:pPr>
          </w:p>
        </w:tc>
        <w:tc>
          <w:tcPr>
            <w:tcW w:w="21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3,955</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1,479</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40" w:type="dxa"/>
            <w:vAlign w:val="bottom"/>
          </w:tcPr>
          <w:p>
            <w:pPr>
              <w:spacing w:after="0"/>
              <w:rPr>
                <w:sz w:val="18"/>
                <w:szCs w:val="18"/>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79,040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68,238</w:t>
            </w:r>
          </w:p>
        </w:tc>
      </w:tr>
      <w:tr>
        <w:trPr>
          <w:trHeight w:val="27"/>
        </w:trPr>
        <w:tc>
          <w:tcPr>
            <w:tcW w:w="6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 w:type="dxa"/>
            <w:vAlign w:val="bottom"/>
            <w:shd w:val="clear" w:color="auto" w:fill="EAF9E8"/>
          </w:tcPr>
          <w:p>
            <w:pPr>
              <w:spacing w:after="0"/>
              <w:rPr>
                <w:sz w:val="18"/>
                <w:szCs w:val="18"/>
                <w:color w:val="auto"/>
              </w:rPr>
            </w:pPr>
          </w:p>
        </w:tc>
        <w:tc>
          <w:tcPr>
            <w:tcW w:w="3980" w:type="dxa"/>
            <w:vAlign w:val="bottom"/>
            <w:shd w:val="clear" w:color="auto" w:fill="EAF9E8"/>
          </w:tcPr>
          <w:p>
            <w:pPr>
              <w:spacing w:after="0"/>
              <w:rPr>
                <w:sz w:val="18"/>
                <w:szCs w:val="18"/>
                <w:color w:val="auto"/>
              </w:rPr>
            </w:pPr>
          </w:p>
        </w:tc>
        <w:tc>
          <w:tcPr>
            <w:tcW w:w="20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1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97,615</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81,261</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8"/>
                <w:szCs w:val="18"/>
                <w:color w:val="auto"/>
              </w:rPr>
              <w:t>(51,293)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(41,280)</w:t>
            </w:r>
          </w:p>
        </w:tc>
      </w:tr>
      <w:tr>
        <w:trPr>
          <w:trHeight w:val="27"/>
        </w:trPr>
        <w:tc>
          <w:tcPr>
            <w:tcW w:w="6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 w:type="dxa"/>
            <w:vAlign w:val="bottom"/>
            <w:shd w:val="clear" w:color="auto" w:fill="EAF9E8"/>
          </w:tcPr>
          <w:p>
            <w:pPr>
              <w:spacing w:after="0"/>
              <w:rPr>
                <w:sz w:val="18"/>
                <w:szCs w:val="18"/>
                <w:color w:val="auto"/>
              </w:rPr>
            </w:pPr>
          </w:p>
        </w:tc>
        <w:tc>
          <w:tcPr>
            <w:tcW w:w="3980" w:type="dxa"/>
            <w:vAlign w:val="bottom"/>
            <w:shd w:val="clear" w:color="auto" w:fill="EAF9E8"/>
          </w:tcPr>
          <w:p>
            <w:pPr>
              <w:spacing w:after="0"/>
              <w:rPr>
                <w:sz w:val="18"/>
                <w:szCs w:val="18"/>
                <w:color w:val="auto"/>
              </w:rPr>
            </w:pPr>
          </w:p>
        </w:tc>
        <w:tc>
          <w:tcPr>
            <w:tcW w:w="23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46,322</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39,981</w:t>
            </w:r>
          </w:p>
        </w:tc>
      </w:tr>
      <w:tr>
        <w:trPr>
          <w:trHeight w:val="27"/>
        </w:trPr>
        <w:tc>
          <w:tcPr>
            <w:tcW w:w="600" w:type="dxa"/>
            <w:vAlign w:val="bottom"/>
            <w:shd w:val="clear" w:color="auto" w:fill="EAF9E8"/>
          </w:tcPr>
          <w:p>
            <w:pPr>
              <w:spacing w:after="0"/>
              <w:rPr>
                <w:sz w:val="2"/>
                <w:szCs w:val="2"/>
                <w:color w:val="auto"/>
              </w:rPr>
            </w:pPr>
          </w:p>
        </w:tc>
        <w:tc>
          <w:tcPr>
            <w:tcW w:w="3980" w:type="dxa"/>
            <w:vAlign w:val="bottom"/>
            <w:shd w:val="clear" w:color="auto" w:fill="EAF9E8"/>
          </w:tcPr>
          <w:p>
            <w:pPr>
              <w:spacing w:after="0"/>
              <w:rPr>
                <w:sz w:val="2"/>
                <w:szCs w:val="2"/>
                <w:color w:val="auto"/>
              </w:rPr>
            </w:pPr>
          </w:p>
        </w:tc>
        <w:tc>
          <w:tcPr>
            <w:tcW w:w="208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three months ended February 28, 2011 and 2010 was approximately $3.5 million and $2.6 million, respectively. Depreciation expense for the nine months ended February 28, 2011 and 2010 was approximately $9.5 million and $8.0 million,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4"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 for Doubtful Accounts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 allowance for doubtful accounts is provided against accounts receivable for amounts management believes may be uncollectible. Changes in the allowance for doubtful accounts are represented by the following:</w:t>
      </w:r>
    </w:p>
    <w:p>
      <w:pPr>
        <w:sectPr>
          <w:pgSz w:w="11900" w:h="16838" w:orient="portrait"/>
          <w:cols w:equalWidth="0" w:num="1">
            <w:col w:w="11420"/>
          </w:cols>
          <w:pgMar w:left="240" w:top="513" w:right="239" w:bottom="1440" w:gutter="0" w:footer="0" w:header="0"/>
        </w:sectPr>
      </w:pP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May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Increase due to acquisitions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-116205</wp:posOffset>
            </wp:positionV>
            <wp:extent cx="57975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Write-offs, net of recoveries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Foreign exchange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February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82"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880" w:hanging="87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1,661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33</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(121)</w:t>
      </w:r>
    </w:p>
    <w:p>
      <w:pPr>
        <w:spacing w:after="0" w:line="9"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88</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(12)</w:t>
      </w:r>
    </w:p>
    <w:p>
      <w:pPr>
        <w:spacing w:after="0" w:line="238" w:lineRule="exact"/>
        <w:rPr>
          <w:sz w:val="20"/>
          <w:szCs w:val="20"/>
          <w:color w:val="auto"/>
        </w:rPr>
      </w:pPr>
    </w:p>
    <w:p>
      <w:pPr>
        <w:ind w:left="880" w:hanging="87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1,649</w:t>
      </w:r>
    </w:p>
    <w:p>
      <w:pPr>
        <w:spacing w:after="0" w:line="709" w:lineRule="exact"/>
        <w:rPr>
          <w:sz w:val="20"/>
          <w:szCs w:val="20"/>
          <w:color w:val="auto"/>
        </w:rPr>
      </w:pPr>
    </w:p>
    <w:p>
      <w:pPr>
        <w:sectPr>
          <w:pgSz w:w="11900" w:h="16838" w:orient="portrait"/>
          <w:cols w:equalWidth="0" w:num="2">
            <w:col w:w="8200" w:space="720"/>
            <w:col w:w="2500"/>
          </w:cols>
          <w:pgMar w:left="240" w:top="513" w:right="239" w:bottom="144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February 28, 2011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May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2,879</w:t>
            </w:r>
          </w:p>
        </w:tc>
        <w:tc>
          <w:tcPr>
            <w:tcW w:w="42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2,458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3,122</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Supplies</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10,285</w:t>
            </w:r>
          </w:p>
        </w:tc>
        <w:tc>
          <w:tcPr>
            <w:tcW w:w="16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8,736</w:t>
            </w:r>
          </w:p>
        </w:tc>
        <w:tc>
          <w:tcPr>
            <w:tcW w:w="10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net of reserves for slow-moving and obsolete inventory of approximately $0.4 million and $0.9 million as of February 28, 2011 and May 31, 2010,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4740" w:type="dxa"/>
            <w:vAlign w:val="bottom"/>
          </w:tcPr>
          <w:p>
            <w:pPr>
              <w:ind w:left="2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40" w:type="dxa"/>
            <w:vAlign w:val="bottom"/>
            <w:gridSpan w:val="3"/>
          </w:tcPr>
          <w:p>
            <w:pPr>
              <w:spacing w:after="0"/>
              <w:rPr>
                <w:sz w:val="20"/>
                <w:szCs w:val="20"/>
                <w:color w:val="auto"/>
              </w:rPr>
            </w:pPr>
            <w:r>
              <w:rPr>
                <w:rFonts w:ascii="Arial" w:cs="Arial" w:eastAsia="Arial" w:hAnsi="Arial"/>
                <w:sz w:val="18"/>
                <w:szCs w:val="18"/>
                <w:color w:val="auto"/>
                <w:w w:val="95"/>
              </w:rPr>
              <w:t>Accrued expenses and other current liabilities consist of the following:</w:t>
            </w: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February 28, 2011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May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21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10,910</w:t>
            </w:r>
          </w:p>
        </w:tc>
        <w:tc>
          <w:tcPr>
            <w:tcW w:w="4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accrued expenses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2,778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Accrued worker compensation and health benefits</w:t>
            </w:r>
          </w:p>
        </w:tc>
        <w:tc>
          <w:tcPr>
            <w:tcW w:w="19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7,116</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Deferred revenues</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1,484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4740" w:type="dxa"/>
            <w:vAlign w:val="bottom"/>
            <w:shd w:val="clear" w:color="auto" w:fill="EAF9E8"/>
          </w:tcPr>
          <w:p>
            <w:pPr>
              <w:spacing w:after="0"/>
              <w:rPr>
                <w:sz w:val="18"/>
                <w:szCs w:val="18"/>
                <w:color w:val="auto"/>
              </w:rPr>
            </w:pPr>
          </w:p>
        </w:tc>
        <w:tc>
          <w:tcPr>
            <w:tcW w:w="198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70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Total</w:t>
            </w:r>
          </w:p>
        </w:tc>
        <w:tc>
          <w:tcPr>
            <w:tcW w:w="4740" w:type="dxa"/>
            <w:vAlign w:val="bottom"/>
          </w:tcPr>
          <w:p>
            <w:pPr>
              <w:spacing w:after="0"/>
              <w:rPr>
                <w:sz w:val="18"/>
                <w:szCs w:val="18"/>
                <w:color w:val="auto"/>
              </w:rPr>
            </w:pP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22,288</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20,090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980" w:type="dxa"/>
            <w:vAlign w:val="bottom"/>
            <w:vMerge w:val="restart"/>
          </w:tcPr>
          <w:p>
            <w:pPr>
              <w:jc w:val="right"/>
              <w:ind w:right="137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10.</w:t>
            </w:r>
          </w:p>
        </w:tc>
        <w:tc>
          <w:tcPr>
            <w:tcW w:w="6700" w:type="dxa"/>
            <w:vAlign w:val="bottom"/>
          </w:tcPr>
          <w:p>
            <w:pPr>
              <w:ind w:left="200"/>
              <w:spacing w:after="0"/>
              <w:rPr>
                <w:sz w:val="20"/>
                <w:szCs w:val="20"/>
                <w:color w:val="auto"/>
              </w:rPr>
            </w:pPr>
            <w:r>
              <w:rPr>
                <w:rFonts w:ascii="Arial" w:cs="Arial" w:eastAsia="Arial" w:hAnsi="Arial"/>
                <w:sz w:val="18"/>
                <w:szCs w:val="18"/>
                <w:b w:val="1"/>
                <w:bCs w:val="1"/>
                <w:color w:val="auto"/>
              </w:rPr>
              <w:t>Long-Term Debt</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2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February 28, 2011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May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Senior credit facility:</w:t>
            </w:r>
          </w:p>
        </w:tc>
        <w:tc>
          <w:tcPr>
            <w:tcW w:w="14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Revolver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Notes payable - acquisitions</w:t>
            </w:r>
          </w:p>
        </w:tc>
        <w:tc>
          <w:tcPr>
            <w:tcW w:w="14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8,729</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Other</w:t>
            </w:r>
          </w:p>
        </w:tc>
        <w:tc>
          <w:tcPr>
            <w:tcW w:w="6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67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14,562</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Long-term debt, net of current maturities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9,793</w:t>
            </w:r>
          </w:p>
        </w:tc>
        <w:tc>
          <w:tcPr>
            <w:tcW w:w="16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5,691</w:t>
            </w:r>
          </w:p>
        </w:tc>
        <w:tc>
          <w:tcPr>
            <w:tcW w:w="10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2009, the Company entered into its current credit agreement with Bank of America, N.A., JPMorgan Chase Bank, N.A., TD Bank, N.A. and Capital One, N.A., which provided for a $25.0 million term loan and a $55.0 million secured revolving credit facility. The term loan was repaid and extinguished in October 2009 with proceeds from the IPO. As of February 28, 2011, the Company had $5.0 million of outstanding borrowings under the revolving credit facility. Borrowings made under the revolving credit facility are payable in July 2012.</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2009, the Company signed an amendment to its current credit agreement that, among other things, adjusted certain affirmative and negative covenants including delivery of financial statements, the minimum consolidated debt service coverage ratio, the procedures for obtaining lender approval for acquisitions and the removal of the minimum EBITDA requirement.</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the amended agreement, borrowings under the credit agreement bear interest at the LIBOR or base rate, at the Company’s option, plus an applicable LIBOR margin ranging from 1.75% to 3.25%, or base rate margin ranging from -0.50% to 0.50%, and a market disruption increase of between 0% and 1.0%, if the lenders determine that it’s applicable. As of February 28, 2011, the interest rate on our revolving credit facility borrowings was 2.75%.</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credit agreement also contains financial and other covenants limiting our ability to, among other things, create liens, make investments and certain capital expenditures, incur more indebtedness, merge or consolidate, acquire other companies, make dispositions of property, pay dividends and make distributions to stockholders, enter into a new line of business, enter into transactions with affiliates and enter into burdensome agreements. The agreement’s financial covenants require us to maintain a minimum debt service coverage ratio, and a funded debt leverage ratio, all as defined in the credit agreement. There is a provision in the credit facility that requires us to repay 25% of the immediately preceding fiscal year’s “free cash flow” if our ratio of “funded debt” to EBITDA, as defined in the credit agreement, is greater than a specified amount on or before October 1 each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2011, we were in compliance with the terms of the credit agreement.</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nine months ended February 28, 2010, the Company capitalized approximately $0.5 million of costs related to the new credit agreement and expensed approximately $0.2 million of deferred financing costs related to its former credit facility. In connection with the repayment and extinguishment of the term loan portion of the new facility in October 2009, the Company expensed approximately $0.2 million of financing costs incurred during the nine months ended February 28, 2010. The unamortized balance of these costs is included in net intangible assets in the Consolidated Balance Sheet. The accelerated amounts expensed are classified as loss on extinguishment of long- term debt in the Consolidated Statement of Operations.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its acquisitions through February 28, 2011, the Company issued subordinated notes payable to the sellers. The maturity of these notes range from three to five years from the date of acquisition with interest rates ranging from 0% to 7%. The Company has discounted these obligations to reflect a 3.5% to 10% imputed interest rate. Unamortized discount on these notes totaled approximately $0.2 million and $0.3 million as of February 28, 2011 and May 31, 2010, respectively. Amortization is recorded as interest expense in the Consolidated Statement of Operations.</w:t>
      </w:r>
    </w:p>
    <w:p>
      <w:pPr>
        <w:spacing w:after="0" w:line="194"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calendar 2010, the Company hedged a portion of the variable rate interest payments on its debt using an interest rate swap contract to convert variable payments into fixed payments. The Company did not apply hedge accounting to its interest rate swap contracts. Changes in the fair value of this instrument were reported as a component of interest expense. The interest rate swap contract matured in November 2010 and had a notional amount of $8.0 million. The following outlines the significant terms of the contract and the fair value of the contract as of May 31, 2010: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Notional</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interest</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interest</w:t>
            </w: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As of</w:t>
            </w:r>
          </w:p>
        </w:tc>
      </w:tr>
      <w:tr>
        <w:trPr>
          <w:trHeight w:val="237"/>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Contract date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Term</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Amount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rate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rate</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May 31, 2010</w:t>
            </w:r>
          </w:p>
        </w:tc>
        <w:tc>
          <w:tcPr>
            <w:tcW w:w="100" w:type="dxa"/>
            <w:vAlign w:val="bottom"/>
          </w:tcPr>
          <w:p>
            <w:pPr>
              <w:spacing w:after="0"/>
              <w:rPr>
                <w:sz w:val="20"/>
                <w:szCs w:val="20"/>
                <w:color w:val="auto"/>
              </w:rPr>
            </w:pPr>
          </w:p>
        </w:tc>
      </w:tr>
      <w:tr>
        <w:trPr>
          <w:trHeight w:val="216"/>
        </w:trPr>
        <w:tc>
          <w:tcPr>
            <w:tcW w:w="26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November 20, 2006</w:t>
            </w:r>
          </w:p>
        </w:tc>
        <w:tc>
          <w:tcPr>
            <w:tcW w:w="16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4 years</w:t>
            </w: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8,000</w:t>
            </w:r>
          </w:p>
        </w:tc>
        <w:tc>
          <w:tcPr>
            <w:tcW w:w="14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LIBOR</w:t>
            </w:r>
          </w:p>
        </w:tc>
        <w:tc>
          <w:tcPr>
            <w:tcW w:w="1440" w:type="dxa"/>
            <w:vAlign w:val="bottom"/>
            <w:shd w:val="clear" w:color="auto" w:fill="EAF9E8"/>
          </w:tcPr>
          <w:p>
            <w:pPr>
              <w:jc w:val="right"/>
              <w:ind w:right="370"/>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(210)</w:t>
            </w:r>
          </w:p>
        </w:tc>
      </w:tr>
      <w:tr>
        <w:trPr>
          <w:trHeight w:val="27"/>
        </w:trPr>
        <w:tc>
          <w:tcPr>
            <w:tcW w:w="264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0" w:type="dxa"/>
            <w:vAlign w:val="bottom"/>
            <w:shd w:val="clear" w:color="auto" w:fill="EAF9E8"/>
          </w:tcPr>
          <w:p>
            <w:pPr>
              <w:spacing w:after="0"/>
              <w:rPr>
                <w:sz w:val="2"/>
                <w:szCs w:val="2"/>
                <w:color w:val="auto"/>
              </w:rPr>
            </w:pPr>
          </w:p>
        </w:tc>
        <w:tc>
          <w:tcPr>
            <w:tcW w:w="144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2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8,000</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21"/>
        </w:trPr>
        <w:tc>
          <w:tcPr>
            <w:tcW w:w="2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classifies its interest rate swaps at fair value in the following categories: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5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—Inputs other than quoted market prices in active markets that are observable for the asset or liability, either directly or indirectly,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the Company’s interest rate swap liability was determined using quoted prices in an active market and was classified as a Level 1 liability within the fair value hierarchy.</w:t>
      </w:r>
    </w:p>
    <w:p>
      <w:pPr>
        <w:spacing w:after="0" w:line="193" w:lineRule="exact"/>
        <w:rPr>
          <w:sz w:val="20"/>
          <w:szCs w:val="20"/>
          <w:color w:val="auto"/>
        </w:rPr>
      </w:pPr>
    </w:p>
    <w:p>
      <w:pPr>
        <w:ind w:left="820" w:hanging="812"/>
        <w:spacing w:after="0"/>
        <w:tabs>
          <w:tab w:leader="none" w:pos="8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is a defendant in two related purported class action lawsuits in California, based upon alleged violations of California labor and employment law: </w:t>
      </w:r>
      <w:r>
        <w:rPr>
          <w:rFonts w:ascii="Arial" w:cs="Arial" w:eastAsia="Arial" w:hAnsi="Arial"/>
          <w:sz w:val="17"/>
          <w:szCs w:val="17"/>
          <w:i w:val="1"/>
          <w:iCs w:val="1"/>
          <w:color w:val="auto"/>
        </w:rPr>
        <w:t>Quiroz v. Mistras Group, Inc., et al,</w:t>
      </w:r>
      <w:r>
        <w:rPr>
          <w:rFonts w:ascii="Arial" w:cs="Arial" w:eastAsia="Arial" w:hAnsi="Arial"/>
          <w:sz w:val="17"/>
          <w:szCs w:val="17"/>
          <w:color w:val="auto"/>
        </w:rPr>
        <w:t xml:space="preserve"> U.S. District Court, Central District of California (Case No. CV09-7146 PSG), filed in September 2009, and </w:t>
      </w:r>
      <w:r>
        <w:rPr>
          <w:rFonts w:ascii="Arial" w:cs="Arial" w:eastAsia="Arial" w:hAnsi="Arial"/>
          <w:sz w:val="17"/>
          <w:szCs w:val="17"/>
          <w:i w:val="1"/>
          <w:iCs w:val="1"/>
          <w:color w:val="auto"/>
        </w:rPr>
        <w:t>Ballard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 Mistras Group, Inc., et al, </w:t>
      </w:r>
      <w:r>
        <w:rPr>
          <w:rFonts w:ascii="Arial" w:cs="Arial" w:eastAsia="Arial" w:hAnsi="Arial"/>
          <w:sz w:val="17"/>
          <w:szCs w:val="17"/>
          <w:color w:val="auto"/>
        </w:rPr>
        <w:t>U.S. District Court, Central District of California (Case No. 2:10-cv-03186 (PSG)), filed in March 2010. Both of these cases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purported class action lawsuits brought on behalf of existing and former California employees of the Company and its subsidiaries for violation of various labor and employment laws, primarily for failure to pay wages timely and for having defective wage statements, as well as other claims, and is seeking penalties under the California Private Attorneys General Act. The </w:t>
      </w:r>
      <w:r>
        <w:rPr>
          <w:rFonts w:ascii="Arial" w:cs="Arial" w:eastAsia="Arial" w:hAnsi="Arial"/>
          <w:sz w:val="17"/>
          <w:szCs w:val="17"/>
          <w:i w:val="1"/>
          <w:iCs w:val="1"/>
          <w:color w:val="auto"/>
        </w:rPr>
        <w:t>Ballard</w:t>
      </w:r>
      <w:r>
        <w:rPr>
          <w:rFonts w:ascii="Arial" w:cs="Arial" w:eastAsia="Arial" w:hAnsi="Arial"/>
          <w:sz w:val="17"/>
          <w:szCs w:val="17"/>
          <w:color w:val="auto"/>
        </w:rPr>
        <w:t xml:space="preserve"> case was filed shortly after the plaintiff’s request to certify the </w:t>
      </w:r>
      <w:r>
        <w:rPr>
          <w:rFonts w:ascii="Arial" w:cs="Arial" w:eastAsia="Arial" w:hAnsi="Arial"/>
          <w:sz w:val="17"/>
          <w:szCs w:val="17"/>
          <w:i w:val="1"/>
          <w:iCs w:val="1"/>
          <w:color w:val="auto"/>
        </w:rPr>
        <w:t>Quiroz</w:t>
      </w:r>
      <w:r>
        <w:rPr>
          <w:rFonts w:ascii="Arial" w:cs="Arial" w:eastAsia="Arial" w:hAnsi="Arial"/>
          <w:sz w:val="17"/>
          <w:szCs w:val="17"/>
          <w:color w:val="auto"/>
        </w:rPr>
        <w:t xml:space="preserve"> case as a class action suit was denied by the same attorney representing the plaintiff in the </w:t>
      </w:r>
      <w:r>
        <w:rPr>
          <w:rFonts w:ascii="Arial" w:cs="Arial" w:eastAsia="Arial" w:hAnsi="Arial"/>
          <w:sz w:val="17"/>
          <w:szCs w:val="17"/>
          <w:i w:val="1"/>
          <w:iCs w:val="1"/>
          <w:color w:val="auto"/>
        </w:rPr>
        <w:t>Quiroz</w:t>
      </w:r>
      <w:r>
        <w:rPr>
          <w:rFonts w:ascii="Arial" w:cs="Arial" w:eastAsia="Arial" w:hAnsi="Arial"/>
          <w:sz w:val="17"/>
          <w:szCs w:val="17"/>
          <w:color w:val="auto"/>
        </w:rPr>
        <w:t xml:space="preserve"> case.</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and counsel for the plaintiffs in both the </w:t>
      </w:r>
      <w:r>
        <w:rPr>
          <w:rFonts w:ascii="Arial" w:cs="Arial" w:eastAsia="Arial" w:hAnsi="Arial"/>
          <w:sz w:val="18"/>
          <w:szCs w:val="18"/>
          <w:i w:val="1"/>
          <w:iCs w:val="1"/>
          <w:color w:val="auto"/>
        </w:rPr>
        <w:t>Quiroz</w:t>
      </w:r>
      <w:r>
        <w:rPr>
          <w:rFonts w:ascii="Arial" w:cs="Arial" w:eastAsia="Arial" w:hAnsi="Arial"/>
          <w:sz w:val="18"/>
          <w:szCs w:val="18"/>
          <w:color w:val="auto"/>
        </w:rPr>
        <w:t xml:space="preserve"> and </w:t>
      </w:r>
      <w:r>
        <w:rPr>
          <w:rFonts w:ascii="Arial" w:cs="Arial" w:eastAsia="Arial" w:hAnsi="Arial"/>
          <w:sz w:val="18"/>
          <w:szCs w:val="18"/>
          <w:i w:val="1"/>
          <w:iCs w:val="1"/>
          <w:color w:val="auto"/>
        </w:rPr>
        <w:t>Ballard</w:t>
      </w:r>
      <w:r>
        <w:rPr>
          <w:rFonts w:ascii="Arial" w:cs="Arial" w:eastAsia="Arial" w:hAnsi="Arial"/>
          <w:sz w:val="18"/>
          <w:szCs w:val="18"/>
          <w:color w:val="auto"/>
        </w:rPr>
        <w:t xml:space="preserve"> cases have agreed upon a settlement, which has received preliminary court approval. The Company has reserved approximately $0.3 million in connection with this settlement, the charges for which were taken in prior quarters of fiscal 2011. This reserve represents the Company’s estimate of its total potential liability related to the settlement of these cases, net of insurance reimbursements.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2010, we entered into an agreement for the construction of a new facility that will consolidate our facilities in the Houston, Texas metro area. This facility will serve as our Gulf Region headquarters and is expected to be completed by the end of the first quarter of fiscal 2012. Total construction costs are expected to be approximately $3.3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contingencies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liable for contingent consideration in connection with certain of its acquisitions. See Note 5 to these consolidated financial statements for further discussion.</w:t>
      </w:r>
    </w:p>
    <w:p>
      <w:pPr>
        <w:spacing w:after="0" w:line="193" w:lineRule="exact"/>
        <w:rPr>
          <w:sz w:val="20"/>
          <w:szCs w:val="20"/>
          <w:color w:val="auto"/>
        </w:rPr>
      </w:pPr>
    </w:p>
    <w:p>
      <w:pPr>
        <w:ind w:left="820" w:hanging="812"/>
        <w:spacing w:after="0"/>
        <w:tabs>
          <w:tab w:leader="none" w:pos="8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2011, the Company acquired the assets of an asset protection business for approximately $16.3 million, comprised of $7.5 million in cash and subordinated notes payable of approximately $8.8 million, which are payable over five years. In addition to the cash and debt consideration, the agreement allows for contingent consideration to be earned based upon the acquired company reaching specific performance metrics over the next three years of operation. The Company is in the process of completing the preliminary purchase price allocation. This acquisition was not individually significant and no pro forma information has been included.</w:t>
      </w:r>
    </w:p>
    <w:p>
      <w:pPr>
        <w:spacing w:after="0" w:line="211" w:lineRule="exact"/>
        <w:rPr>
          <w:sz w:val="20"/>
          <w:szCs w:val="20"/>
          <w:color w:val="auto"/>
        </w:rPr>
      </w:pPr>
    </w:p>
    <w:p>
      <w:pPr>
        <w:ind w:left="820" w:hanging="812"/>
        <w:spacing w:after="0"/>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segments are: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Services</w:t>
      </w:r>
      <w:r>
        <w:rPr>
          <w:rFonts w:ascii="Arial" w:cs="Arial" w:eastAsia="Arial" w:hAnsi="Arial"/>
          <w:sz w:val="18"/>
          <w:szCs w:val="18"/>
          <w:color w:val="auto"/>
        </w:rPr>
        <w:t>. This segment provides asset protection solutions primarily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non-destructive testing and inspection services that are used to evaluate the structural integrity of critical energy, industrial and public infrastructure.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Products and Systems</w:t>
      </w:r>
      <w:r>
        <w:rPr>
          <w:rFonts w:ascii="Arial" w:cs="Arial" w:eastAsia="Arial" w:hAnsi="Arial"/>
          <w:sz w:val="18"/>
          <w:szCs w:val="18"/>
          <w:color w:val="auto"/>
        </w:rPr>
        <w:t>. 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International</w:t>
      </w:r>
      <w:r>
        <w:rPr>
          <w:rFonts w:ascii="Arial" w:cs="Arial" w:eastAsia="Arial" w:hAnsi="Arial"/>
          <w:sz w:val="16"/>
          <w:szCs w:val="16"/>
          <w:color w:val="auto"/>
        </w:rPr>
        <w:t>. This segment offers services, products and systems similar to those of our other segments to global markets, principally in Europe, the</w:t>
      </w:r>
      <w:r>
        <w:rPr>
          <w:rFonts w:ascii="Arial" w:cs="Arial" w:eastAsia="Arial" w:hAnsi="Arial"/>
          <w:sz w:val="16"/>
          <w:szCs w:val="16"/>
          <w:i w:val="1"/>
          <w:iCs w:val="1"/>
          <w:color w:val="auto"/>
        </w:rPr>
        <w:t xml:space="preserve"> </w:t>
      </w:r>
      <w:r>
        <w:rPr>
          <w:rFonts w:ascii="Arial" w:cs="Arial" w:eastAsia="Arial" w:hAnsi="Arial"/>
          <w:sz w:val="16"/>
          <w:szCs w:val="16"/>
          <w:color w:val="auto"/>
        </w:rPr>
        <w:t>Middle East, Africa, Asia and South America, but not to customers in China and South Korea, which are served by our Products and Systems segment.</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stock-based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Revenues by operating segment include intercompany transactions, which are eliminated in corporate and eliminations.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5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 February 28,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Nine months ended February 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66,708</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52,912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198,098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5,436</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4,768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15,974</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8,671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27,062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9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(1,602)</w:t>
            </w:r>
          </w:p>
        </w:tc>
        <w:tc>
          <w:tcPr>
            <w:tcW w:w="3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(1,416)</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(4,674)</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EAF9E8"/>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79,213</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64,356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236,460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192,344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Services segment had sales to other operating segments of $0.4 million and $0.1 million for the three months ended February 28, 2011 and 2010, respectively. For the nine months ended February 28, 2011 and 2010, the Services segment sales to other operating segments totaled $0.8 million and $0.2 million, respectively.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Products and Systems segment had sales to other operating segments of $1.0 million and $0.9 million for the three months ended February 28, 2011 and 2010, respectively. For the nine months ended February 28, 2011 and 2010, the Products and Systems segment sales to other operating segments totaled $3.1 million and $2.8 million, respectively.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International segment had sales to other operating segments of $0.1 million and $0.2 million for the three months ended February 28, 2011 and 2010, respectively. For the nine months ended February 28, 2011 and 2010, the International segment sales to other operating segments totaled $0.2 million and $0.5 million, respectively.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5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 February 28,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Nine months ended February 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16,650</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11,898</w:t>
            </w:r>
          </w:p>
        </w:tc>
        <w:tc>
          <w:tcPr>
            <w:tcW w:w="2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53,404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3,049</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2,711</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8,440</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2,935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9,466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9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EAF9E8"/>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22,597</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17,627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71,183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57,793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5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 February 28,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Nine months ended February 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98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980" w:type="dxa"/>
            <w:vAlign w:val="bottom"/>
          </w:tcPr>
          <w:p>
            <w:pPr>
              <w:jc w:val="right"/>
              <w:ind w:right="81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5,494</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2,257</w:t>
            </w:r>
          </w:p>
        </w:tc>
        <w:tc>
          <w:tcPr>
            <w:tcW w:w="200" w:type="dxa"/>
            <w:vAlign w:val="bottom"/>
          </w:tcPr>
          <w:p>
            <w:pPr>
              <w:spacing w:after="0"/>
              <w:rPr>
                <w:sz w:val="18"/>
                <w:szCs w:val="18"/>
                <w:color w:val="auto"/>
              </w:rPr>
            </w:pP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19,591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98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1,213</w:t>
            </w: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2,980</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9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404</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2,514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98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98"/>
              </w:rPr>
              <w:t>(2,418)</w:t>
            </w:r>
          </w:p>
        </w:tc>
        <w:tc>
          <w:tcPr>
            <w:tcW w:w="3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(2,132)</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(6,879)</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EAF9E8"/>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80" w:type="dxa"/>
            <w:vAlign w:val="bottom"/>
          </w:tcPr>
          <w:p>
            <w:pPr>
              <w:jc w:val="right"/>
              <w:ind w:right="81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4,693</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18,206</w:t>
            </w:r>
          </w:p>
        </w:tc>
        <w:tc>
          <w:tcPr>
            <w:tcW w:w="1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gridSpan w:val="12"/>
          </w:tcPr>
          <w:p>
            <w:pPr>
              <w:spacing w:after="0"/>
              <w:rPr>
                <w:sz w:val="20"/>
                <w:szCs w:val="20"/>
                <w:color w:val="auto"/>
              </w:rPr>
            </w:pPr>
            <w:r>
              <w:rPr>
                <w:rFonts w:ascii="Arial" w:cs="Arial" w:eastAsia="Arial" w:hAnsi="Arial"/>
                <w:sz w:val="18"/>
                <w:szCs w:val="18"/>
                <w:color w:val="auto"/>
                <w:w w:val="94"/>
              </w:rPr>
              <w:t>Operating income by operating segment includes intercompany transactions, which are eliminated in Corporate and eliminations.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5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 February 28,</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6"/>
          </w:tcPr>
          <w:p>
            <w:pPr>
              <w:ind w:left="140"/>
              <w:spacing w:after="0"/>
              <w:rPr>
                <w:sz w:val="20"/>
                <w:szCs w:val="20"/>
                <w:color w:val="auto"/>
              </w:rPr>
            </w:pPr>
            <w:r>
              <w:rPr>
                <w:rFonts w:ascii="Arial" w:cs="Arial" w:eastAsia="Arial" w:hAnsi="Arial"/>
                <w:sz w:val="18"/>
                <w:szCs w:val="18"/>
                <w:b w:val="1"/>
                <w:bCs w:val="1"/>
                <w:color w:val="auto"/>
              </w:rPr>
              <w:t>Nine months ended February 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Depreciation and amortization</w:t>
            </w:r>
          </w:p>
        </w:tc>
        <w:tc>
          <w:tcPr>
            <w:tcW w:w="100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4,247</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3,363</w:t>
            </w: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11,855</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10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0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1000" w:type="dxa"/>
            <w:vAlign w:val="bottom"/>
            <w:tcBorders>
              <w:bottom w:val="single" w:sz="8" w:color="auto"/>
            </w:tcBorders>
            <w:shd w:val="clear" w:color="auto" w:fill="EAF9E8"/>
          </w:tcPr>
          <w:p>
            <w:pPr>
              <w:spacing w:after="0"/>
              <w:rPr>
                <w:sz w:val="19"/>
                <w:szCs w:val="19"/>
                <w:color w:val="auto"/>
              </w:rPr>
            </w:pPr>
          </w:p>
        </w:tc>
        <w:tc>
          <w:tcPr>
            <w:tcW w:w="5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EAF9E8"/>
            </w:tcBorders>
            <w:shd w:val="clear" w:color="auto" w:fill="EAF9E8"/>
          </w:tcPr>
          <w:p>
            <w:pPr>
              <w:spacing w:after="0"/>
              <w:rPr>
                <w:sz w:val="19"/>
                <w:szCs w:val="19"/>
                <w:color w:val="auto"/>
              </w:rPr>
            </w:pPr>
          </w:p>
        </w:tc>
        <w:tc>
          <w:tcPr>
            <w:tcW w:w="34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4,845</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4,044</w:t>
            </w: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13,608</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690"/>
              <w:spacing w:after="0"/>
              <w:rPr>
                <w:sz w:val="20"/>
                <w:szCs w:val="20"/>
                <w:color w:val="auto"/>
              </w:rPr>
            </w:pPr>
            <w:r>
              <w:rPr>
                <w:rFonts w:ascii="Arial" w:cs="Arial" w:eastAsia="Arial" w:hAnsi="Arial"/>
                <w:sz w:val="18"/>
                <w:szCs w:val="18"/>
                <w:b w:val="1"/>
                <w:bCs w:val="1"/>
                <w:color w:val="auto"/>
              </w:rPr>
              <w:t>As of</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February 28, 2011</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May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Intangible assets, net</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6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16,892</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14,042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Products and Systems</w:t>
            </w: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1,190</w:t>
            </w:r>
          </w:p>
        </w:tc>
        <w:tc>
          <w:tcPr>
            <w:tcW w:w="4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801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Corporate and eliminations</w:t>
            </w:r>
          </w:p>
        </w:tc>
        <w:tc>
          <w:tcPr>
            <w:tcW w:w="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19"/>
                <w:szCs w:val="19"/>
                <w:color w:val="auto"/>
              </w:rPr>
            </w:pPr>
          </w:p>
        </w:tc>
        <w:tc>
          <w:tcPr>
            <w:tcW w:w="1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434</w:t>
            </w:r>
          </w:p>
        </w:tc>
        <w:tc>
          <w:tcPr>
            <w:tcW w:w="42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16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19,317</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16,088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690"/>
              <w:spacing w:after="0"/>
              <w:rPr>
                <w:sz w:val="20"/>
                <w:szCs w:val="20"/>
                <w:color w:val="auto"/>
              </w:rPr>
            </w:pPr>
            <w:r>
              <w:rPr>
                <w:rFonts w:ascii="Arial" w:cs="Arial" w:eastAsia="Arial" w:hAnsi="Arial"/>
                <w:sz w:val="18"/>
                <w:szCs w:val="18"/>
                <w:b w:val="1"/>
                <w:bCs w:val="1"/>
                <w:color w:val="auto"/>
              </w:rPr>
              <w:t>As of</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February 28, 2011</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May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Goodwill</w:t>
            </w:r>
          </w:p>
        </w:tc>
        <w:tc>
          <w:tcPr>
            <w:tcW w:w="20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6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8"/>
                <w:szCs w:val="18"/>
                <w:color w:val="auto"/>
              </w:rPr>
              <w:t>Services</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51,738</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42,804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Products and Systems</w:t>
            </w:r>
          </w:p>
        </w:tc>
        <w:tc>
          <w:tcPr>
            <w:tcW w:w="20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2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shd w:val="clear" w:color="auto" w:fill="EAF9E8"/>
          </w:tcPr>
          <w:p>
            <w:pPr>
              <w:spacing w:after="0"/>
              <w:rPr>
                <w:sz w:val="20"/>
                <w:szCs w:val="20"/>
                <w:color w:val="auto"/>
              </w:rPr>
            </w:pPr>
          </w:p>
        </w:tc>
        <w:tc>
          <w:tcPr>
            <w:tcW w:w="22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53,442</w:t>
            </w:r>
          </w:p>
        </w:tc>
        <w:tc>
          <w:tcPr>
            <w:tcW w:w="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44,315</w:t>
            </w: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EAF9E8"/>
            </w:tcBorders>
            <w:shd w:val="clear" w:color="auto" w:fill="EAF9E8"/>
          </w:tcPr>
          <w:p>
            <w:pPr>
              <w:spacing w:after="0" w:line="20" w:lineRule="exact"/>
              <w:rPr>
                <w:sz w:val="1"/>
                <w:szCs w:val="1"/>
                <w:color w:val="auto"/>
              </w:rPr>
            </w:pPr>
          </w:p>
        </w:tc>
        <w:tc>
          <w:tcPr>
            <w:tcW w:w="20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86" w:right="239" w:bottom="1440" w:gutter="0" w:footer="0" w:header="0"/>
        </w:sectPr>
      </w:pPr>
    </w:p>
    <w:p>
      <w:pPr>
        <w:spacing w:after="0" w:line="241"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February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20320</wp:posOffset>
            </wp:positionV>
            <wp:extent cx="12433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433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May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20320</wp:posOffset>
            </wp:positionV>
            <wp:extent cx="122618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2618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2140"/>
          </w:cols>
          <w:pgMar w:left="240" w:top="486" w:right="239" w:bottom="1440" w:gutter="0" w:footer="0" w:header="0"/>
          <w:type w:val="continuous"/>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5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Total Assets</w:t>
            </w:r>
          </w:p>
        </w:tc>
        <w:tc>
          <w:tcPr>
            <w:tcW w:w="232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3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171,934</w:t>
            </w:r>
          </w:p>
        </w:tc>
        <w:tc>
          <w:tcPr>
            <w:tcW w:w="24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148,462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232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22,384</w:t>
            </w:r>
          </w:p>
        </w:tc>
        <w:tc>
          <w:tcPr>
            <w:tcW w:w="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21,817</w:t>
            </w:r>
          </w:p>
        </w:tc>
        <w:tc>
          <w:tcPr>
            <w:tcW w:w="100" w:type="dxa"/>
            <w:vAlign w:val="bottom"/>
            <w:shd w:val="clear" w:color="auto" w:fill="EAF9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19,163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232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(10,310)</w:t>
            </w: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560" w:type="dxa"/>
            <w:vAlign w:val="bottom"/>
            <w:shd w:val="clear" w:color="auto" w:fill="EAF9E8"/>
          </w:tcPr>
          <w:p>
            <w:pPr>
              <w:spacing w:after="0"/>
              <w:rPr>
                <w:sz w:val="2"/>
                <w:szCs w:val="2"/>
                <w:color w:val="auto"/>
              </w:rPr>
            </w:pPr>
          </w:p>
        </w:tc>
        <w:tc>
          <w:tcPr>
            <w:tcW w:w="2320" w:type="dxa"/>
            <w:vAlign w:val="bottom"/>
            <w:shd w:val="clear" w:color="auto" w:fill="EAF9E8"/>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207,005</w:t>
            </w:r>
          </w:p>
        </w:tc>
        <w:tc>
          <w:tcPr>
            <w:tcW w:w="24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188,632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320" w:type="dxa"/>
            <w:vAlign w:val="bottom"/>
            <w:vMerge w:val="restart"/>
          </w:tcPr>
          <w:p>
            <w:pPr>
              <w:jc w:val="right"/>
              <w:ind w:right="510"/>
              <w:spacing w:after="0"/>
              <w:rPr>
                <w:sz w:val="20"/>
                <w:szCs w:val="20"/>
                <w:color w:val="auto"/>
              </w:rPr>
            </w:pPr>
            <w:r>
              <w:rPr>
                <w:rFonts w:ascii="Arial" w:cs="Arial" w:eastAsia="Arial" w:hAnsi="Arial"/>
                <w:sz w:val="18"/>
                <w:szCs w:val="18"/>
                <w:color w:val="auto"/>
              </w:rPr>
              <w:t>-18-</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00" w:type="dxa"/>
            <w:vAlign w:val="bottom"/>
            <w:gridSpan w:val="13"/>
          </w:tcPr>
          <w:p>
            <w:pPr>
              <w:spacing w:after="0"/>
              <w:rPr>
                <w:sz w:val="20"/>
                <w:szCs w:val="20"/>
                <w:color w:val="auto"/>
              </w:rPr>
            </w:pPr>
            <w:r>
              <w:rPr>
                <w:rFonts w:ascii="Arial" w:cs="Arial" w:eastAsia="Arial" w:hAnsi="Arial"/>
                <w:sz w:val="18"/>
                <w:szCs w:val="18"/>
                <w:color w:val="auto"/>
                <w:w w:val="90"/>
              </w:rPr>
              <w:t>Revenues by geographic area for the three and nine month periods ended February 28, 2011 and 2010, respectively, were as follows: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52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Three months ended February 28,</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6"/>
          </w:tcPr>
          <w:p>
            <w:pPr>
              <w:ind w:left="140"/>
              <w:spacing w:after="0"/>
              <w:rPr>
                <w:sz w:val="20"/>
                <w:szCs w:val="20"/>
                <w:color w:val="auto"/>
              </w:rPr>
            </w:pPr>
            <w:r>
              <w:rPr>
                <w:rFonts w:ascii="Arial" w:cs="Arial" w:eastAsia="Arial" w:hAnsi="Arial"/>
                <w:sz w:val="18"/>
                <w:szCs w:val="18"/>
                <w:b w:val="1"/>
                <w:bCs w:val="1"/>
                <w:color w:val="auto"/>
              </w:rPr>
              <w:t>Nine months ended February 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 by geographic region</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64,189</w:t>
            </w:r>
          </w:p>
        </w:tc>
        <w:tc>
          <w:tcPr>
            <w:tcW w:w="3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51,793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191,309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155,733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Europe</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6,448</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5,788</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20,088</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Other Americas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18,960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Asia-Pacific</w:t>
            </w:r>
          </w:p>
        </w:tc>
        <w:tc>
          <w:tcPr>
            <w:tcW w:w="960" w:type="dxa"/>
            <w:vAlign w:val="bottom"/>
            <w:tcBorders>
              <w:bottom w:val="single" w:sz="8" w:color="auto"/>
            </w:tcBorders>
            <w:shd w:val="clear" w:color="auto" w:fill="EAF9E8"/>
          </w:tcPr>
          <w:p>
            <w:pPr>
              <w:spacing w:after="0"/>
              <w:rPr>
                <w:sz w:val="19"/>
                <w:szCs w:val="19"/>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1,758</w:t>
            </w:r>
          </w:p>
        </w:tc>
        <w:tc>
          <w:tcPr>
            <w:tcW w:w="2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EAF9E8"/>
            </w:tcBorders>
            <w:shd w:val="clear" w:color="auto" w:fill="EAF9E8"/>
          </w:tcPr>
          <w:p>
            <w:pPr>
              <w:spacing w:after="0"/>
              <w:rPr>
                <w:sz w:val="19"/>
                <w:szCs w:val="19"/>
                <w:color w:val="auto"/>
              </w:rPr>
            </w:pPr>
          </w:p>
        </w:tc>
        <w:tc>
          <w:tcPr>
            <w:tcW w:w="34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2,285</w:t>
            </w:r>
          </w:p>
        </w:tc>
        <w:tc>
          <w:tcPr>
            <w:tcW w:w="18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6,103</w:t>
            </w:r>
          </w:p>
        </w:tc>
        <w:tc>
          <w:tcPr>
            <w:tcW w:w="18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79,213</w:t>
            </w:r>
          </w:p>
        </w:tc>
        <w:tc>
          <w:tcPr>
            <w:tcW w:w="3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64,356</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236,460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192,344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 w:name="page21"/>
    <w:bookmarkEnd w:id="20"/>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(“Securities Act”), and Section 21E of the Securities Exchange Act of 1934, as amended (“Exchange Act”). Forward-looking statements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our competitive position and the effects of competition, the projected growth of the industries in which we operate, the benefits and synergies to be obtained from our completed and any future acquisitions, and statements of management’s goals and objectives, and other similar expressions concerning matters that are not historical facts. Words such as “may,” “should,” “could,” “would,” “predicts,” “potential,” “continue,” “expects,” “anticipates,” “future,” “intends,” “plans,” “believes,” “estimates,” “appears,” “projects” and similar expressions, as well as statements in the future tense, identify forward-looking statements. 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 management’s good faith belief with respect to future events, and is subject to risks and uncertainties that could cause actual performance or results to differ materially from those expressed in the statements. Important factors that could cause such differences include, but are not limited to the factors discussed under the “Risk Factors” section below.</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is a discussion and analysis of our financial condition and results of operations and should be read together with our condensed consolidated financial statements and related notes to the condensed consolidated financial statements included elsewhere in this Quarterly Report on Form 10-Q and our audited consolidated financial statements and related notes to the audited consolidated financial statements included in our Annual Report on Form 10-K. In this quarterly report, our fiscal years, which end on May 31, are identified according to the calendar year in which they end (e.g., the fiscal year ended May 31, 2010 is referred to as “fiscal 2010”), and unless otherwise specified or the context otherwise requires, “Mistras,” “the Company,” “we,” “us” and “our” refer to Mistras Group, Inc. and its consolidated subsidiaries.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 leading “one source” global provider of technology-enabled asset protection solutions used to evaluate the structural integrity of critical energy, industrial and public infrastructure. We combine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our customers’ ability to extend the useful life of their assets, increase productivity, minimize repair costs, comply with governmental safety and environmental regulations, manage risk and avoid catastrophic disasters. Given the role our services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 During fiscal 2010, we provided our asset protection solutions to approximately 4,800 customers. As of February 28, 2011, we had approximately 2,700 employees, including 32 Ph.D.’s and more than 100 other degreed engineers and highly-skilled, certified technicians, in 78 offices across 15 countries. We have established long-term relationships as a critical solutions provider to many leading companies in our target markets. Our current principal market is the oil and gas industry, which accounted for approximately 61% and 63% of our revenues for the first nine months of fiscal 2011 and 2010, respectively.</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have experienced compounded annual growth rate (CAGR) for revenue of 31% over the last three fiscal years, including the impact of acquisitions and currency fluctuations. We believe further growth can be realized in all of our target markets. Concurrent with this growth, we have worked to build our infrastructure to profitably absorb additional growth and have made a number of small acquisitions in an effort to leverage our fixed costs, grow our base of experienced, certified personnel, expand our product and technical capabilities and increase our geographical reach.</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competitive advantages over our competition.</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global economy continues to be fragile. Global financial markets continue to experience uncertainty, including diminished liquidity and credit availability, relatively low consumer confidence, slower economic growth, persistently high unemployment rates, volatile currency exchange rates and continued uncertainty about economic stability. However, we believe these conditions have allowed us to capitalize on an opportunity to selectively hire new talented individuals that otherwise might not have been available to us, to acquire and develop new technologies in order to aggressively expand our proprietary portfolio of customized solutions, and to make acquisitions of complementary businesses at reasonable valuations.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recent earthquakes and tsunami in Japan and the related damages to the Fukushima-1 nuclear plant have caused supply chain issues for many industries.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While we have not experienced any significant supply chain issues to date, we will continue to monitor our supply chain situation in Japan.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February 28, 2011 compared to the three months ended February 28,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three months ended February 28, 2011 and 2010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February 28,</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50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w w:val="72"/>
              </w:rPr>
              <w:t>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Statement of Operations Data</w:t>
            </w:r>
          </w:p>
        </w:tc>
        <w:tc>
          <w:tcPr>
            <w:tcW w:w="114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Revenues</w:t>
            </w:r>
          </w:p>
        </w:tc>
        <w:tc>
          <w:tcPr>
            <w:tcW w:w="222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90"/>
              <w:spacing w:after="0"/>
              <w:rPr>
                <w:sz w:val="20"/>
                <w:szCs w:val="20"/>
                <w:color w:val="auto"/>
              </w:rPr>
            </w:pPr>
            <w:r>
              <w:rPr>
                <w:rFonts w:ascii="Arial" w:cs="Arial" w:eastAsia="Arial" w:hAnsi="Arial"/>
                <w:sz w:val="18"/>
                <w:szCs w:val="18"/>
                <w:color w:val="auto"/>
              </w:rPr>
              <w:t>79,213</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64,356</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Cost of revenues</w:t>
            </w:r>
          </w:p>
        </w:tc>
        <w:tc>
          <w:tcPr>
            <w:tcW w:w="114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53,156</w:t>
            </w:r>
          </w:p>
        </w:tc>
        <w:tc>
          <w:tcPr>
            <w:tcW w:w="112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0"/>
              </w:rPr>
              <w:t>43,984</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Depreciation</w:t>
            </w:r>
          </w:p>
        </w:tc>
        <w:tc>
          <w:tcPr>
            <w:tcW w:w="11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3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22,597</w:t>
            </w:r>
          </w:p>
        </w:tc>
        <w:tc>
          <w:tcPr>
            <w:tcW w:w="112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0"/>
              </w:rPr>
              <w:t>17,627</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gridSpan w:val="2"/>
          </w:tcPr>
          <w:p>
            <w:pPr>
              <w:jc w:val="right"/>
              <w:ind w:right="290"/>
              <w:spacing w:after="0"/>
              <w:rPr>
                <w:sz w:val="20"/>
                <w:szCs w:val="20"/>
                <w:color w:val="auto"/>
              </w:rPr>
            </w:pPr>
            <w:r>
              <w:rPr>
                <w:rFonts w:ascii="Arial" w:cs="Arial" w:eastAsia="Arial" w:hAnsi="Arial"/>
                <w:sz w:val="18"/>
                <w:szCs w:val="18"/>
                <w:color w:val="auto"/>
              </w:rPr>
              <w:t>16,005</w:t>
            </w:r>
          </w:p>
        </w:tc>
        <w:tc>
          <w:tcPr>
            <w:tcW w:w="1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14,110</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Research and engineering</w:t>
            </w:r>
          </w:p>
        </w:tc>
        <w:tc>
          <w:tcPr>
            <w:tcW w:w="114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514</w:t>
            </w:r>
          </w:p>
        </w:tc>
        <w:tc>
          <w:tcPr>
            <w:tcW w:w="112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586</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gridSpan w:val="2"/>
          </w:tcPr>
          <w:p>
            <w:pPr>
              <w:jc w:val="right"/>
              <w:ind w:right="290"/>
              <w:spacing w:after="0"/>
              <w:rPr>
                <w:sz w:val="20"/>
                <w:szCs w:val="20"/>
                <w:color w:val="auto"/>
              </w:rPr>
            </w:pPr>
            <w:r>
              <w:rPr>
                <w:rFonts w:ascii="Arial" w:cs="Arial" w:eastAsia="Arial" w:hAnsi="Arial"/>
                <w:sz w:val="18"/>
                <w:szCs w:val="18"/>
                <w:color w:val="auto"/>
              </w:rPr>
              <w:t>1,385</w:t>
            </w:r>
          </w:p>
        </w:tc>
        <w:tc>
          <w:tcPr>
            <w:tcW w:w="1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Legal reserve</w:t>
            </w:r>
          </w:p>
        </w:tc>
        <w:tc>
          <w:tcPr>
            <w:tcW w:w="1140" w:type="dxa"/>
            <w:vAlign w:val="bottom"/>
            <w:tcBorders>
              <w:bottom w:val="single" w:sz="8" w:color="EAF9E8"/>
            </w:tcBorders>
            <w:shd w:val="clear" w:color="auto" w:fill="EAF9E8"/>
          </w:tcPr>
          <w:p>
            <w:pPr>
              <w:spacing w:after="0"/>
              <w:rPr>
                <w:sz w:val="19"/>
                <w:szCs w:val="19"/>
                <w:color w:val="auto"/>
              </w:rPr>
            </w:pPr>
          </w:p>
        </w:tc>
        <w:tc>
          <w:tcPr>
            <w:tcW w:w="1080" w:type="dxa"/>
            <w:vAlign w:val="bottom"/>
            <w:tcBorders>
              <w:bottom w:val="single" w:sz="8" w:color="auto"/>
            </w:tcBorders>
            <w:shd w:val="clear" w:color="auto" w:fill="EAF9E8"/>
          </w:tcPr>
          <w:p>
            <w:pPr>
              <w:spacing w:after="0"/>
              <w:rPr>
                <w:sz w:val="19"/>
                <w:szCs w:val="19"/>
                <w:color w:val="auto"/>
              </w:rPr>
            </w:pPr>
          </w:p>
        </w:tc>
        <w:tc>
          <w:tcPr>
            <w:tcW w:w="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auto"/>
            </w:tcBorders>
            <w:shd w:val="clear" w:color="auto" w:fill="EAF9E8"/>
          </w:tcPr>
          <w:p>
            <w:pPr>
              <w:spacing w:after="0"/>
              <w:rPr>
                <w:sz w:val="19"/>
                <w:szCs w:val="19"/>
                <w:color w:val="auto"/>
              </w:rPr>
            </w:pPr>
          </w:p>
        </w:tc>
        <w:tc>
          <w:tcPr>
            <w:tcW w:w="5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gridSpan w:val="2"/>
          </w:tcPr>
          <w:p>
            <w:pPr>
              <w:jc w:val="right"/>
              <w:ind w:right="290"/>
              <w:spacing w:after="0"/>
              <w:rPr>
                <w:sz w:val="20"/>
                <w:szCs w:val="20"/>
                <w:color w:val="auto"/>
              </w:rPr>
            </w:pPr>
            <w:r>
              <w:rPr>
                <w:rFonts w:ascii="Arial" w:cs="Arial" w:eastAsia="Arial" w:hAnsi="Arial"/>
                <w:sz w:val="18"/>
                <w:szCs w:val="18"/>
                <w:color w:val="auto"/>
              </w:rPr>
              <w:t>4,693</w:t>
            </w:r>
          </w:p>
        </w:tc>
        <w:tc>
          <w:tcPr>
            <w:tcW w:w="1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1,632</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114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596</w:t>
            </w:r>
          </w:p>
        </w:tc>
        <w:tc>
          <w:tcPr>
            <w:tcW w:w="112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744</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Loss on extinguishment of long-term debt</w:t>
            </w:r>
          </w:p>
        </w:tc>
        <w:tc>
          <w:tcPr>
            <w:tcW w:w="11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4"/>
              </w:rPr>
              <w:t>Income before provision for income taxes and noncontrolling interest</w:t>
            </w:r>
          </w:p>
        </w:tc>
        <w:tc>
          <w:tcPr>
            <w:tcW w:w="114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4,097</w:t>
            </w:r>
          </w:p>
        </w:tc>
        <w:tc>
          <w:tcPr>
            <w:tcW w:w="112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888</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3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2,407</w:t>
            </w:r>
          </w:p>
        </w:tc>
        <w:tc>
          <w:tcPr>
            <w:tcW w:w="112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765</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loss attributable to noncontrolling interests, net of taxes</w:t>
            </w:r>
          </w:p>
        </w:tc>
        <w:tc>
          <w:tcPr>
            <w:tcW w:w="11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114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2,443</w:t>
            </w:r>
          </w:p>
        </w:tc>
        <w:tc>
          <w:tcPr>
            <w:tcW w:w="112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774</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Accretion of preferred stock</w:t>
            </w:r>
          </w:p>
        </w:tc>
        <w:tc>
          <w:tcPr>
            <w:tcW w:w="11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attributable to common shareholders</w:t>
            </w:r>
          </w:p>
        </w:tc>
        <w:tc>
          <w:tcPr>
            <w:tcW w:w="2220" w:type="dxa"/>
            <w:vAlign w:val="bottom"/>
            <w:gridSpan w:val="2"/>
            <w:shd w:val="clear" w:color="auto" w:fill="EAF9E8"/>
          </w:tcPr>
          <w:p>
            <w:pPr>
              <w:jc w:val="right"/>
              <w:ind w:right="9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2,443</w:t>
            </w:r>
          </w:p>
        </w:tc>
        <w:tc>
          <w:tcPr>
            <w:tcW w:w="1120" w:type="dxa"/>
            <w:vAlign w:val="bottom"/>
            <w:shd w:val="clear" w:color="auto" w:fill="EAF9E8"/>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774</w:t>
            </w:r>
          </w:p>
        </w:tc>
        <w:tc>
          <w:tcPr>
            <w:tcW w:w="1140" w:type="dxa"/>
            <w:vAlign w:val="bottom"/>
          </w:tcPr>
          <w:p>
            <w:pPr>
              <w:spacing w:after="0"/>
              <w:rPr>
                <w:sz w:val="22"/>
                <w:szCs w:val="22"/>
                <w:color w:val="auto"/>
              </w:rPr>
            </w:pPr>
          </w:p>
        </w:tc>
      </w:tr>
      <w:tr>
        <w:trPr>
          <w:trHeight w:val="574"/>
        </w:trPr>
        <w:tc>
          <w:tcPr>
            <w:tcW w:w="20" w:type="dxa"/>
            <w:vAlign w:val="bottom"/>
          </w:tcPr>
          <w:p>
            <w:pPr>
              <w:spacing w:after="0"/>
              <w:rPr>
                <w:sz w:val="24"/>
                <w:szCs w:val="24"/>
                <w:color w:val="auto"/>
              </w:rPr>
            </w:pPr>
          </w:p>
        </w:tc>
        <w:tc>
          <w:tcPr>
            <w:tcW w:w="5340" w:type="dxa"/>
            <w:vAlign w:val="bottom"/>
            <w:tcBorders>
              <w:top w:val="single" w:sz="8" w:color="EAF9E8"/>
            </w:tcBorders>
          </w:tcPr>
          <w:p>
            <w:pPr>
              <w:spacing w:after="0"/>
              <w:rPr>
                <w:sz w:val="24"/>
                <w:szCs w:val="24"/>
                <w:color w:val="auto"/>
              </w:rPr>
            </w:pPr>
          </w:p>
        </w:tc>
        <w:tc>
          <w:tcPr>
            <w:tcW w:w="1140" w:type="dxa"/>
            <w:vAlign w:val="bottom"/>
            <w:tcBorders>
              <w:top w:val="single" w:sz="8" w:color="EAF9E8"/>
            </w:tcBorders>
          </w:tcPr>
          <w:p>
            <w:pPr>
              <w:jc w:val="right"/>
              <w:ind w:right="550"/>
              <w:spacing w:after="0"/>
              <w:rPr>
                <w:sz w:val="20"/>
                <w:szCs w:val="20"/>
                <w:color w:val="auto"/>
              </w:rPr>
            </w:pPr>
            <w:r>
              <w:rPr>
                <w:rFonts w:ascii="Arial" w:cs="Arial" w:eastAsia="Arial" w:hAnsi="Arial"/>
                <w:sz w:val="18"/>
                <w:szCs w:val="18"/>
                <w:color w:val="auto"/>
              </w:rPr>
              <w:t>-21-</w:t>
            </w:r>
          </w:p>
        </w:tc>
        <w:tc>
          <w:tcPr>
            <w:tcW w:w="10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Borders>
              <w:top w:val="single" w:sz="8" w:color="EAF9E8"/>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Our EBITDA and Adjusted EBITDA, non-GAAP measures explained below, for the three months ended February 28, 2011 and 2010,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February 28,</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EBITDA and Adjusted EBITDA data</w:t>
            </w:r>
          </w:p>
        </w:tc>
        <w:tc>
          <w:tcPr>
            <w:tcW w:w="108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54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w w:val="72"/>
              </w:rPr>
              <w:t>thousands)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Net income attributable to Mistras Group, Inc.</w:t>
            </w:r>
          </w:p>
        </w:tc>
        <w:tc>
          <w:tcPr>
            <w:tcW w:w="1080" w:type="dxa"/>
            <w:vAlign w:val="bottom"/>
            <w:shd w:val="clear" w:color="auto" w:fill="EAF9E8"/>
          </w:tcPr>
          <w:p>
            <w:pPr>
              <w:jc w:val="right"/>
              <w:ind w:right="91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2,443</w:t>
            </w:r>
          </w:p>
        </w:tc>
        <w:tc>
          <w:tcPr>
            <w:tcW w:w="1160" w:type="dxa"/>
            <w:vAlign w:val="bottom"/>
            <w:shd w:val="clear" w:color="auto" w:fill="EAF9E8"/>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8"/>
                <w:szCs w:val="18"/>
                <w:color w:val="auto"/>
              </w:rPr>
            </w:pPr>
          </w:p>
        </w:tc>
        <w:tc>
          <w:tcPr>
            <w:tcW w:w="960" w:type="dxa"/>
            <w:vAlign w:val="bottom"/>
            <w:gridSpan w:val="2"/>
          </w:tcPr>
          <w:p>
            <w:pPr>
              <w:jc w:val="right"/>
              <w:ind w:right="290"/>
              <w:spacing w:after="0"/>
              <w:rPr>
                <w:sz w:val="20"/>
                <w:szCs w:val="20"/>
                <w:color w:val="auto"/>
              </w:rPr>
            </w:pPr>
            <w:r>
              <w:rPr>
                <w:rFonts w:ascii="Arial" w:cs="Arial" w:eastAsia="Arial" w:hAnsi="Arial"/>
                <w:sz w:val="18"/>
                <w:szCs w:val="18"/>
                <w:color w:val="auto"/>
              </w:rPr>
              <w:t>596</w:t>
            </w:r>
          </w:p>
        </w:tc>
        <w:tc>
          <w:tcPr>
            <w:tcW w:w="1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1,690</w:t>
            </w:r>
          </w:p>
        </w:tc>
        <w:tc>
          <w:tcPr>
            <w:tcW w:w="1160" w:type="dxa"/>
            <w:vAlign w:val="bottom"/>
            <w:shd w:val="clear" w:color="auto" w:fill="EAF9E8"/>
          </w:tcPr>
          <w:p>
            <w:pPr>
              <w:spacing w:after="0"/>
              <w:rPr>
                <w:sz w:val="18"/>
                <w:szCs w:val="18"/>
                <w:color w:val="auto"/>
              </w:rPr>
            </w:pP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123</w:t>
            </w: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w:t>
            </w:r>
          </w:p>
        </w:tc>
        <w:tc>
          <w:tcPr>
            <w:tcW w:w="3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EBITDA</w:t>
            </w:r>
          </w:p>
        </w:tc>
        <w:tc>
          <w:tcPr>
            <w:tcW w:w="1080" w:type="dxa"/>
            <w:vAlign w:val="bottom"/>
            <w:shd w:val="clear" w:color="auto" w:fill="EAF9E8"/>
          </w:tcPr>
          <w:p>
            <w:pPr>
              <w:jc w:val="right"/>
              <w:ind w:right="91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9,574</w:t>
            </w:r>
          </w:p>
        </w:tc>
        <w:tc>
          <w:tcPr>
            <w:tcW w:w="1160" w:type="dxa"/>
            <w:vAlign w:val="bottom"/>
            <w:shd w:val="clear" w:color="auto" w:fill="EAF9E8"/>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5,685</w:t>
            </w: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Stock compensation expense</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3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4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Adjusted EBITDA</w:t>
            </w:r>
          </w:p>
        </w:tc>
        <w:tc>
          <w:tcPr>
            <w:tcW w:w="1080" w:type="dxa"/>
            <w:vAlign w:val="bottom"/>
            <w:shd w:val="clear" w:color="auto" w:fill="EAF9E8"/>
          </w:tcPr>
          <w:p>
            <w:pPr>
              <w:jc w:val="right"/>
              <w:ind w:right="91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10,477</w:t>
            </w:r>
          </w:p>
        </w:tc>
        <w:tc>
          <w:tcPr>
            <w:tcW w:w="1160" w:type="dxa"/>
            <w:vAlign w:val="bottom"/>
            <w:shd w:val="clear" w:color="auto" w:fill="EAF9E8"/>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6,512</w:t>
            </w:r>
          </w:p>
        </w:tc>
      </w:tr>
      <w:tr>
        <w:trPr>
          <w:trHeight w:val="345"/>
        </w:trPr>
        <w:tc>
          <w:tcPr>
            <w:tcW w:w="20" w:type="dxa"/>
            <w:vAlign w:val="bottom"/>
          </w:tcPr>
          <w:p>
            <w:pPr>
              <w:spacing w:after="0"/>
              <w:rPr>
                <w:sz w:val="24"/>
                <w:szCs w:val="24"/>
                <w:color w:val="auto"/>
              </w:rPr>
            </w:pPr>
          </w:p>
        </w:tc>
        <w:tc>
          <w:tcPr>
            <w:tcW w:w="2300" w:type="dxa"/>
            <w:vAlign w:val="bottom"/>
            <w:tcBorders>
              <w:top w:val="single" w:sz="8" w:color="EAF9E8"/>
              <w:bottom w:val="single" w:sz="8" w:color="808080"/>
            </w:tcBorders>
          </w:tcPr>
          <w:p>
            <w:pPr>
              <w:spacing w:after="0"/>
              <w:rPr>
                <w:sz w:val="24"/>
                <w:szCs w:val="24"/>
                <w:color w:val="auto"/>
              </w:rPr>
            </w:pPr>
          </w:p>
        </w:tc>
        <w:tc>
          <w:tcPr>
            <w:tcW w:w="4180" w:type="dxa"/>
            <w:vAlign w:val="bottom"/>
            <w:tcBorders>
              <w:top w:val="single" w:sz="8" w:color="EAF9E8"/>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Borders>
              <w:top w:val="single" w:sz="8" w:color="EAF9E8"/>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EBITDA and Adjusted EBITDA are performance measures used by management that are not calculated in accordance with U.S. generally accepted accounting principles (GAAP). EBITDA is defined in this Quarterly Report as net income attributable to Mistras Group, Inc. plus: interest expense, provision for income taxes and depreciation and amortization. Adjusted EBITDA is defined in this Quarterly Report as net income attributable to Mistras Group, Inc. plus: interest expense, provision for income taxes, depreciation and amortization, stock-based compensation expense, and, if applicable, certain acquisition related costs and certain one-time and generally non-recurring items (which items, if any, are set forth in the reconciliation table above).</w:t>
      </w:r>
    </w:p>
    <w:p>
      <w:pPr>
        <w:spacing w:after="0" w:line="18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off which to base executive and employee incentive compensation programs.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investors and other users of our financial statements benefit from the presentation of Adjusted EBITDA in evaluating our operating performance because it provides an additional tool to compare our operating performance on a consistent basis and measure underlying trends and results in our business. Adjusted EBITDA removes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stock-based compensation, which is a non-cash expense and is excluded by management when evaluating the underlying performance of our business operations.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Adjusted EBITDA should not be considered in isolation or as a substitute for analyzing our results as reported under U.S. generally accepted accounting principles.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Revenues were $79.2 million for three months ended February 28, 2011 compared to $64.4 million for three months ended February 28,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months ended February 28, 2011 and 2010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00" w:type="dxa"/>
            <w:vAlign w:val="bottom"/>
          </w:tcPr>
          <w:p>
            <w:pPr>
              <w:spacing w:after="0"/>
              <w:rPr>
                <w:sz w:val="20"/>
                <w:szCs w:val="20"/>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February 28,</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50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w w:val="72"/>
              </w:rPr>
              <w:t>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66,708</w:t>
            </w:r>
          </w:p>
        </w:tc>
        <w:tc>
          <w:tcPr>
            <w:tcW w:w="380" w:type="dxa"/>
            <w:vAlign w:val="bottom"/>
          </w:tcPr>
          <w:p>
            <w:pPr>
              <w:spacing w:after="0"/>
              <w:rPr>
                <w:sz w:val="18"/>
                <w:szCs w:val="18"/>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52,912</w:t>
            </w:r>
          </w:p>
        </w:tc>
      </w:tr>
      <w:tr>
        <w:trPr>
          <w:trHeight w:val="216"/>
        </w:trPr>
        <w:tc>
          <w:tcPr>
            <w:tcW w:w="65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Products and Systems</w:t>
            </w: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5,436</w:t>
            </w: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4,768</w:t>
            </w: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8,671</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8,092</w:t>
            </w:r>
          </w:p>
        </w:tc>
      </w:tr>
      <w:tr>
        <w:trPr>
          <w:trHeight w:val="223"/>
        </w:trPr>
        <w:tc>
          <w:tcPr>
            <w:tcW w:w="65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Corporate and eliminations</w:t>
            </w:r>
          </w:p>
        </w:tc>
        <w:tc>
          <w:tcPr>
            <w:tcW w:w="108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(1,602)</w:t>
            </w:r>
          </w:p>
        </w:tc>
        <w:tc>
          <w:tcPr>
            <w:tcW w:w="1120" w:type="dxa"/>
            <w:vAlign w:val="bottom"/>
            <w:shd w:val="clear" w:color="auto" w:fill="EAF9E8"/>
          </w:tcPr>
          <w:p>
            <w:pPr>
              <w:spacing w:after="0"/>
              <w:rPr>
                <w:sz w:val="19"/>
                <w:szCs w:val="19"/>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8"/>
              </w:rPr>
              <w:t>(1,416)</w:t>
            </w:r>
          </w:p>
        </w:tc>
      </w:tr>
      <w:tr>
        <w:trPr>
          <w:trHeight w:val="216"/>
        </w:trPr>
        <w:tc>
          <w:tcPr>
            <w:tcW w:w="6500" w:type="dxa"/>
            <w:vAlign w:val="bottom"/>
            <w:tcBorders>
              <w:top w:val="single" w:sz="8" w:color="EAF9E8"/>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79,213</w:t>
            </w:r>
          </w:p>
        </w:tc>
        <w:tc>
          <w:tcPr>
            <w:tcW w:w="380" w:type="dxa"/>
            <w:vAlign w:val="bottom"/>
            <w:tcBorders>
              <w:top w:val="single" w:sz="8" w:color="EAF9E8"/>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64,356</w:t>
            </w:r>
          </w:p>
        </w:tc>
        <w:tc>
          <w:tcPr>
            <w:tcW w:w="100" w:type="dxa"/>
            <w:vAlign w:val="bottom"/>
            <w:tcBorders>
              <w:top w:val="single" w:sz="8" w:color="EAF9E8"/>
            </w:tcBorders>
          </w:tcPr>
          <w:p>
            <w:pPr>
              <w:spacing w:after="0"/>
              <w:rPr>
                <w:sz w:val="18"/>
                <w:szCs w:val="18"/>
                <w:color w:val="auto"/>
              </w:rPr>
            </w:pPr>
          </w:p>
        </w:tc>
      </w:tr>
      <w:tr>
        <w:trPr>
          <w:trHeight w:val="21"/>
        </w:trPr>
        <w:tc>
          <w:tcPr>
            <w:tcW w:w="6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estimate our growth rates for the three months ended February 28, 2011 and 2010, respectively,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w w:val="98"/>
              </w:rPr>
              <w:t>Three months ended February 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78"/>
              </w:rPr>
              <w:t>thousands)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AF9E8"/>
          </w:tcPr>
          <w:p>
            <w:pPr>
              <w:spacing w:after="0"/>
              <w:rPr>
                <w:sz w:val="20"/>
                <w:szCs w:val="20"/>
                <w:color w:val="auto"/>
              </w:rPr>
            </w:pPr>
            <w:r>
              <w:rPr>
                <w:rFonts w:ascii="Arial" w:cs="Arial" w:eastAsia="Arial" w:hAnsi="Arial"/>
                <w:sz w:val="18"/>
                <w:szCs w:val="18"/>
                <w:color w:val="auto"/>
              </w:rPr>
              <w:t>Revenue growth</w:t>
            </w:r>
          </w:p>
        </w:tc>
        <w:tc>
          <w:tcPr>
            <w:tcW w:w="3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14,857</w:t>
            </w:r>
          </w:p>
        </w:tc>
        <w:tc>
          <w:tcPr>
            <w:tcW w:w="64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17,355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320" w:type="dxa"/>
            <w:vAlign w:val="bottom"/>
          </w:tcPr>
          <w:p>
            <w:pPr>
              <w:spacing w:after="0"/>
              <w:rPr>
                <w:sz w:val="18"/>
                <w:szCs w:val="18"/>
                <w:color w:val="auto"/>
              </w:rPr>
            </w:pPr>
          </w:p>
        </w:tc>
        <w:tc>
          <w:tcPr>
            <w:tcW w:w="1620" w:type="dxa"/>
            <w:vAlign w:val="bottom"/>
            <w:gridSpan w:val="2"/>
          </w:tcPr>
          <w:p>
            <w:pPr>
              <w:jc w:val="right"/>
              <w:ind w:right="7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Comprised of:</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AF9E8"/>
          </w:tcPr>
          <w:p>
            <w:pPr>
              <w:spacing w:after="0"/>
              <w:rPr>
                <w:sz w:val="20"/>
                <w:szCs w:val="20"/>
                <w:color w:val="auto"/>
              </w:rPr>
            </w:pPr>
            <w:r>
              <w:rPr>
                <w:rFonts w:ascii="Arial" w:cs="Arial" w:eastAsia="Arial" w:hAnsi="Arial"/>
                <w:sz w:val="18"/>
                <w:szCs w:val="18"/>
                <w:color w:val="auto"/>
              </w:rPr>
              <w:t>% of organic growth</w:t>
            </w:r>
          </w:p>
        </w:tc>
        <w:tc>
          <w:tcPr>
            <w:tcW w:w="32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 of acquisition growth</w:t>
            </w:r>
          </w:p>
        </w:tc>
        <w:tc>
          <w:tcPr>
            <w:tcW w:w="320" w:type="dxa"/>
            <w:vAlign w:val="bottom"/>
          </w:tcPr>
          <w:p>
            <w:pPr>
              <w:spacing w:after="0"/>
              <w:rPr>
                <w:sz w:val="18"/>
                <w:szCs w:val="18"/>
                <w:color w:val="auto"/>
              </w:rPr>
            </w:pPr>
          </w:p>
        </w:tc>
        <w:tc>
          <w:tcPr>
            <w:tcW w:w="1620" w:type="dxa"/>
            <w:vAlign w:val="bottom"/>
            <w:gridSpan w:val="2"/>
          </w:tcPr>
          <w:p>
            <w:pPr>
              <w:jc w:val="right"/>
              <w:ind w:right="7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EAF9E8"/>
          </w:tcPr>
          <w:p>
            <w:pPr>
              <w:spacing w:after="0"/>
              <w:rPr>
                <w:sz w:val="20"/>
                <w:szCs w:val="20"/>
                <w:color w:val="auto"/>
              </w:rPr>
            </w:pPr>
            <w:r>
              <w:rPr>
                <w:rFonts w:ascii="Arial" w:cs="Arial" w:eastAsia="Arial" w:hAnsi="Arial"/>
                <w:sz w:val="18"/>
                <w:szCs w:val="18"/>
                <w:color w:val="auto"/>
              </w:rPr>
              <w:t>% foreign exchange increase</w:t>
            </w:r>
          </w:p>
        </w:tc>
        <w:tc>
          <w:tcPr>
            <w:tcW w:w="32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ind w:right="7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$14.9 million, or approximately 23%, for the three months ended February 28, 2011 compared to the three months ended February 28, 2010 as a result of growth in all our segments, but principally attributable to growth in our Services segment. For the third quarter of fiscal 2011 and 2010, we estimate that our organic growth rate, as compared to growth driven by acquisitions, was approximately 17% and 24%, respectively. This organic growth was driven by an increase in demand for our inspection services coupled with an increase in seasonal turn-around maintenance activity from our “run and maintain” or “evergreen” contracts at oil refineries. In the third quarter of fiscal 2011, we estimate that our acquisition growth was approximately 6% compared to approximately 11%, in the third quarter of fiscal 2010. We completed four acquisitions during the nine months ended February 28, 2011 and three acquisitions during the nine months ended February 28, 2010.</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continued to experience growth in many of our target markets during the third quarter of fiscal 2011. Oil and gas is our largest target market and in third quarter of fiscal 2011 represented approximately 64% of total revenues, compared to approximately 66% in the third quarter of fiscal 2010. Oil and gas revenue in the third quarter of fiscal 2011 increased by approximately 20% over the prior year with the largest increases coming from the downstream and upstream sections of the oil and gas industry. We also experienced growth in several of our other target markets outside of oil and gas, including chemical, aerospace and defense, and industrial markets. Taken as a group, revenues for all target markets other than oil and gas grew by approximately 30% in the third quarter of fiscal 2011 over the prior year period. Our largest customer in both periods was BP, accounting for approximately 21% of our revenues in the third quarter of fiscal 2011 and approximately 17% in the third quarter of fiscal 2010. Our top ten customers represented approximately 50% of our revenues in the third quarter of fiscal 2011 compared to 48% in the same quarter last year.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gross profit was $22.6 million and increased $5.0 million, or 28% in the third quarter of fiscal 2011 compared to $17.6 million in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2010. As a percentage of revenues, our gross profit and its components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February 28,</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1560" w:type="dxa"/>
            <w:vAlign w:val="bottom"/>
            <w:gridSpan w:val="2"/>
          </w:tcPr>
          <w:p>
            <w:pPr>
              <w:jc w:val="right"/>
              <w:ind w:right="697"/>
              <w:spacing w:after="0"/>
              <w:rPr>
                <w:sz w:val="20"/>
                <w:szCs w:val="20"/>
                <w:color w:val="auto"/>
              </w:rPr>
            </w:pPr>
            <w:r>
              <w:rPr>
                <w:rFonts w:ascii="Arial" w:cs="Arial" w:eastAsia="Arial" w:hAnsi="Arial"/>
                <w:sz w:val="18"/>
                <w:szCs w:val="18"/>
                <w:b w:val="1"/>
                <w:bCs w:val="1"/>
                <w:color w:val="auto"/>
                <w:w w:val="78"/>
              </w:rPr>
              <w:t>thousands)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Gross profit</w:t>
            </w:r>
          </w:p>
        </w:tc>
        <w:tc>
          <w:tcPr>
            <w:tcW w:w="2140" w:type="dxa"/>
            <w:vAlign w:val="bottom"/>
            <w:gridSpan w:val="2"/>
            <w:shd w:val="clear" w:color="auto" w:fill="EAF9E8"/>
          </w:tcPr>
          <w:p>
            <w:pPr>
              <w:jc w:val="right"/>
              <w:ind w:right="8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370"/>
              <w:spacing w:after="0"/>
              <w:rPr>
                <w:sz w:val="20"/>
                <w:szCs w:val="20"/>
                <w:color w:val="auto"/>
              </w:rPr>
            </w:pPr>
            <w:r>
              <w:rPr>
                <w:rFonts w:ascii="Arial" w:cs="Arial" w:eastAsia="Arial" w:hAnsi="Arial"/>
                <w:sz w:val="18"/>
                <w:szCs w:val="18"/>
                <w:color w:val="auto"/>
                <w:w w:val="98"/>
              </w:rPr>
              <w:t>22,597</w:t>
            </w:r>
          </w:p>
        </w:tc>
        <w:tc>
          <w:tcPr>
            <w:tcW w:w="1100" w:type="dxa"/>
            <w:vAlign w:val="bottom"/>
            <w:shd w:val="clear" w:color="auto" w:fill="EAF9E8"/>
          </w:tcPr>
          <w:p>
            <w:pPr>
              <w:jc w:val="right"/>
              <w:ind w:right="93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0"/>
              </w:rPr>
              <w:t>17,627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Gross profit % comprised of:</w:t>
            </w:r>
          </w:p>
        </w:tc>
        <w:tc>
          <w:tcPr>
            <w:tcW w:w="10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gridSpan w:val="2"/>
          </w:tcPr>
          <w:p>
            <w:pPr>
              <w:jc w:val="right"/>
              <w:ind w:right="230"/>
              <w:spacing w:after="0"/>
              <w:rPr>
                <w:sz w:val="20"/>
                <w:szCs w:val="20"/>
                <w:color w:val="auto"/>
              </w:rPr>
            </w:pPr>
            <w:r>
              <w:rPr>
                <w:rFonts w:ascii="Arial" w:cs="Arial" w:eastAsia="Arial" w:hAnsi="Arial"/>
                <w:sz w:val="18"/>
                <w:szCs w:val="18"/>
                <w:color w:val="auto"/>
              </w:rPr>
              <w:t>100.0%</w:t>
            </w:r>
          </w:p>
        </w:tc>
        <w:tc>
          <w:tcPr>
            <w:tcW w:w="1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Cost of revenues</w:t>
            </w:r>
          </w:p>
        </w:tc>
        <w:tc>
          <w:tcPr>
            <w:tcW w:w="10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67.1%</w:t>
            </w:r>
          </w:p>
        </w:tc>
        <w:tc>
          <w:tcPr>
            <w:tcW w:w="110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Depreciation</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gridSpan w:val="2"/>
          </w:tcPr>
          <w:p>
            <w:pPr>
              <w:jc w:val="right"/>
              <w:ind w:right="230"/>
              <w:spacing w:after="0"/>
              <w:rPr>
                <w:sz w:val="20"/>
                <w:szCs w:val="20"/>
                <w:color w:val="auto"/>
              </w:rPr>
            </w:pPr>
            <w:r>
              <w:rPr>
                <w:rFonts w:ascii="Arial" w:cs="Arial" w:eastAsia="Arial" w:hAnsi="Arial"/>
                <w:sz w:val="18"/>
                <w:szCs w:val="18"/>
                <w:color w:val="auto"/>
              </w:rPr>
              <w:t>4.4%</w:t>
            </w:r>
          </w:p>
        </w:tc>
        <w:tc>
          <w:tcPr>
            <w:tcW w:w="1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28.5%</w:t>
            </w:r>
          </w:p>
        </w:tc>
        <w:tc>
          <w:tcPr>
            <w:tcW w:w="110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shd w:val="clear" w:color="auto" w:fill="EAF9E8"/>
          </w:tcPr>
          <w:p>
            <w:pPr>
              <w:spacing w:after="0"/>
              <w:rPr>
                <w:sz w:val="2"/>
                <w:szCs w:val="2"/>
                <w:color w:val="auto"/>
              </w:rPr>
            </w:pPr>
          </w:p>
        </w:tc>
        <w:tc>
          <w:tcPr>
            <w:tcW w:w="1080" w:type="dxa"/>
            <w:vAlign w:val="bottom"/>
            <w:shd w:val="clear" w:color="auto" w:fill="EAF9E8"/>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shd w:val="clear" w:color="auto" w:fill="EAF9E8"/>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Gross profit % increase (decrease) from prior year quarter</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gridSpan w:val="2"/>
          </w:tcPr>
          <w:p>
            <w:pPr>
              <w:jc w:val="right"/>
              <w:ind w:right="230"/>
              <w:spacing w:after="0"/>
              <w:rPr>
                <w:sz w:val="20"/>
                <w:szCs w:val="20"/>
                <w:color w:val="auto"/>
              </w:rPr>
            </w:pPr>
            <w:r>
              <w:rPr>
                <w:rFonts w:ascii="Arial" w:cs="Arial" w:eastAsia="Arial" w:hAnsi="Arial"/>
                <w:sz w:val="18"/>
                <w:szCs w:val="18"/>
                <w:color w:val="auto"/>
              </w:rPr>
              <w:t>1.1%</w:t>
            </w:r>
          </w:p>
        </w:tc>
        <w:tc>
          <w:tcPr>
            <w:tcW w:w="1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gross profit by segment for the third quarter of fiscal 2011 and 2010,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00" w:type="dxa"/>
            <w:vAlign w:val="bottom"/>
          </w:tcPr>
          <w:p>
            <w:pPr>
              <w:spacing w:after="0"/>
              <w:rPr>
                <w:sz w:val="20"/>
                <w:szCs w:val="20"/>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February 28,</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50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w w:val="72"/>
              </w:rPr>
              <w:t>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16,650</w:t>
            </w:r>
          </w:p>
        </w:tc>
        <w:tc>
          <w:tcPr>
            <w:tcW w:w="380" w:type="dxa"/>
            <w:vAlign w:val="bottom"/>
          </w:tcPr>
          <w:p>
            <w:pPr>
              <w:spacing w:after="0"/>
              <w:rPr>
                <w:sz w:val="18"/>
                <w:szCs w:val="18"/>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11,898</w:t>
            </w:r>
          </w:p>
        </w:tc>
      </w:tr>
      <w:tr>
        <w:trPr>
          <w:trHeight w:val="216"/>
        </w:trPr>
        <w:tc>
          <w:tcPr>
            <w:tcW w:w="65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Products and Systems</w:t>
            </w: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3,049</w:t>
            </w: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2,711</w:t>
            </w: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2,935</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3,222</w:t>
            </w:r>
          </w:p>
        </w:tc>
      </w:tr>
      <w:tr>
        <w:trPr>
          <w:trHeight w:val="223"/>
        </w:trPr>
        <w:tc>
          <w:tcPr>
            <w:tcW w:w="65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Corporate and eliminations</w:t>
            </w:r>
          </w:p>
        </w:tc>
        <w:tc>
          <w:tcPr>
            <w:tcW w:w="108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(37)</w:t>
            </w:r>
          </w:p>
        </w:tc>
        <w:tc>
          <w:tcPr>
            <w:tcW w:w="1120" w:type="dxa"/>
            <w:vAlign w:val="bottom"/>
            <w:shd w:val="clear" w:color="auto" w:fill="EAF9E8"/>
          </w:tcPr>
          <w:p>
            <w:pPr>
              <w:spacing w:after="0"/>
              <w:rPr>
                <w:sz w:val="19"/>
                <w:szCs w:val="19"/>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6500" w:type="dxa"/>
            <w:vAlign w:val="bottom"/>
            <w:tcBorders>
              <w:top w:val="single" w:sz="8" w:color="EAF9E8"/>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22,597</w:t>
            </w:r>
          </w:p>
        </w:tc>
        <w:tc>
          <w:tcPr>
            <w:tcW w:w="380" w:type="dxa"/>
            <w:vAlign w:val="bottom"/>
            <w:tcBorders>
              <w:top w:val="single" w:sz="8" w:color="EAF9E8"/>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17,627</w:t>
            </w:r>
          </w:p>
        </w:tc>
        <w:tc>
          <w:tcPr>
            <w:tcW w:w="100" w:type="dxa"/>
            <w:vAlign w:val="bottom"/>
            <w:tcBorders>
              <w:top w:val="single" w:sz="8" w:color="EAF9E8"/>
            </w:tcBorders>
          </w:tcPr>
          <w:p>
            <w:pPr>
              <w:spacing w:after="0"/>
              <w:rPr>
                <w:sz w:val="18"/>
                <w:szCs w:val="18"/>
                <w:color w:val="auto"/>
              </w:rPr>
            </w:pPr>
          </w:p>
        </w:tc>
      </w:tr>
      <w:tr>
        <w:trPr>
          <w:trHeight w:val="21"/>
        </w:trPr>
        <w:tc>
          <w:tcPr>
            <w:tcW w:w="6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a percentage of revenues, our gross profit increased 110 basis points to approximately 29% in the third quarter of fiscal 2011 compared to approximately 27% in the third quarter of fiscal 2010. Cost of revenues, excluding depreciation, as a percentage of revenues was approximately 67% and 68% in the third quarter of fiscal 2011 and fiscal 2010, respectively. Depreciation expense included in the determination of gross profit for the third quarter of fiscal 2011 and fiscal 2010 was $3.5 million and $2.7 million, respectively.</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increase in our gross profit as a percentage of revenues for the third quarter of fiscal 2011 was attributable to our Services segment. While competitive pricing contracts remain a focus of many of our Services segment customers, we were able to improve our gross profit as a percentage of revenues by focusing on utilization rates of our service technicians and other controllable costs of revenues. These costs, as a percentage of revenues, decreased to approximately 16% during the three months ended February 28, 2011 from 18% during the three months ended February 28, 2010. The overall increase in gross profit percentage was offset by decreases in the gross profit percentage of our Products and Systems segment and our International segment against the comparable prior year period, which were primarily attributable to a lower margin product mix of sales during the period.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by segment for the third quarter of fiscal 2011 and 2010,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00" w:type="dxa"/>
            <w:vAlign w:val="bottom"/>
          </w:tcPr>
          <w:p>
            <w:pPr>
              <w:spacing w:after="0"/>
              <w:rPr>
                <w:sz w:val="20"/>
                <w:szCs w:val="20"/>
                <w:color w:val="auto"/>
              </w:rPr>
            </w:pPr>
          </w:p>
        </w:tc>
        <w:tc>
          <w:tcPr>
            <w:tcW w:w="3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February 28,</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00" w:type="dxa"/>
            <w:vAlign w:val="bottom"/>
          </w:tcPr>
          <w:p>
            <w:pPr>
              <w:spacing w:after="0"/>
              <w:rPr>
                <w:sz w:val="19"/>
                <w:szCs w:val="19"/>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2011</w:t>
            </w:r>
          </w:p>
        </w:tc>
        <w:tc>
          <w:tcPr>
            <w:tcW w:w="5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52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w w:val="72"/>
              </w:rPr>
              <w:t>thousands)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110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100" w:type="dxa"/>
            <w:vAlign w:val="bottom"/>
          </w:tcPr>
          <w:p>
            <w:pPr>
              <w:jc w:val="right"/>
              <w:ind w:right="93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5,494</w:t>
            </w:r>
          </w:p>
        </w:tc>
        <w:tc>
          <w:tcPr>
            <w:tcW w:w="380" w:type="dxa"/>
            <w:vAlign w:val="bottom"/>
          </w:tcPr>
          <w:p>
            <w:pPr>
              <w:spacing w:after="0"/>
              <w:rPr>
                <w:sz w:val="18"/>
                <w:szCs w:val="18"/>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2,257</w:t>
            </w:r>
          </w:p>
        </w:tc>
      </w:tr>
      <w:tr>
        <w:trPr>
          <w:trHeight w:val="216"/>
        </w:trPr>
        <w:tc>
          <w:tcPr>
            <w:tcW w:w="65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Products and Systems</w:t>
            </w:r>
          </w:p>
        </w:tc>
        <w:tc>
          <w:tcPr>
            <w:tcW w:w="110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1,213</w:t>
            </w:r>
          </w:p>
        </w:tc>
        <w:tc>
          <w:tcPr>
            <w:tcW w:w="3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6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980</w:t>
            </w: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404</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r>
      <w:tr>
        <w:trPr>
          <w:trHeight w:val="223"/>
        </w:trPr>
        <w:tc>
          <w:tcPr>
            <w:tcW w:w="65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Corporate and eliminations</w:t>
            </w:r>
          </w:p>
        </w:tc>
        <w:tc>
          <w:tcPr>
            <w:tcW w:w="1100" w:type="dxa"/>
            <w:vAlign w:val="bottom"/>
            <w:shd w:val="clear" w:color="auto" w:fill="EAF9E8"/>
          </w:tcPr>
          <w:p>
            <w:pPr>
              <w:spacing w:after="0"/>
              <w:rPr>
                <w:sz w:val="19"/>
                <w:szCs w:val="19"/>
                <w:color w:val="auto"/>
              </w:rPr>
            </w:pPr>
          </w:p>
        </w:tc>
        <w:tc>
          <w:tcPr>
            <w:tcW w:w="94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(2,418)</w:t>
            </w:r>
          </w:p>
        </w:tc>
        <w:tc>
          <w:tcPr>
            <w:tcW w:w="1140" w:type="dxa"/>
            <w:vAlign w:val="bottom"/>
            <w:shd w:val="clear" w:color="auto" w:fill="EAF9E8"/>
          </w:tcPr>
          <w:p>
            <w:pPr>
              <w:spacing w:after="0"/>
              <w:rPr>
                <w:sz w:val="19"/>
                <w:szCs w:val="19"/>
                <w:color w:val="auto"/>
              </w:rPr>
            </w:pPr>
          </w:p>
        </w:tc>
        <w:tc>
          <w:tcPr>
            <w:tcW w:w="6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4"/>
              </w:rPr>
              <w:t>(2,132)</w:t>
            </w:r>
          </w:p>
        </w:tc>
      </w:tr>
      <w:tr>
        <w:trPr>
          <w:trHeight w:val="216"/>
        </w:trPr>
        <w:tc>
          <w:tcPr>
            <w:tcW w:w="6500" w:type="dxa"/>
            <w:vAlign w:val="bottom"/>
            <w:tcBorders>
              <w:top w:val="single" w:sz="8" w:color="EAF9E8"/>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4,693</w:t>
            </w:r>
          </w:p>
        </w:tc>
        <w:tc>
          <w:tcPr>
            <w:tcW w:w="380" w:type="dxa"/>
            <w:vAlign w:val="bottom"/>
            <w:tcBorders>
              <w:top w:val="single" w:sz="8" w:color="EAF9E8"/>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top w:val="single" w:sz="8" w:color="EAF9E8"/>
            </w:tcBorders>
          </w:tcPr>
          <w:p>
            <w:pPr>
              <w:spacing w:after="0"/>
              <w:rPr>
                <w:sz w:val="18"/>
                <w:szCs w:val="18"/>
                <w:color w:val="auto"/>
              </w:rPr>
            </w:pPr>
          </w:p>
        </w:tc>
      </w:tr>
      <w:tr>
        <w:trPr>
          <w:trHeight w:val="21"/>
        </w:trPr>
        <w:tc>
          <w:tcPr>
            <w:tcW w:w="6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income from operations of $4.7 million for the third quarter of fiscal 2011 increased $3.1 million, or 188%, compared to the third quarter of fiscal 2010.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a percentage of revenues, our income from operations was approximately 6% and 3% in the third quarter of fiscal 2011 and fiscal 2010, respectively.</w:t>
      </w:r>
    </w:p>
    <w:p>
      <w:pPr>
        <w:spacing w:after="0" w:line="2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selling, general and administrative (“SG&amp;A”) expenses for the third quarter of fiscal 2011 increased approximately $1.9 million, or 13%, over the third quarter of fiscal 2010. As a percentage of revenues, SG&amp;A expenses for the third quarter of fiscal 2011 decreased to 20% from 22% in the third quarter of fiscal 2010. The increase in expense was primarily due to the cost of additional salary and other infrastructure costs to support our growth in revenues, including the addition of new locations and personnel in connection with our acquisitions. Our recent acquisitions accounted for approximately $0.7 million of the total increase in SG&amp;A expenses. Overall, our SG&amp;A expenses included higher compensation and benefit expenses of $1.9 million over the same period in the prior year attributed to normal salary increases, as well as our investment in additional management and corporate staff to support our growth (including support of the development of new and existing centers of excellence). Other increases in SG&amp;A expenses included professional service and consulting costs of $0.3 million. These increases were offset by a decrease in our provision for bad debts of approximately $0.4 million. Depreciation and amortization included in the determination of income from operations for the third quarter of fiscal 2011 and fiscal 2010 was $1.4 million and $1.3 million, respectively, each being 2% of revenues.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$0.6 million and $0.7 million for the third quarter of fiscal 2011 and fiscal 2010, respectively. The decrease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 the third quarter of fiscal 2011 related to the maturity of our interest rate swap agreement in November 2010. As a result, there was no interest expense associated with this agreement in the third quarter of fiscal 2011.</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loss (income) attributable to noncontrolling interests, net of taxes. </w:t>
      </w:r>
      <w:r>
        <w:rPr>
          <w:rFonts w:ascii="Arial" w:cs="Arial" w:eastAsia="Arial" w:hAnsi="Arial"/>
          <w:sz w:val="18"/>
          <w:szCs w:val="18"/>
          <w:color w:val="auto"/>
        </w:rPr>
        <w:t>The net loss (income) attributable to noncontrolling interests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February 28, 2011 related primarily to a decrease in net income from Diapac, our subsidiary in Russia, and the year to date net loss incurred by IPS, our recently acquired subsidiary in France, offset by an increase in net income of our Brazilian subsidiary, PASA.</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effective income tax rate was approximately 41% for the third quarter of fiscal 2011 compared to approximately 14% for the third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2010. The increase was primarily due to the impact of permanent tax differences and an adjustment to our liabilities related to uncertain tax provisions.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income attributable to Mistras Group, Inc. and common shareholders. </w:t>
      </w:r>
      <w:r>
        <w:rPr>
          <w:rFonts w:ascii="Arial" w:cs="Arial" w:eastAsia="Arial" w:hAnsi="Arial"/>
          <w:sz w:val="18"/>
          <w:szCs w:val="18"/>
          <w:color w:val="auto"/>
        </w:rPr>
        <w:t>Net income attributable to Mistras Group, Inc. and common shareholders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fiscal 2011 was $2.4 million, or 3% of our revenues, an increase of $1.7 million over the third quarter of fiscal 2010, which was $0.8 million, or 1% of revenues. This increase in net income was primarily the result of our revenue growth and lower interest expense, partially offset by increases in our SG&amp;A expenses and our provision for income taxes.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702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7"/>
              </w:rPr>
              <w:t>Nine months ended February 28, 2011 compared to the nine months ended February 28, 2010</w:t>
            </w: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540" w:type="dxa"/>
            <w:vAlign w:val="bottom"/>
            <w:gridSpan w:val="5"/>
          </w:tcPr>
          <w:p>
            <w:pPr>
              <w:spacing w:after="0"/>
              <w:rPr>
                <w:sz w:val="20"/>
                <w:szCs w:val="20"/>
                <w:color w:val="auto"/>
              </w:rPr>
            </w:pPr>
            <w:r>
              <w:rPr>
                <w:rFonts w:ascii="Arial" w:cs="Arial" w:eastAsia="Arial" w:hAnsi="Arial"/>
                <w:sz w:val="18"/>
                <w:szCs w:val="18"/>
                <w:color w:val="auto"/>
                <w:w w:val="96"/>
              </w:rPr>
              <w:t>Our consolidated results of operations for the nine months ended February 28, 2011 and 2010 were as follows:</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w w:val="91"/>
              </w:rPr>
              <w:t>Nine months ended February 28,</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8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72"/>
              </w:rPr>
              <w:t>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Statement of Operations Data</w:t>
            </w:r>
          </w:p>
        </w:tc>
        <w:tc>
          <w:tcPr>
            <w:tcW w:w="5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Revenues</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236,460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192,344</w:t>
            </w: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Cost of revenues</w:t>
            </w:r>
          </w:p>
        </w:tc>
        <w:tc>
          <w:tcPr>
            <w:tcW w:w="52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155,558</w:t>
            </w:r>
          </w:p>
        </w:tc>
        <w:tc>
          <w:tcPr>
            <w:tcW w:w="5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126,700</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Depreciation</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9,719</w:t>
            </w:r>
          </w:p>
        </w:tc>
        <w:tc>
          <w:tcPr>
            <w:tcW w:w="3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52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71,183</w:t>
            </w:r>
          </w:p>
        </w:tc>
        <w:tc>
          <w:tcPr>
            <w:tcW w:w="5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57,793</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tcPr>
          <w:p>
            <w:pPr>
              <w:spacing w:after="0"/>
              <w:rPr>
                <w:sz w:val="18"/>
                <w:szCs w:val="18"/>
                <w:color w:val="auto"/>
              </w:rPr>
            </w:pP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47,099</w:t>
            </w:r>
          </w:p>
        </w:tc>
        <w:tc>
          <w:tcPr>
            <w:tcW w:w="5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40,929</w:t>
            </w: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Research and engineering</w:t>
            </w:r>
          </w:p>
        </w:tc>
        <w:tc>
          <w:tcPr>
            <w:tcW w:w="52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1,638</w:t>
            </w:r>
          </w:p>
        </w:tc>
        <w:tc>
          <w:tcPr>
            <w:tcW w:w="5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1,518</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3,889</w:t>
            </w:r>
          </w:p>
        </w:tc>
        <w:tc>
          <w:tcPr>
            <w:tcW w:w="5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3,558</w:t>
            </w:r>
          </w:p>
        </w:tc>
      </w:tr>
      <w:tr>
        <w:trPr>
          <w:trHeight w:val="223"/>
        </w:trPr>
        <w:tc>
          <w:tcPr>
            <w:tcW w:w="20" w:type="dxa"/>
            <w:vAlign w:val="bottom"/>
          </w:tcPr>
          <w:p>
            <w:pPr>
              <w:spacing w:after="0"/>
              <w:rPr>
                <w:sz w:val="19"/>
                <w:szCs w:val="19"/>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Legal reserve</w:t>
            </w:r>
          </w:p>
        </w:tc>
        <w:tc>
          <w:tcPr>
            <w:tcW w:w="520" w:type="dxa"/>
            <w:vAlign w:val="bottom"/>
            <w:shd w:val="clear" w:color="auto" w:fill="EAF9E8"/>
          </w:tcPr>
          <w:p>
            <w:pPr>
              <w:spacing w:after="0"/>
              <w:rPr>
                <w:sz w:val="19"/>
                <w:szCs w:val="19"/>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351</w:t>
            </w:r>
          </w:p>
        </w:tc>
        <w:tc>
          <w:tcPr>
            <w:tcW w:w="380" w:type="dxa"/>
            <w:vAlign w:val="bottom"/>
            <w:shd w:val="clear" w:color="auto" w:fill="EAF9E8"/>
          </w:tcPr>
          <w:p>
            <w:pPr>
              <w:spacing w:after="0"/>
              <w:rPr>
                <w:sz w:val="19"/>
                <w:szCs w:val="19"/>
                <w:color w:val="auto"/>
              </w:rPr>
            </w:pPr>
          </w:p>
        </w:tc>
        <w:tc>
          <w:tcPr>
            <w:tcW w:w="50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(297)</w:t>
            </w:r>
          </w:p>
        </w:tc>
      </w:tr>
      <w:tr>
        <w:trPr>
          <w:trHeight w:val="216"/>
        </w:trPr>
        <w:tc>
          <w:tcPr>
            <w:tcW w:w="20" w:type="dxa"/>
            <w:vAlign w:val="bottom"/>
          </w:tcPr>
          <w:p>
            <w:pPr>
              <w:spacing w:after="0"/>
              <w:rPr>
                <w:sz w:val="18"/>
                <w:szCs w:val="18"/>
                <w:color w:val="auto"/>
              </w:rPr>
            </w:pPr>
          </w:p>
        </w:tc>
        <w:tc>
          <w:tcPr>
            <w:tcW w:w="6480" w:type="dxa"/>
            <w:vAlign w:val="bottom"/>
            <w:tcBorders>
              <w:top w:val="single" w:sz="8" w:color="EAF9E8"/>
            </w:tcBorders>
          </w:tcPr>
          <w:p>
            <w:pPr>
              <w:ind w:left="160"/>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18,206</w:t>
            </w:r>
          </w:p>
        </w:tc>
        <w:tc>
          <w:tcPr>
            <w:tcW w:w="380" w:type="dxa"/>
            <w:vAlign w:val="bottom"/>
            <w:tcBorders>
              <w:top w:val="single" w:sz="8" w:color="EAF9E8"/>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tcBorders>
              <w:top w:val="single" w:sz="8" w:color="EAF9E8"/>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1,957</w:t>
            </w:r>
          </w:p>
        </w:tc>
        <w:tc>
          <w:tcPr>
            <w:tcW w:w="5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2,825</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Loss on extinguishment of long-term debt</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before provision for income taxes and noncontrolling interest</w:t>
            </w:r>
          </w:p>
        </w:tc>
        <w:tc>
          <w:tcPr>
            <w:tcW w:w="52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16,249</w:t>
            </w:r>
          </w:p>
        </w:tc>
        <w:tc>
          <w:tcPr>
            <w:tcW w:w="5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8,873</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w:t>
            </w:r>
          </w:p>
        </w:tc>
        <w:tc>
          <w:tcPr>
            <w:tcW w:w="3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9,687</w:t>
            </w:r>
          </w:p>
        </w:tc>
        <w:tc>
          <w:tcPr>
            <w:tcW w:w="5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5,181</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 net of taxes</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5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9,713</w:t>
            </w:r>
          </w:p>
        </w:tc>
        <w:tc>
          <w:tcPr>
            <w:tcW w:w="380" w:type="dxa"/>
            <w:vAlign w:val="bottom"/>
            <w:shd w:val="clear" w:color="auto" w:fill="EAF9E8"/>
          </w:tcPr>
          <w:p>
            <w:pPr>
              <w:spacing w:after="0"/>
              <w:rPr>
                <w:sz w:val="18"/>
                <w:szCs w:val="18"/>
                <w:color w:val="auto"/>
              </w:rPr>
            </w:pPr>
          </w:p>
        </w:tc>
        <w:tc>
          <w:tcPr>
            <w:tcW w:w="50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5,151</w:t>
            </w:r>
          </w:p>
        </w:tc>
        <w:tc>
          <w:tcPr>
            <w:tcW w:w="100" w:type="dxa"/>
            <w:vAlign w:val="bottom"/>
            <w:shd w:val="clear" w:color="auto" w:fill="EAF9E8"/>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Accretion of preferred stock</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4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Net income attributable to common shareholders</w:t>
            </w:r>
          </w:p>
        </w:tc>
        <w:tc>
          <w:tcPr>
            <w:tcW w:w="520" w:type="dxa"/>
            <w:vAlign w:val="bottom"/>
            <w:tcBorders>
              <w:bottom w:val="single" w:sz="8" w:color="auto"/>
            </w:tcBorders>
            <w:shd w:val="clear" w:color="auto" w:fill="EAF9E8"/>
          </w:tcPr>
          <w:p>
            <w:pPr>
              <w:jc w:val="right"/>
              <w:ind w:right="3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9,713</w:t>
            </w:r>
          </w:p>
        </w:tc>
        <w:tc>
          <w:tcPr>
            <w:tcW w:w="38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11,650</w:t>
            </w:r>
          </w:p>
        </w:tc>
        <w:tc>
          <w:tcPr>
            <w:tcW w:w="100" w:type="dxa"/>
            <w:vAlign w:val="bottom"/>
            <w:tcBorders>
              <w:bottom w:val="single" w:sz="8" w:color="EAF9E8"/>
            </w:tcBorders>
            <w:shd w:val="clear" w:color="auto" w:fill="EAF9E8"/>
          </w:tcPr>
          <w:p>
            <w:pPr>
              <w:spacing w:after="0"/>
              <w:rPr>
                <w:sz w:val="22"/>
                <w:szCs w:val="22"/>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EBITDA and Adjusted EBITDA, non-GAAP measures explained above, for the nine months ended February 28, 2011 and 2010, respectively,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 February 28,</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48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w w:val="72"/>
              </w:rPr>
              <w:t>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EBITDA and Adjusted EBITDA data</w:t>
            </w: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1080" w:type="dxa"/>
            <w:vAlign w:val="bottom"/>
          </w:tcPr>
          <w:p>
            <w:pPr>
              <w:jc w:val="right"/>
              <w:ind w:right="919"/>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90"/>
              <w:spacing w:after="0"/>
              <w:rPr>
                <w:sz w:val="20"/>
                <w:szCs w:val="20"/>
                <w:color w:val="auto"/>
              </w:rPr>
            </w:pPr>
            <w:r>
              <w:rPr>
                <w:rFonts w:ascii="Arial" w:cs="Arial" w:eastAsia="Arial" w:hAnsi="Arial"/>
                <w:sz w:val="18"/>
                <w:szCs w:val="18"/>
                <w:color w:val="auto"/>
              </w:rPr>
              <w:t>9,713</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5,151</w:t>
            </w: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10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1,957</w:t>
            </w:r>
          </w:p>
        </w:tc>
        <w:tc>
          <w:tcPr>
            <w:tcW w:w="1100" w:type="dxa"/>
            <w:vAlign w:val="bottom"/>
            <w:shd w:val="clear" w:color="auto" w:fill="EAF9E8"/>
          </w:tcPr>
          <w:p>
            <w:pPr>
              <w:spacing w:after="0"/>
              <w:rPr>
                <w:sz w:val="18"/>
                <w:szCs w:val="18"/>
                <w:color w:val="auto"/>
              </w:rPr>
            </w:pPr>
          </w:p>
        </w:tc>
        <w:tc>
          <w:tcPr>
            <w:tcW w:w="6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2,825</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tcPr>
          <w:p>
            <w:pPr>
              <w:spacing w:after="0"/>
              <w:rPr>
                <w:sz w:val="18"/>
                <w:szCs w:val="18"/>
                <w:color w:val="auto"/>
              </w:rPr>
            </w:pPr>
          </w:p>
        </w:tc>
        <w:tc>
          <w:tcPr>
            <w:tcW w:w="960" w:type="dxa"/>
            <w:vAlign w:val="bottom"/>
            <w:gridSpan w:val="2"/>
          </w:tcPr>
          <w:p>
            <w:pPr>
              <w:jc w:val="right"/>
              <w:ind w:right="290"/>
              <w:spacing w:after="0"/>
              <w:rPr>
                <w:sz w:val="20"/>
                <w:szCs w:val="20"/>
                <w:color w:val="auto"/>
              </w:rPr>
            </w:pPr>
            <w:r>
              <w:rPr>
                <w:rFonts w:ascii="Arial" w:cs="Arial" w:eastAsia="Arial" w:hAnsi="Arial"/>
                <w:sz w:val="18"/>
                <w:szCs w:val="18"/>
                <w:color w:val="auto"/>
              </w:rPr>
              <w:t>6,562</w:t>
            </w:r>
          </w:p>
        </w:tc>
        <w:tc>
          <w:tcPr>
            <w:tcW w:w="1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3,692</w:t>
            </w:r>
          </w:p>
        </w:tc>
      </w:tr>
      <w:tr>
        <w:trPr>
          <w:trHeight w:val="223"/>
        </w:trPr>
        <w:tc>
          <w:tcPr>
            <w:tcW w:w="20" w:type="dxa"/>
            <w:vAlign w:val="bottom"/>
          </w:tcPr>
          <w:p>
            <w:pPr>
              <w:spacing w:after="0"/>
              <w:rPr>
                <w:sz w:val="19"/>
                <w:szCs w:val="19"/>
                <w:color w:val="auto"/>
              </w:rPr>
            </w:pPr>
          </w:p>
        </w:tc>
        <w:tc>
          <w:tcPr>
            <w:tcW w:w="64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tcBorders>
              <w:bottom w:val="single" w:sz="8" w:color="auto"/>
            </w:tcBorders>
            <w:shd w:val="clear" w:color="auto" w:fill="EAF9E8"/>
          </w:tcPr>
          <w:p>
            <w:pPr>
              <w:spacing w:after="0"/>
              <w:rPr>
                <w:sz w:val="19"/>
                <w:szCs w:val="19"/>
                <w:color w:val="auto"/>
              </w:rPr>
            </w:pPr>
          </w:p>
        </w:tc>
        <w:tc>
          <w:tcPr>
            <w:tcW w:w="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13,608</w:t>
            </w:r>
          </w:p>
        </w:tc>
        <w:tc>
          <w:tcPr>
            <w:tcW w:w="38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auto"/>
            </w:tcBorders>
            <w:shd w:val="clear" w:color="auto" w:fill="EAF9E8"/>
          </w:tcPr>
          <w:p>
            <w:pPr>
              <w:spacing w:after="0"/>
              <w:rPr>
                <w:sz w:val="19"/>
                <w:szCs w:val="19"/>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4"/>
              </w:rPr>
              <w:t>11,409</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EBITDA</w:t>
            </w:r>
          </w:p>
        </w:tc>
        <w:tc>
          <w:tcPr>
            <w:tcW w:w="1080" w:type="dxa"/>
            <w:vAlign w:val="bottom"/>
          </w:tcPr>
          <w:p>
            <w:pPr>
              <w:jc w:val="right"/>
              <w:ind w:right="919"/>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90"/>
              <w:spacing w:after="0"/>
              <w:rPr>
                <w:sz w:val="20"/>
                <w:szCs w:val="20"/>
                <w:color w:val="auto"/>
              </w:rPr>
            </w:pPr>
            <w:r>
              <w:rPr>
                <w:rFonts w:ascii="Arial" w:cs="Arial" w:eastAsia="Arial" w:hAnsi="Arial"/>
                <w:sz w:val="18"/>
                <w:szCs w:val="18"/>
                <w:color w:val="auto"/>
              </w:rPr>
              <w:t>31,840</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23,077</w:t>
            </w: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Legal reserve</w:t>
            </w:r>
          </w:p>
        </w:tc>
        <w:tc>
          <w:tcPr>
            <w:tcW w:w="10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351</w:t>
            </w:r>
          </w:p>
        </w:tc>
        <w:tc>
          <w:tcPr>
            <w:tcW w:w="1100" w:type="dxa"/>
            <w:vAlign w:val="bottom"/>
            <w:shd w:val="clear" w:color="auto" w:fill="EAF9E8"/>
          </w:tcPr>
          <w:p>
            <w:pPr>
              <w:spacing w:after="0"/>
              <w:rPr>
                <w:sz w:val="18"/>
                <w:szCs w:val="18"/>
                <w:color w:val="auto"/>
              </w:rPr>
            </w:pPr>
          </w:p>
        </w:tc>
        <w:tc>
          <w:tcPr>
            <w:tcW w:w="6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(297)</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Large customer bankruptcy</w:t>
            </w:r>
          </w:p>
        </w:tc>
        <w:tc>
          <w:tcPr>
            <w:tcW w:w="1080" w:type="dxa"/>
            <w:vAlign w:val="bottom"/>
          </w:tcPr>
          <w:p>
            <w:pPr>
              <w:spacing w:after="0"/>
              <w:rPr>
                <w:sz w:val="18"/>
                <w:szCs w:val="18"/>
                <w:color w:val="auto"/>
              </w:rPr>
            </w:pPr>
          </w:p>
        </w:tc>
        <w:tc>
          <w:tcPr>
            <w:tcW w:w="9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Stock compensation expense</w:t>
            </w:r>
          </w:p>
        </w:tc>
        <w:tc>
          <w:tcPr>
            <w:tcW w:w="10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2,680</w:t>
            </w:r>
          </w:p>
        </w:tc>
        <w:tc>
          <w:tcPr>
            <w:tcW w:w="1100" w:type="dxa"/>
            <w:vAlign w:val="bottom"/>
            <w:shd w:val="clear" w:color="auto" w:fill="EAF9E8"/>
          </w:tcPr>
          <w:p>
            <w:pPr>
              <w:spacing w:after="0"/>
              <w:rPr>
                <w:sz w:val="18"/>
                <w:szCs w:val="18"/>
                <w:color w:val="auto"/>
              </w:rPr>
            </w:pPr>
          </w:p>
        </w:tc>
        <w:tc>
          <w:tcPr>
            <w:tcW w:w="6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1,860</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4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Adjusted EBITDA</w:t>
            </w:r>
          </w:p>
        </w:tc>
        <w:tc>
          <w:tcPr>
            <w:tcW w:w="1080" w:type="dxa"/>
            <w:vAlign w:val="bottom"/>
            <w:tcBorders>
              <w:bottom w:val="single" w:sz="8" w:color="auto"/>
            </w:tcBorders>
            <w:shd w:val="clear" w:color="auto" w:fill="EAF9E8"/>
          </w:tcPr>
          <w:p>
            <w:pPr>
              <w:jc w:val="right"/>
              <w:ind w:right="919"/>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34,871</w:t>
            </w:r>
          </w:p>
        </w:tc>
        <w:tc>
          <w:tcPr>
            <w:tcW w:w="38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auto"/>
            </w:tcBorders>
            <w:shd w:val="clear" w:color="auto" w:fill="EAF9E8"/>
          </w:tcPr>
          <w:p>
            <w:pPr>
              <w:jc w:val="right"/>
              <w:ind w:right="9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4"/>
              </w:rPr>
              <w:t>25,794</w:t>
            </w:r>
          </w:p>
        </w:tc>
        <w:tc>
          <w:tcPr>
            <w:tcW w:w="100" w:type="dxa"/>
            <w:vAlign w:val="bottom"/>
            <w:tcBorders>
              <w:bottom w:val="single" w:sz="8" w:color="EAF9E8"/>
            </w:tcBorders>
            <w:shd w:val="clear" w:color="auto" w:fill="EAF9E8"/>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explanation and definition of EBITDA and Adjusted EBITDA above on page 22.</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7" w:name="page28"/>
    <w:bookmarkEnd w:id="27"/>
    <w:p>
      <w:pPr>
        <w:spacing w:after="0" w:line="258"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were $236.5 million for the nine months ended February 28, 2011 compared to $192.3 million for the nine months ended February 28,</w:t>
      </w:r>
      <w:r>
        <w:rPr>
          <w:rFonts w:ascii="Arial" w:cs="Arial" w:eastAsia="Arial" w:hAnsi="Arial"/>
          <w:sz w:val="18"/>
          <w:szCs w:val="18"/>
          <w:i w:val="1"/>
          <w:iCs w:val="1"/>
          <w:color w:val="auto"/>
        </w:rPr>
        <w:t xml:space="preserve"> </w:t>
      </w:r>
      <w:r>
        <w:rPr>
          <w:rFonts w:ascii="Arial" w:cs="Arial" w:eastAsia="Arial" w:hAnsi="Arial"/>
          <w:sz w:val="18"/>
          <w:szCs w:val="18"/>
          <w:color w:val="auto"/>
        </w:rPr>
        <w:t>2010. Revenues by segment for the nine months ended February 28, 2011 and 2010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37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Nine months ended February 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6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104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040" w:type="dxa"/>
            <w:vAlign w:val="bottom"/>
          </w:tcPr>
          <w:p>
            <w:pPr>
              <w:jc w:val="right"/>
              <w:ind w:right="87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198,098</w:t>
            </w:r>
          </w:p>
        </w:tc>
        <w:tc>
          <w:tcPr>
            <w:tcW w:w="3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104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15,974</w:t>
            </w:r>
          </w:p>
        </w:tc>
        <w:tc>
          <w:tcPr>
            <w:tcW w:w="3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27,062</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23,322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104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(4,674)</w:t>
            </w:r>
          </w:p>
        </w:tc>
        <w:tc>
          <w:tcPr>
            <w:tcW w:w="36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top w:val="single" w:sz="8" w:color="EAF9E8"/>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236,460</w:t>
            </w:r>
          </w:p>
        </w:tc>
        <w:tc>
          <w:tcPr>
            <w:tcW w:w="380" w:type="dxa"/>
            <w:vAlign w:val="bottom"/>
            <w:tcBorders>
              <w:top w:val="single" w:sz="8" w:color="EAF9E8"/>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192,344</w:t>
            </w: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estimate our growth rates for the nine months ended February 28, 2011 and 2010, respectively,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2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 February 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2011</w:t>
            </w:r>
          </w:p>
        </w:tc>
        <w:tc>
          <w:tcPr>
            <w:tcW w:w="52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ind w:left="980"/>
              <w:spacing w:after="0"/>
              <w:rPr>
                <w:sz w:val="20"/>
                <w:szCs w:val="20"/>
                <w:color w:val="auto"/>
              </w:rPr>
            </w:pPr>
            <w:r>
              <w:rPr>
                <w:rFonts w:ascii="Arial" w:cs="Arial" w:eastAsia="Arial" w:hAnsi="Arial"/>
                <w:sz w:val="18"/>
                <w:szCs w:val="18"/>
                <w:b w:val="1"/>
                <w:bCs w:val="1"/>
                <w:color w:val="auto"/>
              </w:rPr>
              <w:t>(in</w:t>
            </w:r>
          </w:p>
        </w:tc>
        <w:tc>
          <w:tcPr>
            <w:tcW w:w="98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w w:val="82"/>
              </w:rPr>
              <w:t>thousands)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AF9E8"/>
          </w:tcPr>
          <w:p>
            <w:pPr>
              <w:spacing w:after="0"/>
              <w:rPr>
                <w:sz w:val="20"/>
                <w:szCs w:val="20"/>
                <w:color w:val="auto"/>
              </w:rPr>
            </w:pPr>
            <w:r>
              <w:rPr>
                <w:rFonts w:ascii="Arial" w:cs="Arial" w:eastAsia="Arial" w:hAnsi="Arial"/>
                <w:sz w:val="18"/>
                <w:szCs w:val="18"/>
                <w:color w:val="auto"/>
              </w:rPr>
              <w:t>Revenue growth</w:t>
            </w:r>
          </w:p>
        </w:tc>
        <w:tc>
          <w:tcPr>
            <w:tcW w:w="340" w:type="dxa"/>
            <w:vAlign w:val="bottom"/>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EAF9E8"/>
          </w:tcPr>
          <w:p>
            <w:pPr>
              <w:jc w:val="right"/>
              <w:ind w:right="430"/>
              <w:spacing w:after="0"/>
              <w:rPr>
                <w:sz w:val="20"/>
                <w:szCs w:val="20"/>
                <w:color w:val="auto"/>
              </w:rPr>
            </w:pPr>
            <w:r>
              <w:rPr>
                <w:rFonts w:ascii="Arial" w:cs="Arial" w:eastAsia="Arial" w:hAnsi="Arial"/>
                <w:sz w:val="18"/>
                <w:szCs w:val="18"/>
                <w:color w:val="auto"/>
              </w:rPr>
              <w:t>44,116</w:t>
            </w:r>
          </w:p>
        </w:tc>
        <w:tc>
          <w:tcPr>
            <w:tcW w:w="460" w:type="dxa"/>
            <w:vAlign w:val="bottom"/>
            <w:shd w:val="clear" w:color="auto" w:fill="EAF9E8"/>
          </w:tcPr>
          <w:p>
            <w:pPr>
              <w:jc w:val="right"/>
              <w:ind w:right="3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39,061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340" w:type="dxa"/>
            <w:vAlign w:val="bottom"/>
          </w:tcPr>
          <w:p>
            <w:pPr>
              <w:spacing w:after="0"/>
              <w:rPr>
                <w:sz w:val="18"/>
                <w:szCs w:val="18"/>
                <w:color w:val="auto"/>
              </w:rPr>
            </w:pPr>
          </w:p>
        </w:tc>
        <w:tc>
          <w:tcPr>
            <w:tcW w:w="1780" w:type="dxa"/>
            <w:vAlign w:val="bottom"/>
            <w:gridSpan w:val="2"/>
          </w:tcPr>
          <w:p>
            <w:pPr>
              <w:jc w:val="right"/>
              <w:ind w:right="270"/>
              <w:spacing w:after="0"/>
              <w:rPr>
                <w:sz w:val="20"/>
                <w:szCs w:val="20"/>
                <w:color w:val="auto"/>
              </w:rPr>
            </w:pPr>
            <w:r>
              <w:rPr>
                <w:rFonts w:ascii="Arial" w:cs="Arial" w:eastAsia="Arial" w:hAnsi="Arial"/>
                <w:sz w:val="18"/>
                <w:szCs w:val="18"/>
                <w:color w:val="auto"/>
              </w:rPr>
              <w:t>22.9%</w:t>
            </w:r>
          </w:p>
        </w:tc>
        <w:tc>
          <w:tcPr>
            <w:tcW w:w="4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Comprised of:</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AF9E8"/>
          </w:tcPr>
          <w:p>
            <w:pPr>
              <w:spacing w:after="0"/>
              <w:rPr>
                <w:sz w:val="20"/>
                <w:szCs w:val="20"/>
                <w:color w:val="auto"/>
              </w:rPr>
            </w:pPr>
            <w:r>
              <w:rPr>
                <w:rFonts w:ascii="Arial" w:cs="Arial" w:eastAsia="Arial" w:hAnsi="Arial"/>
                <w:sz w:val="18"/>
                <w:szCs w:val="18"/>
                <w:color w:val="auto"/>
              </w:rPr>
              <w:t>% of organic growth</w:t>
            </w:r>
          </w:p>
        </w:tc>
        <w:tc>
          <w:tcPr>
            <w:tcW w:w="3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270"/>
              <w:spacing w:after="0"/>
              <w:rPr>
                <w:sz w:val="20"/>
                <w:szCs w:val="20"/>
                <w:color w:val="auto"/>
              </w:rPr>
            </w:pPr>
            <w:r>
              <w:rPr>
                <w:rFonts w:ascii="Arial" w:cs="Arial" w:eastAsia="Arial" w:hAnsi="Arial"/>
                <w:sz w:val="18"/>
                <w:szCs w:val="18"/>
                <w:color w:val="auto"/>
              </w:rPr>
              <w:t>16.2%</w:t>
            </w:r>
          </w:p>
        </w:tc>
        <w:tc>
          <w:tcPr>
            <w:tcW w:w="46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 of acquisition growth</w:t>
            </w:r>
          </w:p>
        </w:tc>
        <w:tc>
          <w:tcPr>
            <w:tcW w:w="340" w:type="dxa"/>
            <w:vAlign w:val="bottom"/>
          </w:tcPr>
          <w:p>
            <w:pPr>
              <w:spacing w:after="0"/>
              <w:rPr>
                <w:sz w:val="18"/>
                <w:szCs w:val="18"/>
                <w:color w:val="auto"/>
              </w:rPr>
            </w:pPr>
          </w:p>
        </w:tc>
        <w:tc>
          <w:tcPr>
            <w:tcW w:w="1780" w:type="dxa"/>
            <w:vAlign w:val="bottom"/>
            <w:gridSpan w:val="2"/>
          </w:tcPr>
          <w:p>
            <w:pPr>
              <w:jc w:val="right"/>
              <w:ind w:right="270"/>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AF9E8"/>
          </w:tcPr>
          <w:p>
            <w:pPr>
              <w:spacing w:after="0"/>
              <w:rPr>
                <w:sz w:val="20"/>
                <w:szCs w:val="20"/>
                <w:color w:val="auto"/>
              </w:rPr>
            </w:pPr>
            <w:r>
              <w:rPr>
                <w:rFonts w:ascii="Arial" w:cs="Arial" w:eastAsia="Arial" w:hAnsi="Arial"/>
                <w:sz w:val="18"/>
                <w:szCs w:val="18"/>
                <w:color w:val="auto"/>
              </w:rPr>
              <w:t>% foreign exchange decrease</w:t>
            </w:r>
          </w:p>
        </w:tc>
        <w:tc>
          <w:tcPr>
            <w:tcW w:w="34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520" w:type="dxa"/>
            <w:vAlign w:val="bottom"/>
            <w:shd w:val="clear" w:color="auto" w:fill="EAF9E8"/>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70"/>
              <w:spacing w:after="0"/>
              <w:rPr>
                <w:sz w:val="20"/>
                <w:szCs w:val="20"/>
                <w:color w:val="auto"/>
              </w:rPr>
            </w:pPr>
            <w:r>
              <w:rPr>
                <w:rFonts w:ascii="Arial" w:cs="Arial" w:eastAsia="Arial" w:hAnsi="Arial"/>
                <w:sz w:val="18"/>
                <w:szCs w:val="18"/>
                <w:color w:val="auto"/>
              </w:rPr>
              <w:t>22.9%</w:t>
            </w:r>
          </w:p>
        </w:tc>
        <w:tc>
          <w:tcPr>
            <w:tcW w:w="4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Revenues increased $44.1 million, or approximately 23%, for the nine months ended February 28, 2011 compared to the nine months ended February 28, 2010 as a result of growth in all our segments. For the nine months ended February 28, 2011 and 2010, our organic growth rate, as compared to growth driven by acquisitions, was approximately 16% and 14%, respectively. This organic growth was driven by an increase in demand for inspection services coupled with an increase in seasonal turn-around maintenance activity from our “run and maintain” or “evergreen” contracts at oil refineries. For the nine months ended February 28, 2011, our acquisition growth was approximately 7% compared to approximately 12% in the nine months ended February 28, 2010. We completed four acquisitions in the nine months ended February 28, 2011 and three acquisitions in the nine months ended February 28, 2010, further increasing our capabilities and adding to our base of qualified technicians.</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continued to experience growth in many of our target markets during the first nine months of fiscal 2011. Oil and gas is our largest target market and in the first nine months of fiscal 2011 represented approximately 61% of total revenues compared to 63% in the comparable period of fiscal 2010. Oil and gas revenue in the first nine months of fiscal 2011 increased by approximately 19% over the prior year period, with the largest increases coming from the petrochemical section of the oil and gas industry. We also experienced growth in several of our other target markets outside of oil and gas, including chemical, fossil power, industrial markets, and aerospace and defense markets. Taken as a group, all target markets other than oil and gas grew by approximately 29% in the nine months ended February 28, 2011 over the comparable prior year period. Our largest customer in both periods was BP, accounting for approximately 17% of our revenues for the nine months ended February 28, 2011 and approximately 19% for the nine months ended February 28, 2010. Our top ten customers represented approximately 44% of revenues in the first nine months of fiscal 2011 and fiscal 2010.</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8" w:name="page29"/>
    <w:bookmarkEnd w:id="28"/>
    <w:p>
      <w:pPr>
        <w:jc w:val="both"/>
        <w:spacing w:after="0" w:line="308"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gross profit was $71.2 million and increased $13.4 million, or 23%, during the nine months ended February 28, 2011 compared to $57.8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during the nine months ended February 28, 2010. As a percentage of revenues, our gross profit and its components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 February 28,</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1540" w:type="dxa"/>
            <w:vAlign w:val="bottom"/>
            <w:gridSpan w:val="2"/>
          </w:tcPr>
          <w:p>
            <w:pPr>
              <w:jc w:val="right"/>
              <w:ind w:right="677"/>
              <w:spacing w:after="0"/>
              <w:rPr>
                <w:sz w:val="20"/>
                <w:szCs w:val="20"/>
                <w:color w:val="auto"/>
              </w:rPr>
            </w:pPr>
            <w:r>
              <w:rPr>
                <w:rFonts w:ascii="Arial" w:cs="Arial" w:eastAsia="Arial" w:hAnsi="Arial"/>
                <w:sz w:val="18"/>
                <w:szCs w:val="18"/>
                <w:b w:val="1"/>
                <w:bCs w:val="1"/>
                <w:color w:val="auto"/>
                <w:w w:val="78"/>
              </w:rPr>
              <w:t>thousands)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AF9E8"/>
          </w:tcPr>
          <w:p>
            <w:pPr>
              <w:spacing w:after="0"/>
              <w:rPr>
                <w:sz w:val="20"/>
                <w:szCs w:val="20"/>
                <w:color w:val="auto"/>
              </w:rPr>
            </w:pPr>
            <w:r>
              <w:rPr>
                <w:rFonts w:ascii="Arial" w:cs="Arial" w:eastAsia="Arial" w:hAnsi="Arial"/>
                <w:sz w:val="18"/>
                <w:szCs w:val="18"/>
                <w:color w:val="auto"/>
              </w:rPr>
              <w:t>Gross profit</w:t>
            </w:r>
          </w:p>
        </w:tc>
        <w:tc>
          <w:tcPr>
            <w:tcW w:w="2180" w:type="dxa"/>
            <w:vAlign w:val="bottom"/>
            <w:gridSpan w:val="2"/>
            <w:shd w:val="clear" w:color="auto" w:fill="EAF9E8"/>
          </w:tcPr>
          <w:p>
            <w:pPr>
              <w:jc w:val="right"/>
              <w:ind w:right="8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370"/>
              <w:spacing w:after="0"/>
              <w:rPr>
                <w:sz w:val="20"/>
                <w:szCs w:val="20"/>
                <w:color w:val="auto"/>
              </w:rPr>
            </w:pPr>
            <w:r>
              <w:rPr>
                <w:rFonts w:ascii="Arial" w:cs="Arial" w:eastAsia="Arial" w:hAnsi="Arial"/>
                <w:sz w:val="18"/>
                <w:szCs w:val="18"/>
                <w:color w:val="auto"/>
                <w:w w:val="98"/>
              </w:rPr>
              <w:t>71,183</w:t>
            </w:r>
          </w:p>
        </w:tc>
        <w:tc>
          <w:tcPr>
            <w:tcW w:w="1080" w:type="dxa"/>
            <w:vAlign w:val="bottom"/>
            <w:shd w:val="clear" w:color="auto" w:fill="EAF9E8"/>
          </w:tcPr>
          <w:p>
            <w:pPr>
              <w:jc w:val="right"/>
              <w:ind w:right="91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4"/>
              </w:rPr>
              <w:t>57,793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AF9E8"/>
          </w:tcPr>
          <w:p>
            <w:pPr>
              <w:spacing w:after="0"/>
              <w:rPr>
                <w:sz w:val="20"/>
                <w:szCs w:val="20"/>
                <w:color w:val="auto"/>
              </w:rPr>
            </w:pPr>
            <w:r>
              <w:rPr>
                <w:rFonts w:ascii="Arial" w:cs="Arial" w:eastAsia="Arial" w:hAnsi="Arial"/>
                <w:sz w:val="18"/>
                <w:szCs w:val="18"/>
                <w:color w:val="auto"/>
              </w:rPr>
              <w:t>Gross profit % comprised of:</w:t>
            </w:r>
          </w:p>
        </w:tc>
        <w:tc>
          <w:tcPr>
            <w:tcW w:w="1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Revenues</w:t>
            </w: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gridSpan w:val="2"/>
          </w:tcPr>
          <w:p>
            <w:pPr>
              <w:jc w:val="right"/>
              <w:ind w:right="230"/>
              <w:spacing w:after="0"/>
              <w:rPr>
                <w:sz w:val="20"/>
                <w:szCs w:val="20"/>
                <w:color w:val="auto"/>
              </w:rPr>
            </w:pPr>
            <w:r>
              <w:rPr>
                <w:rFonts w:ascii="Arial" w:cs="Arial" w:eastAsia="Arial" w:hAnsi="Arial"/>
                <w:sz w:val="18"/>
                <w:szCs w:val="18"/>
                <w:color w:val="auto"/>
              </w:rPr>
              <w:t>100.0%</w:t>
            </w:r>
          </w:p>
        </w:tc>
        <w:tc>
          <w:tcPr>
            <w:tcW w:w="10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AF9E8"/>
          </w:tcPr>
          <w:p>
            <w:pPr>
              <w:spacing w:after="0"/>
              <w:rPr>
                <w:sz w:val="20"/>
                <w:szCs w:val="20"/>
                <w:color w:val="auto"/>
              </w:rPr>
            </w:pPr>
            <w:r>
              <w:rPr>
                <w:rFonts w:ascii="Arial" w:cs="Arial" w:eastAsia="Arial" w:hAnsi="Arial"/>
                <w:sz w:val="18"/>
                <w:szCs w:val="18"/>
                <w:color w:val="auto"/>
              </w:rPr>
              <w:t>Cost of revenues</w:t>
            </w:r>
          </w:p>
        </w:tc>
        <w:tc>
          <w:tcPr>
            <w:tcW w:w="1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65.8%</w:t>
            </w:r>
          </w:p>
        </w:tc>
        <w:tc>
          <w:tcPr>
            <w:tcW w:w="108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Depreciation</w:t>
            </w: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gridSpan w:val="2"/>
          </w:tcPr>
          <w:p>
            <w:pPr>
              <w:jc w:val="right"/>
              <w:ind w:right="230"/>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30.1%</w:t>
            </w:r>
          </w:p>
        </w:tc>
        <w:tc>
          <w:tcPr>
            <w:tcW w:w="108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shd w:val="clear" w:color="auto" w:fill="EAF9E8"/>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Gross profit % increase (decrease) from prior year period</w:t>
            </w: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gridSpan w:val="2"/>
          </w:tcPr>
          <w:p>
            <w:pPr>
              <w:jc w:val="right"/>
              <w:ind w:right="230"/>
              <w:spacing w:after="0"/>
              <w:rPr>
                <w:sz w:val="20"/>
                <w:szCs w:val="20"/>
                <w:color w:val="auto"/>
              </w:rPr>
            </w:pPr>
            <w:r>
              <w:rPr>
                <w:rFonts w:ascii="Arial" w:cs="Arial" w:eastAsia="Arial" w:hAnsi="Arial"/>
                <w:sz w:val="18"/>
                <w:szCs w:val="18"/>
                <w:color w:val="auto"/>
              </w:rPr>
              <w:t>0.1%</w:t>
            </w:r>
          </w:p>
        </w:tc>
        <w:tc>
          <w:tcPr>
            <w:tcW w:w="10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gross profit by segment for the first nine months of fiscal 2011and 2010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00" w:type="dxa"/>
            <w:vAlign w:val="bottom"/>
          </w:tcPr>
          <w:p>
            <w:pPr>
              <w:spacing w:after="0"/>
              <w:rPr>
                <w:sz w:val="20"/>
                <w:szCs w:val="20"/>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 February 28,</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48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w w:val="72"/>
              </w:rPr>
              <w:t>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53,404</w:t>
            </w:r>
          </w:p>
        </w:tc>
        <w:tc>
          <w:tcPr>
            <w:tcW w:w="380" w:type="dxa"/>
            <w:vAlign w:val="bottom"/>
          </w:tcPr>
          <w:p>
            <w:pPr>
              <w:spacing w:after="0"/>
              <w:rPr>
                <w:sz w:val="18"/>
                <w:szCs w:val="18"/>
                <w:color w:val="auto"/>
              </w:rPr>
            </w:pP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41,831</w:t>
            </w:r>
          </w:p>
        </w:tc>
      </w:tr>
      <w:tr>
        <w:trPr>
          <w:trHeight w:val="216"/>
        </w:trPr>
        <w:tc>
          <w:tcPr>
            <w:tcW w:w="65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Products and Systems</w:t>
            </w: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8,440</w:t>
            </w: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6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7,217</w:t>
            </w: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9,466</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9,212</w:t>
            </w:r>
          </w:p>
        </w:tc>
      </w:tr>
      <w:tr>
        <w:trPr>
          <w:trHeight w:val="223"/>
        </w:trPr>
        <w:tc>
          <w:tcPr>
            <w:tcW w:w="65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Corporate and eliminations</w:t>
            </w:r>
          </w:p>
        </w:tc>
        <w:tc>
          <w:tcPr>
            <w:tcW w:w="108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(127)</w:t>
            </w:r>
          </w:p>
        </w:tc>
        <w:tc>
          <w:tcPr>
            <w:tcW w:w="1100" w:type="dxa"/>
            <w:vAlign w:val="bottom"/>
            <w:shd w:val="clear" w:color="auto" w:fill="EAF9E8"/>
          </w:tcPr>
          <w:p>
            <w:pPr>
              <w:spacing w:after="0"/>
              <w:rPr>
                <w:sz w:val="19"/>
                <w:szCs w:val="19"/>
                <w:color w:val="auto"/>
              </w:rPr>
            </w:pPr>
          </w:p>
        </w:tc>
        <w:tc>
          <w:tcPr>
            <w:tcW w:w="6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(467)</w:t>
            </w:r>
          </w:p>
        </w:tc>
      </w:tr>
      <w:tr>
        <w:trPr>
          <w:trHeight w:val="216"/>
        </w:trPr>
        <w:tc>
          <w:tcPr>
            <w:tcW w:w="6500" w:type="dxa"/>
            <w:vAlign w:val="bottom"/>
            <w:tcBorders>
              <w:top w:val="single" w:sz="8" w:color="EAF9E8"/>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71,183</w:t>
            </w:r>
          </w:p>
        </w:tc>
        <w:tc>
          <w:tcPr>
            <w:tcW w:w="380" w:type="dxa"/>
            <w:vAlign w:val="bottom"/>
            <w:tcBorders>
              <w:top w:val="single" w:sz="8" w:color="EAF9E8"/>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57,793</w:t>
            </w:r>
          </w:p>
        </w:tc>
        <w:tc>
          <w:tcPr>
            <w:tcW w:w="100" w:type="dxa"/>
            <w:vAlign w:val="bottom"/>
            <w:tcBorders>
              <w:top w:val="single" w:sz="8" w:color="EAF9E8"/>
            </w:tcBorders>
          </w:tcPr>
          <w:p>
            <w:pPr>
              <w:spacing w:after="0"/>
              <w:rPr>
                <w:sz w:val="18"/>
                <w:szCs w:val="18"/>
                <w:color w:val="auto"/>
              </w:rPr>
            </w:pPr>
          </w:p>
        </w:tc>
      </w:tr>
      <w:tr>
        <w:trPr>
          <w:trHeight w:val="21"/>
        </w:trPr>
        <w:tc>
          <w:tcPr>
            <w:tcW w:w="6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percentage of revenues, our gross profit was approximately 30% for each of the nine month periods ended February 28, 2011 and 2010. Cost of revenues, excluding depreciation, as a percentage of revenues was approximately 66% in each of the nine months ended February 28, 2011 and 2010. Depreciation expense included in the determination of gross profit was approximately $9.7 million and $7.9 million, for the nine months ended February 28, 2011 and 2010, respectively.</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 our increase in revenues in the first nine months of fiscal 2011, our gross profit as a percentage of revenues increased approximately 10 basis points as compared to the first nine months of fiscal 2010. The slight increase in our gross profit as a percentage of revenues for the third quarter of fiscal 2011 was attributable to our Services segment. A portion of our revenue growth is attributable to sales from new contracts, which drive market share growth but are competitive from a pricing perspective in the short term. While these competitive pricing contracts remain a focus of many of our new and existing Services segment customers, we were able to improve our gross profit as a percentage of revenues by focusing on utilization rates of our service technicians and other controllable costs of revenues. These costs, as a percentage of revenues, decreased to approximately 14% during the nine months ended February 28, 2011 from approximately 16% during the three months ended February 28, 2010. Historically, by introducing more advanced NDT tools to our Services segment customers, margin enhancement follows. The overall increase in gross profit percentage was offset by decreases in the gross profit percentage of our Products and Systems segment and our International segment against the comparable prior year period which were primarily attributable to a lower margin product mix of sales during the period.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by segment for the first nine months of fiscal 2011 and 2010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00" w:type="dxa"/>
            <w:vAlign w:val="bottom"/>
          </w:tcPr>
          <w:p>
            <w:pPr>
              <w:spacing w:after="0"/>
              <w:rPr>
                <w:sz w:val="20"/>
                <w:szCs w:val="20"/>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 February 28,</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48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w w:val="72"/>
              </w:rPr>
              <w:t>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19,591</w:t>
            </w:r>
          </w:p>
        </w:tc>
        <w:tc>
          <w:tcPr>
            <w:tcW w:w="380" w:type="dxa"/>
            <w:vAlign w:val="bottom"/>
          </w:tcPr>
          <w:p>
            <w:pPr>
              <w:spacing w:after="0"/>
              <w:rPr>
                <w:sz w:val="18"/>
                <w:szCs w:val="18"/>
                <w:color w:val="auto"/>
              </w:rPr>
            </w:pP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13,114</w:t>
            </w:r>
          </w:p>
        </w:tc>
      </w:tr>
      <w:tr>
        <w:trPr>
          <w:trHeight w:val="216"/>
        </w:trPr>
        <w:tc>
          <w:tcPr>
            <w:tcW w:w="65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Products and Systems</w:t>
            </w: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2,980</w:t>
            </w:r>
          </w:p>
        </w:tc>
        <w:tc>
          <w:tcPr>
            <w:tcW w:w="3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6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2,021</w:t>
            </w: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2,514</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2,597</w:t>
            </w:r>
          </w:p>
        </w:tc>
      </w:tr>
      <w:tr>
        <w:trPr>
          <w:trHeight w:val="223"/>
        </w:trPr>
        <w:tc>
          <w:tcPr>
            <w:tcW w:w="65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Corporate and eliminations</w:t>
            </w:r>
          </w:p>
        </w:tc>
        <w:tc>
          <w:tcPr>
            <w:tcW w:w="108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(6,879)</w:t>
            </w:r>
          </w:p>
        </w:tc>
        <w:tc>
          <w:tcPr>
            <w:tcW w:w="1100" w:type="dxa"/>
            <w:vAlign w:val="bottom"/>
            <w:shd w:val="clear" w:color="auto" w:fill="EAF9E8"/>
          </w:tcPr>
          <w:p>
            <w:pPr>
              <w:spacing w:after="0"/>
              <w:rPr>
                <w:sz w:val="19"/>
                <w:szCs w:val="19"/>
                <w:color w:val="auto"/>
              </w:rPr>
            </w:pPr>
          </w:p>
        </w:tc>
        <w:tc>
          <w:tcPr>
            <w:tcW w:w="6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(5,647)</w:t>
            </w:r>
          </w:p>
        </w:tc>
      </w:tr>
      <w:tr>
        <w:trPr>
          <w:trHeight w:val="216"/>
        </w:trPr>
        <w:tc>
          <w:tcPr>
            <w:tcW w:w="6500" w:type="dxa"/>
            <w:vAlign w:val="bottom"/>
            <w:tcBorders>
              <w:top w:val="single" w:sz="8" w:color="EAF9E8"/>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18,206</w:t>
            </w:r>
          </w:p>
        </w:tc>
        <w:tc>
          <w:tcPr>
            <w:tcW w:w="380" w:type="dxa"/>
            <w:vAlign w:val="bottom"/>
            <w:tcBorders>
              <w:top w:val="single" w:sz="8" w:color="EAF9E8"/>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12,085</w:t>
            </w:r>
          </w:p>
        </w:tc>
        <w:tc>
          <w:tcPr>
            <w:tcW w:w="100" w:type="dxa"/>
            <w:vAlign w:val="bottom"/>
            <w:tcBorders>
              <w:top w:val="single" w:sz="8" w:color="EAF9E8"/>
            </w:tcBorders>
          </w:tcPr>
          <w:p>
            <w:pPr>
              <w:spacing w:after="0"/>
              <w:rPr>
                <w:sz w:val="18"/>
                <w:szCs w:val="18"/>
                <w:color w:val="auto"/>
              </w:rPr>
            </w:pPr>
          </w:p>
        </w:tc>
      </w:tr>
      <w:tr>
        <w:trPr>
          <w:trHeight w:val="21"/>
        </w:trPr>
        <w:tc>
          <w:tcPr>
            <w:tcW w:w="6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income from operations for the nine months ended February 28, 2011 increased $6.1 million, or 51%, to $18.2 million compared $12.1 million for the nine months ended February 28, 2011. As a percentage of revenues, our income from operations was approximately 8% and 6% for the nine months ended February 28, 2011 and 2010, respectively.</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SG&amp;A expenses for the nine months ended February 28, 2011 increased approximately $6.2 million, or 15%, over the same period in the prior year. As a percentage of revenues, SG&amp;A expenses for the first nine months of fiscal 2011 decreased to approximately 20% from 21% for the first nine months of fiscal 2010. The increase in expense was primarily due to the cost of additional salary and other infrastructure costs to support our growth in revenues, including the addition of new locations and personnel in connection with our acquisitions. Our recent acquisitions accounted for approximately $1.4 million of the total increase in SG&amp;A expenses. Overall, our SG&amp;A expenses included higher compensation and benefit expenses of $5.1 million over the same period in the prior year attributed to normal salary increases, as well as our investment in additional management and corporate staff to support our growth (including support of the development of new and existing centers of excellence). Other increases in SG&amp;A expenses included stock compensation costs of approximately $0.8 million, and professional service and consulting costs of approximately $0.2 million. These increases were offset by a decrease in our provision for bad debts of approximately $1.0 million. Income from operations was also negatively impacted by a legal provision of $0.4 million in the first nine months of fiscal 2011 as compared to a reversal of a legal provision of $0.3 million in the first nine months of fiscal 2010. Depreciation and amortization included in the determination of income from operations for the nine months ended February 28, 2011 and 2010 was $3.9 million and $3.6 million, respectively, each being 2% of revenues.</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The decrease in interest expense for the nine months ended February 28, 2011 was primarily attributable to a decrease in average borrowings</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during the period as compared to the nine months ended February 28, 2010. Just prior to our IPO in October 2009, we had outstanding borrowings under our revolving credit facility of approximately $66.4 million, which was subsequently repaid with the proceeds of the offering.</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loss (income) attributable to noncontrolling interests, net of taxes. </w:t>
      </w:r>
      <w:r>
        <w:rPr>
          <w:rFonts w:ascii="Arial" w:cs="Arial" w:eastAsia="Arial" w:hAnsi="Arial"/>
          <w:sz w:val="18"/>
          <w:szCs w:val="18"/>
          <w:color w:val="auto"/>
        </w:rPr>
        <w:t>The net loss (income) attributable to noncontrolling interests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28, 2011 related primarily to a decrease in net income from Diapac, our subsidiary in Russia, and the year to date net loss incurred by IPS, our recently acquired subsidiary in France, offset by an increase in net income of our Brazilian subsidiary, PASA.</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Our effective income tax rate was approximately 40% for the nine months ended February 28, 2011 compared to approximately 42%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February 28, 2010. The decrease was primarily due to an adjustment to our liabilities related to uncertain tax provisions.</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Net income attributable to Mistras Group, Inc. </w:t>
      </w:r>
      <w:r>
        <w:rPr>
          <w:rFonts w:ascii="Arial" w:cs="Arial" w:eastAsia="Arial" w:hAnsi="Arial"/>
          <w:sz w:val="16"/>
          <w:szCs w:val="16"/>
          <w:color w:val="auto"/>
        </w:rPr>
        <w:t>Net income attributable to Mistras Group, Inc. for the nine months ended February 28, 2011 was $9.7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4% of our revenues, an increase of $4.5 million over our net income attributable to Mistras Group, Inc. for the nine months ended February 28, 2010, which was $5.2 million, or 3% of revenues. This increase in net income was primarily the result of our revenue growth and lower interest expense, partially offset by higher SG&amp;A expenses and research and engineering expenses and increases to our legal provision and provision for income taxes.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i w:val="1"/>
          <w:iCs w:val="1"/>
          <w:color w:val="auto"/>
        </w:rPr>
        <w:t xml:space="preserve">Net income attributable to common shareholders. </w:t>
      </w:r>
      <w:r>
        <w:rPr>
          <w:rFonts w:ascii="Arial" w:cs="Arial" w:eastAsia="Arial" w:hAnsi="Arial"/>
          <w:sz w:val="18"/>
          <w:szCs w:val="18"/>
          <w:color w:val="auto"/>
        </w:rPr>
        <w:t>Net income attributable to common shareholders for the nine months ended February 28, 2011 was $9.7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4% of our revenues, a decrease of $2.0 million when compared to the nine months ended February 28, 2010, which was $11.7 million, or 6% of revenues. This decrease was primarily due to a fair market value adjustment to reduce the preferred stock value to the benefit of common shareholders. All of the preferred shares outstanding as of our IPO in October 2009 converted to common stock.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2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Cash Flows Table</w:t>
            </w:r>
          </w:p>
        </w:tc>
        <w:tc>
          <w:tcPr>
            <w:tcW w:w="4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500" w:type="dxa"/>
            <w:vAlign w:val="bottom"/>
            <w:gridSpan w:val="3"/>
          </w:tcPr>
          <w:p>
            <w:pPr>
              <w:spacing w:after="0"/>
              <w:rPr>
                <w:sz w:val="20"/>
                <w:szCs w:val="20"/>
                <w:color w:val="auto"/>
              </w:rPr>
            </w:pPr>
            <w:r>
              <w:rPr>
                <w:rFonts w:ascii="Arial" w:cs="Arial" w:eastAsia="Arial" w:hAnsi="Arial"/>
                <w:sz w:val="18"/>
                <w:szCs w:val="18"/>
                <w:color w:val="auto"/>
              </w:rPr>
              <w:t>Our cash flows are summarized in the table below:</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 February 28,</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6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4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w w:val="72"/>
              </w:rPr>
              <w:t>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Net cash provided by (used in):</w:t>
            </w:r>
          </w:p>
        </w:tc>
        <w:tc>
          <w:tcPr>
            <w:tcW w:w="104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Operating Activities</w:t>
            </w:r>
          </w:p>
        </w:tc>
        <w:tc>
          <w:tcPr>
            <w:tcW w:w="1040" w:type="dxa"/>
            <w:vAlign w:val="bottom"/>
          </w:tcPr>
          <w:p>
            <w:pPr>
              <w:jc w:val="right"/>
              <w:ind w:right="87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rPr>
              <w:t>21,365</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12,351</w:t>
            </w: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Investing Activities</w:t>
            </w:r>
          </w:p>
        </w:tc>
        <w:tc>
          <w:tcPr>
            <w:tcW w:w="10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w w:val="98"/>
              </w:rPr>
              <w:t>(24,580)</w:t>
            </w:r>
          </w:p>
        </w:tc>
        <w:tc>
          <w:tcPr>
            <w:tcW w:w="1060" w:type="dxa"/>
            <w:vAlign w:val="bottom"/>
            <w:shd w:val="clear" w:color="auto" w:fill="EAF9E8"/>
          </w:tcPr>
          <w:p>
            <w:pPr>
              <w:spacing w:after="0"/>
              <w:rPr>
                <w:sz w:val="18"/>
                <w:szCs w:val="18"/>
                <w:color w:val="auto"/>
              </w:rPr>
            </w:pPr>
          </w:p>
        </w:tc>
        <w:tc>
          <w:tcPr>
            <w:tcW w:w="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2"/>
              </w:rPr>
              <w:t>(15,903)</w:t>
            </w:r>
          </w:p>
        </w:tc>
      </w:tr>
      <w:tr>
        <w:trPr>
          <w:trHeight w:val="216"/>
        </w:trPr>
        <w:tc>
          <w:tcPr>
            <w:tcW w:w="20" w:type="dxa"/>
            <w:vAlign w:val="bottom"/>
          </w:tcPr>
          <w:p>
            <w:pPr>
              <w:spacing w:after="0"/>
              <w:rPr>
                <w:sz w:val="18"/>
                <w:szCs w:val="18"/>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104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Arial" w:cs="Arial" w:eastAsia="Arial" w:hAnsi="Arial"/>
                <w:sz w:val="18"/>
                <w:szCs w:val="18"/>
                <w:color w:val="auto"/>
              </w:rPr>
              <w:t>(6,367)</w:t>
            </w:r>
          </w:p>
        </w:tc>
        <w:tc>
          <w:tcPr>
            <w:tcW w:w="10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11,565</w:t>
            </w:r>
          </w:p>
        </w:tc>
      </w:tr>
      <w:tr>
        <w:trPr>
          <w:trHeight w:val="223"/>
        </w:trPr>
        <w:tc>
          <w:tcPr>
            <w:tcW w:w="20" w:type="dxa"/>
            <w:vAlign w:val="bottom"/>
          </w:tcPr>
          <w:p>
            <w:pPr>
              <w:spacing w:after="0"/>
              <w:rPr>
                <w:sz w:val="19"/>
                <w:szCs w:val="19"/>
                <w:color w:val="auto"/>
              </w:rPr>
            </w:pPr>
          </w:p>
        </w:tc>
        <w:tc>
          <w:tcPr>
            <w:tcW w:w="648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Effect of exchange rate changes on cash</w:t>
            </w:r>
          </w:p>
        </w:tc>
        <w:tc>
          <w:tcPr>
            <w:tcW w:w="1040" w:type="dxa"/>
            <w:vAlign w:val="bottom"/>
            <w:tcBorders>
              <w:bottom w:val="single" w:sz="8" w:color="auto"/>
            </w:tcBorders>
            <w:shd w:val="clear" w:color="auto" w:fill="EAF9E8"/>
          </w:tcPr>
          <w:p>
            <w:pPr>
              <w:spacing w:after="0"/>
              <w:rPr>
                <w:sz w:val="19"/>
                <w:szCs w:val="19"/>
                <w:color w:val="auto"/>
              </w:rPr>
            </w:pPr>
          </w:p>
        </w:tc>
        <w:tc>
          <w:tcPr>
            <w:tcW w:w="6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Borders>
              <w:bottom w:val="single" w:sz="8" w:color="EAF9E8"/>
            </w:tcBorders>
            <w:shd w:val="clear" w:color="auto" w:fill="EAF9E8"/>
          </w:tcPr>
          <w:p>
            <w:pPr>
              <w:spacing w:after="0"/>
              <w:rPr>
                <w:sz w:val="19"/>
                <w:szCs w:val="19"/>
                <w:color w:val="auto"/>
              </w:rPr>
            </w:pPr>
          </w:p>
        </w:tc>
        <w:tc>
          <w:tcPr>
            <w:tcW w:w="1060" w:type="dxa"/>
            <w:vAlign w:val="bottom"/>
            <w:tcBorders>
              <w:bottom w:val="single" w:sz="8" w:color="auto"/>
            </w:tcBorders>
            <w:shd w:val="clear" w:color="auto" w:fill="EAF9E8"/>
          </w:tcPr>
          <w:p>
            <w:pPr>
              <w:spacing w:after="0"/>
              <w:rPr>
                <w:sz w:val="19"/>
                <w:szCs w:val="19"/>
                <w:color w:val="auto"/>
              </w:rPr>
            </w:pPr>
          </w:p>
        </w:tc>
        <w:tc>
          <w:tcPr>
            <w:tcW w:w="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040" w:type="dxa"/>
            <w:vAlign w:val="bottom"/>
          </w:tcPr>
          <w:p>
            <w:pPr>
              <w:jc w:val="right"/>
              <w:ind w:right="87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30"/>
              <w:spacing w:after="0"/>
              <w:rPr>
                <w:sz w:val="20"/>
                <w:szCs w:val="20"/>
                <w:color w:val="auto"/>
              </w:rPr>
            </w:pPr>
            <w:r>
              <w:rPr>
                <w:rFonts w:ascii="Arial" w:cs="Arial" w:eastAsia="Arial" w:hAnsi="Arial"/>
                <w:sz w:val="18"/>
                <w:szCs w:val="18"/>
                <w:color w:val="auto"/>
              </w:rPr>
              <w:t>(9,477)</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8,041</w:t>
            </w: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February 28, 2011, cash provided by our operating activities was $21.4 million, an increase of $9.0 million from the comparable period of fiscal 2010. Positive operating cash flow was primarily attributable to higher net income, excluding depreciation, amortization and other non-cash expenses, of $25.8 million. The $9.0 million year over year increase was also positively impacted by a smaller increase in working capital in fiscal 2011 than fiscal 2010. We used $4.5 million to fund an increase in our working capital during the first nine months of fiscal 2011 compared to a $6.6 million working capital increase in the same period of fiscal 2010.</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February 28, 2010, cash provided by our operating activities was $12.4 million, an increase of $5.6 million from the comparable period of fiscal 2009. Positive operating cash flow was primarily attributable to net income, excluding depreciation and amortization and other non-cash expenses, of $19.0 million. We used $6.6 million to fund an increase in working capital, which resulted from an increase in our trade accounts receivable.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months ended February 28, 2011, cash used in investing activities was $24.6 million compared to $15.9 million from the comparable period of fiscal 2010. Cash purchases of property, plant and equipment were $6.1 million and were primarily related to equipment used by our technicians, as well as a land purchase and construction costs for of a new facility for a portion of our Services operations near Houston, Texas. Cash used in investing activities also included our acquisition of four asset protection businesses for cash payments aggregating $18.3 million.</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nine months ended February 28, 2010, cash used in investing activities was $15.9 million compared to $14.1 million from the comparable period of fiscal 2009. Cash purchases of property, plant and equipment were $1.7 million and were primarily related to equipment used by our technicians. Cash used in investing activities also included our acquisition of three asset protection businesses for cash payments aggregating $14.3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$6.4 million for the nine months ended February 28, 2011 and related primarily to repayments of our capital lease obligations and long-term debt, offset by net borrowings under our revolving credit facility of $5.0 million.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Net cash provided by financing activities was $11.6 million for the nine months ended February 28, 2010. In October 2009, we completed the sale of 6,700,000 shares of common stock at a price of $12.50 per share, providing net proceeds to the Company of $74.0 million after deducting underwriters’ commissions and other expenses. The Company used approximately $66.6 million of the net proceeds to repay the outstanding principal balance of our then term loan ($25.0 million), the then outstanding balance of our revolving credit facility ($41.4 million) and accrued interest thereon ($0.1 million). Also during this nine-month period, the Company made capital lease payments of $4.6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Exchange Rate on Changes on Cash and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effect of exchange rate changes on our cash and cash equivalents was approximately $0.1 million for the nine months ended February 28, 2011.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28, 2011, we had cash and cash equivalents totaling $6.6 million and approximately $50.0 million available to us under our revolving credit facility. Our outstanding borrowings under our revolving credit facility were $5.0 million as of February 28, 2011. We finance our operations primarily through our existing cash balances, cash collected from operations, bank borrowings and capital lease financing. We believe these sources are sufficient to fund our operations for the foreseeable future.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2009, we entered into our current credit agreement with Bank of America, N.A., JPMorgan Chase Bank, N.A., TD Bank, N.A. and Capital One, N.A., which provided for a $25.0 million term loan and a $55.0 million secured revolving credit facility. The funds initially borrowed under this agreement were used to repay the outstanding indebtedness from our former credit facility and to fund acquisitions.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2009, we repaid the outstanding principal balance of the then term loan and the outstanding balance of the revolving credit facility using the proceeds from our IPO. Credit extended under the term loan may not be re-borrowed under the current credit agreement. Credit extended under the revolving credit facility may be re-borrowed at any time. Borrowings made under the revolving credit facility are payable in July 2012. In December 2009, we signed an amendment to our current credit agreement that, among other things, adjusted certain affirmative and negative covenants including delivery of financial statements, the minimum consolidated debt service coverage ratio, the procedures for obtaining lender approval in acquisitions and the removal of a minimum EBITDA requirement.</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amended agreement, borrowings under the credit agreement bear interest at the LIBOR or base rate, at our option, plus an applicable LIBOR margin ranging from 1.75% to 3.25%, or base rate margin ranging from -0.50% to 0.50%, and a market disruption increase of between 0.0% and 1.0%, if the lenders determine it to be applicable. As of February 28, 2011, the interest rate for the borrowings under our revolving credit facility was 2.75%.</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credit agreement also contains financial and other covenants limiting our ability to, among other things, create liens, make investments and certain capital expenditures, incur more indebtedness, merge or consolidate, acquire other companies, make dispositions of property, pay dividends and make distributions to stockholders, enter into a new line of business, enter into transactions with affiliates and enter into burdensome agreements. The agreement’s financial covenants require us to maintain a minimum debt service coverage ratio, and a funded debt leverage ratio, all as defined in the credit agreement. There is a provision in the credit facility that requires us to repay 25% of the immediately preceding fiscal year’s “free cash flow” if our ratio of “funded debt” to EBITDA, as defined in the credit agreement, is greater than a specified amount on or before October 1 each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 February 28, 2011, we were in compliance with the terms of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of cash</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our future sources of cash to include cash flow from operations, cash borrowed under our revolving credit facility and cash borrowed from leasing companies to purchase equipment and fleet service vehicles. Our revolving credit facility is available for cash advances required for working capital and for letters of credit to support our operations. To meet our short-and long-term liquidity requirements, we expect primarily to rely on cash generated from our operating activities. We are currently funding our acquisitions through our available cash, borrowings under our revolving credit facility when necessary, and seller notes. We may also obtain capital through the issuance of debt or equity securities, or a combination of both. As of March 31, 2011, outstanding borrowings under the credit facility were approximately $18.4 million.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Future uses of cash</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but generally only do so with a high degree of certainty about related customer orders and pricing. In addition, we have a certain amount of replacement equipment, including our fleet vehicles. We historically spend approximately 4% to 5% of our total revenues on capital expenditures, excluding acquisitions, and expect to fund these expenditures through a combination of cash and lease financing. In October 2010, we entered into an agreement for the construction of a new facility that will consolidate our facilities in the Houston, Texas metro area. This facility will serve as our Gulf Region headquarters and is expected to be completed by the end of the first quarter of fiscal 2012. The total construction costs are expected to be approximately $3.3 million.</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anticipated acquisitions may also require capital. For example, we have completed five acquisitions in fiscal 2011 to date, including an acquisition completed in March 2011, with an initial cash outlay of approximately $25.8 million. In some cases, additional equipment will be needed to upgrade the capabilities of these acquired companies. In addition, our future acquisition and capital spending may increase to the extent we aggressively pursue growth opportunities. Other investments in infrastructure, training and software may also be required to match our growth, but we plan to continue using a disciplined approach to building our business. In addition, we will use cash to fund our operating leases, capital leases and long-term debt repayment and various other obligations as they arise.</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will also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or public or private equity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terms acceptable to us or at all.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February 28, 2011,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foreign currency exposure related to our operations in foreign locations where the functional currency is not the U.S. dollar. This foreign currency exposure, particularly the Euro, British Pound Sterling (GBP), Brazilian Real, Russian Ruble, Japanese Yen and the Indian Rupee, arises primarily from the translation of our foreign subsidiaries’ financial statements into U.S. dollars. For example, a portion of our annual sales and operating costs are denominated in GBP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For our foreign subsidiaries, assets and liabilities are translated at period ending rates of exchange. Translation adjustments for the assets and liability accounts are included in accumulated other comprehensive income in stockholders’ equity (deficit). We had approximately $0.9 million of foreign currency translation gains in other comprehensive income for the first nine months of fiscal 2011. We do not currently enter into forward exchange contracts to hedge exposures to foreign currencies. We may consider entering into hedging or forward exchange contracts in the future.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Interest Rate Sensitivity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interest rate on our revolving credit facility, currently 2.75%, is variable and adjusts periodically. We had $5.0 million of outstanding borrowings under our revolving credit facility at February 28, 2011. A hypothetical 100 basis point adverse shift in interest rates would not have had a material effect on our results of operations for the three or nine month periods ended February 28, 2011.</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interest rate swap contracts whereby we would receive or pay an amount equal to the difference between a fixed rate and LIBOR on a quarterly basis in order to reduce our potential exposure to interest rate fluctuations. All gains and losses are recognized as an adjustment to interest expense and the combined fair values are recorded in Other liabilities on the consolidated balance sheet. At February 28, 2011, we had no such contracts in effect.</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had cash and cash equivalents of $6.6 million at February 28, 2011. These amounts are held for working capital purposes and were invested primarily in short-term interest-bearing accounts. Due to the short-term nature of these investments, we believe that we do not have any material exposure to changes in the fair value of our investment portfolio as a result of changes in interest rates. Declines in interest rates, however, will reduce future investment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we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20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principal executive and financial officers, does not expect that our disclosure controls and procedures or our internal control over financial reporting will prevent or detect all errors and all fraud. A control system, no matter how well designed or operated, can provide only reasonable, not absolute, assurance that the objectives of the control system are met. The design of our control system reflects the fact that there are resource constraints and the benefits of such controls must be considered relative to their costs. Further, because of the inherent limitations in all control systems, no evaluation of controls can provide absolute assurance that all control failures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Projections of management’s assessments of the current effectiveness of our disclosure controls and procedures and its internal control over financial reporting are subject to risks. However, our disclosure controls and procedures are designed to provide reasonable assurance that the objectives of our control system are met.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the end of the period covered by this report, an evaluation was carried out under the supervision and with the participation of our management, including our Chief Executive Officer (“CEO”) and our Chief Financial Officer (“CFO”), of the effectiveness of the design and operation of our disclosure controls and procedures (as defined in Rules 13a-15(e) and 15d-15(e) under the Exchange Act). This evaluation included consideration of the various processes carried out under the direction of our disclosure committee in an effort to ensure that information required to be disclosed in our SEC reports is recorded, processed, summarized and reported within the time periods specified by the SEC. This evaluation also considered the work completed relating to our compliance efforts with regards to the requirements of Section 404 of the Sarbanes-Oxley Act of 2002.</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Based on this evaluation, our CEO and CFO concluded that, as of February 28, 2011, our disclosure controls and procedures were operating effectively, at the reasonable assurance level, to ensure that the information required to be disclosed in our SEC reports is recorded, processed, summarized and reported within the requisite time periods and that such information is accumulated and communicated to management, including our CEO and CFO, as appropriate, to allow timely decisions regarding required disclosure.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Rules 13a-13(f) and 15d-15(f) of the Exchange Act) that have materially affected or are reasonably likely to materially affect our internal control over financial reporting during the third quarter of fiscal 2011.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the financial statements included in this report for a description of our legal proceedings.</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under the “Risk Factors” section included in our Annual Report on Form 10-K, filed with the SEC on August 17, 2010. The following updates and supplements the risk factors previously disclosed in the Annual Report.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Catastrophic events, such as natural disasters, industrial accidents, epidemics, war and acts of terrorism, could disrupt our business or the business of our customers, which could significantly harm our operations, financial results and cash flow.</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and those of our customers are susceptible to the occurrence of catastrophic events outside our control, ranging from severe weather conditions to acts of war and terrorism. Any such events could cause a serious business disruption that reduces our customers’ ability to or interest in purchasing our asset protection solutions, and have in the past resulted in order cancellations and delays because customer equipment, facilities or operations have been damaged, or are not operational or available. In April 2010, our largest customer, BP, suffered a catastrophic industrial accident in the Gulf of Mexico, and subsequent to the incident, announced plans to sell some of its refining facilities, including locations in Texas and California, which could adversely affect our business. A large portion of our customer base has operations in the Gulf of Mexico, which is subject to hurricanes in the first and second quarters of our fiscal year. Hurricane-related disruptions to our customers’ operations have adversely affected our revenues in the past. Such events in the future may result in substantial delays in the provision of solutions to our customers and the loss of valuable equipment. Any cancellations, delays or losses due to a catastrophic event may significantly reduce our revenues and harm our operating performance.</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March 11, 2011 tsunami and earthquakes in Japan, and resulting problems with the nuclear power plants in Japan’s Fukushima-1 nuclear plant has caused significant delays, and in some cases halted, the shipment from Japan of electronic parts and components used in certain of our equipment, and increased the prices of the parts and components that are available. In addition, the radioactive exposure resulting from problems at the Fukushima-1 nuclear plant has raised concerns regarding the future of the nuclear energy industry. While the United States and other countries do not appear to be reducing the use of nuclear power, or halting construction of new nuclear power generation facilities, the situation in Japan could impact nuclear power generation business in the United States. Accordingly, our business could be adversely impacted by delays or increased costs to obtain electronic parts and components or by any regulatory action to suspend to halt construction of nuclear power generating facilities in the United States.</w:t>
      </w:r>
    </w:p>
    <w:p>
      <w:pPr>
        <w:spacing w:after="0" w:line="20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56" w:lineRule="exact"/>
        <w:rPr>
          <w:sz w:val="20"/>
          <w:szCs w:val="20"/>
          <w:color w:val="auto"/>
        </w:rPr>
      </w:pPr>
    </w:p>
    <w:p>
      <w:pPr>
        <w:ind w:left="660" w:right="8800" w:hanging="652"/>
        <w:spacing w:after="0" w:line="532" w:lineRule="auto"/>
        <w:tabs>
          <w:tab w:leader="none" w:pos="267"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260" w:hanging="252"/>
        <w:spacing w:after="0"/>
        <w:tabs>
          <w:tab w:leader="none" w:pos="2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Proceeds from Public Offering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660" w:right="8360" w:hanging="652"/>
        <w:spacing w:after="0" w:line="530" w:lineRule="auto"/>
        <w:tabs>
          <w:tab w:leader="none" w:pos="25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Repurchases of Our Equity Securities </w:t>
      </w:r>
      <w:r>
        <w:rPr>
          <w:rFonts w:ascii="Arial" w:cs="Arial" w:eastAsia="Arial" w:hAnsi="Arial"/>
          <w:sz w:val="18"/>
          <w:szCs w:val="18"/>
          <w:color w:val="auto"/>
        </w:rPr>
        <w:t>None.</w:t>
      </w: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Exhibit Index on Page 38 of this report, and incorporated herein by reference.</w:t>
      </w:r>
    </w:p>
    <w:p>
      <w:pPr>
        <w:spacing w:after="0" w:line="200" w:lineRule="exact"/>
        <w:rPr>
          <w:sz w:val="20"/>
          <w:szCs w:val="20"/>
          <w:color w:val="auto"/>
        </w:rPr>
      </w:pP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MISTRAS GROUP, INC.</w:t>
      </w:r>
    </w:p>
    <w:p>
      <w:pPr>
        <w:spacing w:after="0" w:line="229"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w:t>
      </w:r>
      <w:r>
        <w:rPr>
          <w:rFonts w:ascii="Arial" w:cs="Arial" w:eastAsia="Arial" w:hAnsi="Arial"/>
          <w:sz w:val="12"/>
          <w:szCs w:val="12"/>
          <w:color w:val="auto"/>
        </w:rPr>
        <w:t>RANCIS</w:t>
      </w:r>
      <w:r>
        <w:rPr>
          <w:rFonts w:ascii="Arial" w:cs="Arial" w:eastAsia="Arial" w:hAnsi="Arial"/>
          <w:sz w:val="18"/>
          <w:szCs w:val="18"/>
          <w:color w:val="auto"/>
        </w:rPr>
        <w:t xml:space="preserve"> T. J</w:t>
      </w:r>
      <w:r>
        <w:rPr>
          <w:rFonts w:ascii="Arial" w:cs="Arial" w:eastAsia="Arial" w:hAnsi="Arial"/>
          <w:sz w:val="12"/>
          <w:szCs w:val="12"/>
          <w:color w:val="auto"/>
        </w:rPr>
        <w:t>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14605</wp:posOffset>
            </wp:positionV>
            <wp:extent cx="36360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Francis T. Joyce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2011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p>
        </w:tc>
      </w:tr>
      <w:tr>
        <w:trPr>
          <w:trHeight w:val="466"/>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9340" w:type="dxa"/>
            <w:vAlign w:val="bottom"/>
            <w:tcBorders>
              <w:bottom w:val="single" w:sz="8" w:color="auto"/>
            </w:tcBorders>
          </w:tcPr>
          <w:p>
            <w:pPr>
              <w:ind w:left="422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2"/>
              </w:rPr>
              <w:t>Amended and Restated Credit Agreement (filed as exhibit 10.2 to the Registration Statement on Form S-1 (Amendment No. 6)</w:t>
            </w: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filed on October 6, 2009 (Registration No. 333-151559) and incorporated herein by reference).</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89"/>
              </w:rPr>
              <w:t>Second Amended and Restated Credit Agreement dated as of July 22, 2009 (filed as exhibit 10.3 to the Registration Statement on</w:t>
            </w:r>
          </w:p>
        </w:tc>
      </w:tr>
      <w:tr>
        <w:trPr>
          <w:trHeight w:val="230"/>
        </w:trPr>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w w:val="93"/>
              </w:rPr>
              <w:t>Form S-1 (Amendment No. 6) filed on October 6, 2009 (Registration No. 333-151559) and incorporated herein by reference).</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608"/>
        </w:trPr>
        <w:tc>
          <w:tcPr>
            <w:tcW w:w="1720" w:type="dxa"/>
            <w:vAlign w:val="bottom"/>
          </w:tcPr>
          <w:p>
            <w:pPr>
              <w:spacing w:after="0"/>
              <w:rPr>
                <w:sz w:val="24"/>
                <w:szCs w:val="24"/>
                <w:color w:val="auto"/>
              </w:rPr>
            </w:pPr>
          </w:p>
        </w:tc>
        <w:tc>
          <w:tcPr>
            <w:tcW w:w="9700" w:type="dxa"/>
            <w:vAlign w:val="bottom"/>
            <w:gridSpan w:val="2"/>
          </w:tcPr>
          <w:p>
            <w:pPr>
              <w:jc w:val="right"/>
              <w:ind w:right="5470"/>
              <w:spacing w:after="0"/>
              <w:rPr>
                <w:sz w:val="20"/>
                <w:szCs w:val="20"/>
                <w:color w:val="auto"/>
              </w:rPr>
            </w:pPr>
            <w:r>
              <w:rPr>
                <w:rFonts w:ascii="Arial" w:cs="Arial" w:eastAsia="Arial" w:hAnsi="Arial"/>
                <w:sz w:val="18"/>
                <w:szCs w:val="18"/>
                <w:color w:val="auto"/>
              </w:rPr>
              <w:t>-38-</w:t>
            </w:r>
          </w:p>
        </w:tc>
      </w:tr>
      <w:tr>
        <w:trPr>
          <w:trHeight w:val="118"/>
        </w:trPr>
        <w:tc>
          <w:tcPr>
            <w:tcW w:w="17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hanging="571"/>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160" w:hanging="571"/>
        <w:spacing w:after="0" w:line="308" w:lineRule="auto"/>
        <w:tabs>
          <w:tab w:leader="none" w:pos="11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60" w:hanging="571"/>
        <w:spacing w:after="0" w:line="264"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hanging="571"/>
        <w:spacing w:after="0" w:line="277"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2011</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Sotirios J. Vahaviolos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Francis T. Joyce, certify that:</w:t>
      </w:r>
    </w:p>
    <w:p>
      <w:pPr>
        <w:spacing w:after="0" w:line="225"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hanging="571"/>
        <w:spacing w:after="0"/>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160" w:hanging="571"/>
        <w:spacing w:after="0" w:line="308" w:lineRule="auto"/>
        <w:tabs>
          <w:tab w:leader="none" w:pos="11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60" w:hanging="571"/>
        <w:spacing w:after="0" w:line="264"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right="460" w:hanging="571"/>
        <w:spacing w:after="0" w:line="277"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2011</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Francis T. Joyce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February 28, 2011 (the “Report”), fully complies with the requirements of Section 13(a) of the Securities Exchange Act of 1934 and that the information contained in such report fairly presents, in all material respects, the financial condition and results of operations of the Company. This written statement is being furnished to the Securities and Exchange Commission as an exhibit to the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April 14, 2011</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Sotirios J. Vahaviolos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Francis T. Joyce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Mistras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7"/>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1"/>
    </w:lvl>
  </w:abstractNum>
  <w:abstractNum w:abstractNumId="11">
    <w:nsid w:val="1BEFD79F"/>
    <w:multiLevelType w:val="hybridMultilevel"/>
    <w:lvl w:ilvl="0">
      <w:lvlJc w:val="left"/>
      <w:lvlText w:val="%1."/>
      <w:numFmt w:val="decimal"/>
      <w:start w:val="12"/>
    </w:lvl>
  </w:abstractNum>
  <w:abstractNum w:abstractNumId="12">
    <w:nsid w:val="41A7C4C9"/>
    <w:multiLevelType w:val="hybridMultilevel"/>
    <w:lvl w:ilvl="0">
      <w:lvlJc w:val="left"/>
      <w:lvlText w:val="%1."/>
      <w:numFmt w:val="decimal"/>
      <w:start w:val="13"/>
    </w:lvl>
  </w:abstractNum>
  <w:abstractNum w:abstractNumId="13">
    <w:nsid w:val="6B68079A"/>
    <w:multiLevelType w:val="hybridMultilevel"/>
    <w:lvl w:ilvl="0">
      <w:lvlJc w:val="left"/>
      <w:lvlText w:val="%1."/>
      <w:numFmt w:val="decimal"/>
      <w:start w:val="14"/>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3"/>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2019-12-11T07:56:25Z</dcterms:created>
  <dcterms:modified xsi:type="dcterms:W3CDTF">2019-12-11T07:56:25Z</dcterms:modified>
</cp:coreProperties>
</file>