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980" w:right="1880" w:hanging="3877"/>
        <w:spacing w:after="0" w:line="516"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451"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451"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451"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451"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2, 2017, the registrant had 28,250,751 shares of common stock outstanding and 1,055,759 shares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451"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2"/>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2017 (unaudited) and December 31, 2016</w:t>
              </w:r>
            </w:hyperlink>
          </w:p>
        </w:tc>
        <w:tc>
          <w:tcPr>
            <w:tcW w:w="20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Income for the three and six months ended June 30, 2017 and June 30,</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2016</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Comprehensive Income for the three and six months ended June 30, 2017</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June 30, 2016</w:t>
              </w:r>
            </w:hyperlink>
          </w:p>
        </w:tc>
        <w:tc>
          <w:tcPr>
            <w:tcW w:w="7640" w:type="dxa"/>
            <w:vAlign w:val="bottom"/>
            <w:tcBorders>
              <w:top w:val="single" w:sz="8" w:color="0000EE"/>
            </w:tcBorders>
            <w:gridSpan w:val="10"/>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Cash Flows for the six months ended June 30, 2017 and June 30, 2016</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940" w:type="dxa"/>
            <w:vAlign w:val="bottom"/>
            <w:tcBorders>
              <w:top w:val="single" w:sz="8" w:color="0000EE"/>
            </w:tcBorders>
            <w:gridSpan w:val="3"/>
          </w:tcPr>
          <w:p>
            <w:pPr>
              <w:spacing w:after="0"/>
              <w:rPr>
                <w:sz w:val="24"/>
                <w:szCs w:val="24"/>
                <w:color w:val="auto"/>
              </w:rPr>
            </w:pPr>
          </w:p>
        </w:tc>
        <w:tc>
          <w:tcPr>
            <w:tcW w:w="36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1">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28">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78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PART II—OTHER INFORMATION</w:t>
              </w:r>
            </w:hyperlink>
          </w:p>
        </w:tc>
        <w:tc>
          <w:tcPr>
            <w:tcW w:w="80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778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10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474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74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78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129,221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130,852</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6,230</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183,480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182,652</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40,007</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169,940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1,086</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481,227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469,427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56,841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58,697</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6,488</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77,711</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9,682</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7,789</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198,683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$0.01 par value, 200,000,000 shares authorized, 29,306,510 and 29,216,745 shares issued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220,305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217,211</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960,882 and 420,258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95,712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91,803</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(29,724)</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273,078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270,582</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273,249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270,744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469,427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2016</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Pr>
          <w:p>
            <w:pPr>
              <w:spacing w:after="0"/>
              <w:rPr>
                <w:sz w:val="22"/>
                <w:szCs w:val="22"/>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 2016</w:t>
            </w:r>
          </w:p>
        </w:tc>
      </w:tr>
      <w:tr>
        <w:trPr>
          <w:trHeight w:val="270"/>
        </w:trPr>
        <w:tc>
          <w:tcPr>
            <w:tcW w:w="44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333,757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345,795</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118,825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121,044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233,828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239,273</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11,017</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46,343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89,496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95,505</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72,271</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1,285</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6,320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10,485</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9,045</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6,220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Less: net income attributable to non-controlling interests,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97"/>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6,208</w:t>
            </w: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28,924</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29,599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30,152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30,083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22"/>
                <w:szCs w:val="22"/>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June 30, 2016</w:t>
            </w:r>
          </w:p>
        </w:tc>
      </w:tr>
      <w:tr>
        <w:trPr>
          <w:trHeight w:val="162"/>
        </w:trPr>
        <w:tc>
          <w:tcPr>
            <w:tcW w:w="4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8,260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4,983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11,408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10,827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Less: comprehensive income attributable to non-controlling</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attributable to Mistras Group,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4,980</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11,399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10,815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23495</wp:posOffset>
            </wp:positionV>
            <wp:extent cx="2126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103" w:lineRule="exact"/>
        <w:rPr>
          <w:sz w:val="20"/>
          <w:szCs w:val="20"/>
          <w:color w:val="auto"/>
        </w:rPr>
      </w:pPr>
    </w:p>
    <w:p>
      <w:pPr>
        <w:jc w:val="right"/>
        <w:ind w:right="380"/>
        <w:spacing w:after="0"/>
        <w:tabs>
          <w:tab w:leader="none" w:pos="820" w:val="left"/>
        </w:tabs>
        <w:rPr>
          <w:sz w:val="20"/>
          <w:szCs w:val="20"/>
          <w:color w:val="auto"/>
        </w:rPr>
      </w:pPr>
      <w:r>
        <w:rPr>
          <w:rFonts w:ascii="Arial" w:cs="Arial" w:eastAsia="Arial" w:hAnsi="Arial"/>
          <w:sz w:val="14"/>
          <w:szCs w:val="14"/>
          <w:b w:val="1"/>
          <w:bCs w:val="1"/>
          <w:color w:val="auto"/>
        </w:rPr>
        <w:t>June 30, 2017</w:t>
      </w:r>
      <w:r>
        <w:rPr>
          <w:sz w:val="20"/>
          <w:szCs w:val="20"/>
          <w:color w:val="auto"/>
        </w:rPr>
        <w:tab/>
      </w:r>
      <w:r>
        <w:rPr>
          <w:rFonts w:ascii="Arial" w:cs="Arial" w:eastAsia="Arial" w:hAnsi="Arial"/>
          <w:sz w:val="12"/>
          <w:szCs w:val="12"/>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8342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3425" cy="197485"/>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7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Bad debt provision for a customer bankruptcy</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Fair value adjustments to contingent consideration</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(9,789)</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Purchase of intangible assets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Acquisition of businesses, net of cash acquired</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sale of equipment</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(14,218)</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capital lease obligations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borrowings of long-term debt</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long-term debt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revolver</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Repayment of revolver</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Payment of contingent consideration for business acquisitions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Purchases of treasury stock</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Taxes paid related to net share settlement of share-based awards</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Excess tax benefit from share-based compensation</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40"/>
              <w:spacing w:after="0"/>
              <w:rPr>
                <w:sz w:val="20"/>
                <w:szCs w:val="20"/>
                <w:color w:val="auto"/>
              </w:rPr>
            </w:pPr>
            <w:r>
              <w:rPr>
                <w:rFonts w:ascii="Arial" w:cs="Arial" w:eastAsia="Arial" w:hAnsi="Arial"/>
                <w:sz w:val="18"/>
                <w:szCs w:val="18"/>
                <w:color w:val="auto"/>
              </w:rPr>
              <w:t>End of period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26,784</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Interest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40"/>
              <w:spacing w:after="0"/>
              <w:rPr>
                <w:sz w:val="20"/>
                <w:szCs w:val="20"/>
                <w:color w:val="auto"/>
              </w:rPr>
            </w:pPr>
            <w:r>
              <w:rPr>
                <w:rFonts w:ascii="Arial" w:cs="Arial" w:eastAsia="Arial" w:hAnsi="Arial"/>
                <w:sz w:val="18"/>
                <w:szCs w:val="18"/>
                <w:color w:val="auto"/>
              </w:rPr>
              <w:t>Equipment acquired through capital lease obligations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-7571740</wp:posOffset>
            </wp:positionV>
            <wp:extent cx="708342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-7228840</wp:posOffset>
            </wp:positionV>
            <wp:extent cx="708342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-6885940</wp:posOffset>
            </wp:positionV>
            <wp:extent cx="708342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-6542405</wp:posOffset>
            </wp:positionV>
            <wp:extent cx="70834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-6199505</wp:posOffset>
            </wp:positionV>
            <wp:extent cx="708342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-5856605</wp:posOffset>
            </wp:positionV>
            <wp:extent cx="70834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-5513705</wp:posOffset>
            </wp:positionV>
            <wp:extent cx="70834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-5170805</wp:posOffset>
            </wp:positionV>
            <wp:extent cx="70834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-4819015</wp:posOffset>
            </wp:positionV>
            <wp:extent cx="70834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-4476115</wp:posOffset>
            </wp:positionV>
            <wp:extent cx="70834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-4132580</wp:posOffset>
            </wp:positionV>
            <wp:extent cx="70834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-3781425</wp:posOffset>
            </wp:positionV>
            <wp:extent cx="70834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-3438525</wp:posOffset>
            </wp:positionV>
            <wp:extent cx="70834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-3094990</wp:posOffset>
            </wp:positionV>
            <wp:extent cx="70834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-2752090</wp:posOffset>
            </wp:positionV>
            <wp:extent cx="70834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-2409190</wp:posOffset>
            </wp:positionV>
            <wp:extent cx="70834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-2066290</wp:posOffset>
            </wp:positionV>
            <wp:extent cx="70834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-1714500</wp:posOffset>
            </wp:positionV>
            <wp:extent cx="70834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0834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0834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34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34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08342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3425" cy="18034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1144" w:hanging="1144"/>
        <w:spacing w:after="0"/>
        <w:tabs>
          <w:tab w:leader="none" w:pos="1144" w:val="left"/>
        </w:tabs>
        <w:numPr>
          <w:ilvl w:val="0"/>
          <w:numId w:val="2"/>
        </w:numPr>
        <w:rPr>
          <w:rFonts w:ascii="Arial" w:cs="Arial" w:eastAsia="Arial" w:hAnsi="Arial"/>
          <w:sz w:val="18"/>
          <w:szCs w:val="18"/>
          <w:color w:val="auto"/>
        </w:rPr>
      </w:pPr>
      <w:r>
        <w:rPr>
          <w:rFonts w:ascii="Arial" w:cs="Arial" w:eastAsia="Arial" w:hAnsi="Arial"/>
          <w:sz w:val="18"/>
          <w:szCs w:val="18"/>
          <w:color w:val="auto"/>
        </w:rPr>
        <w:t>6,220</w:t>
      </w:r>
    </w:p>
    <w:p>
      <w:pPr>
        <w:spacing w:after="0" w:line="33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16,644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3,195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(1,075)</w:t>
      </w:r>
    </w:p>
    <w:p>
      <w:pPr>
        <w:spacing w:after="0" w:line="33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7,930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9,337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37,778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(6,787)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(7,368)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(4,221)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15,100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(21,951)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8,843</w:t>
      </w:r>
    </w:p>
    <w:p>
      <w:pPr>
        <w:spacing w:after="0" w:line="333" w:lineRule="exact"/>
        <w:rPr>
          <w:sz w:val="20"/>
          <w:szCs w:val="20"/>
          <w:color w:val="auto"/>
        </w:rPr>
      </w:pPr>
    </w:p>
    <w:p>
      <w:pPr>
        <w:ind w:left="1144"/>
        <w:spacing w:after="0"/>
        <w:rPr>
          <w:sz w:val="20"/>
          <w:szCs w:val="20"/>
          <w:color w:val="auto"/>
        </w:rPr>
      </w:pPr>
      <w:r>
        <w:rPr>
          <w:rFonts w:ascii="Arial" w:cs="Arial" w:eastAsia="Arial" w:hAnsi="Arial"/>
          <w:sz w:val="18"/>
          <w:szCs w:val="18"/>
          <w:color w:val="auto"/>
        </w:rPr>
        <w:t>9,599</w:t>
      </w:r>
    </w:p>
    <w:p>
      <w:pPr>
        <w:spacing w:after="0" w:line="77" w:lineRule="exact"/>
        <w:rPr>
          <w:sz w:val="20"/>
          <w:szCs w:val="20"/>
          <w:color w:val="auto"/>
        </w:rPr>
      </w:pPr>
    </w:p>
    <w:p>
      <w:pPr>
        <w:ind w:left="1044" w:hanging="1044"/>
        <w:spacing w:after="0"/>
        <w:tabs>
          <w:tab w:leader="none" w:pos="1044" w:val="left"/>
        </w:tabs>
        <w:numPr>
          <w:ilvl w:val="0"/>
          <w:numId w:val="3"/>
        </w:numPr>
        <w:rPr>
          <w:rFonts w:ascii="Arial" w:cs="Arial" w:eastAsia="Arial" w:hAnsi="Arial"/>
          <w:sz w:val="18"/>
          <w:szCs w:val="18"/>
          <w:color w:val="auto"/>
        </w:rPr>
      </w:pPr>
      <w:r>
        <w:rPr>
          <w:rFonts w:ascii="Arial" w:cs="Arial" w:eastAsia="Arial" w:hAnsi="Arial"/>
          <w:sz w:val="18"/>
          <w:szCs w:val="18"/>
          <w:color w:val="auto"/>
        </w:rPr>
        <w:t>18,442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13" w:lineRule="exact"/>
        <w:rPr>
          <w:sz w:val="20"/>
          <w:szCs w:val="20"/>
          <w:color w:val="auto"/>
        </w:rPr>
      </w:pPr>
    </w:p>
    <w:p>
      <w:pPr>
        <w:ind w:left="1144" w:hanging="1144"/>
        <w:spacing w:after="0"/>
        <w:tabs>
          <w:tab w:leader="none" w:pos="1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1,484</w:t>
      </w:r>
    </w:p>
    <w:p>
      <w:pPr>
        <w:spacing w:after="0" w:line="63" w:lineRule="exact"/>
        <w:rPr>
          <w:rFonts w:ascii="Arial" w:cs="Arial" w:eastAsia="Arial" w:hAnsi="Arial"/>
          <w:sz w:val="18"/>
          <w:szCs w:val="18"/>
          <w:color w:val="auto"/>
        </w:rPr>
      </w:pPr>
    </w:p>
    <w:p>
      <w:pPr>
        <w:ind w:left="1144" w:hanging="1144"/>
        <w:spacing w:after="0"/>
        <w:tabs>
          <w:tab w:leader="none" w:pos="1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4,502</w:t>
      </w:r>
    </w:p>
    <w:p>
      <w:pPr>
        <w:spacing w:after="0" w:line="333" w:lineRule="exact"/>
        <w:rPr>
          <w:sz w:val="20"/>
          <w:szCs w:val="20"/>
          <w:color w:val="auto"/>
        </w:rPr>
      </w:pPr>
    </w:p>
    <w:p>
      <w:pPr>
        <w:ind w:left="1144" w:hanging="1144"/>
        <w:spacing w:after="0"/>
        <w:tabs>
          <w:tab w:leader="none" w:pos="1144" w:val="left"/>
        </w:tabs>
        <w:numPr>
          <w:ilvl w:val="0"/>
          <w:numId w:val="5"/>
        </w:numPr>
        <w:rPr>
          <w:rFonts w:ascii="Arial" w:cs="Arial" w:eastAsia="Arial" w:hAnsi="Arial"/>
          <w:sz w:val="18"/>
          <w:szCs w:val="18"/>
          <w:color w:val="auto"/>
        </w:rPr>
      </w:pPr>
      <w:r>
        <w:rPr>
          <w:rFonts w:ascii="Arial" w:cs="Arial" w:eastAsia="Arial" w:hAnsi="Arial"/>
          <w:sz w:val="18"/>
          <w:szCs w:val="18"/>
          <w:color w:val="auto"/>
        </w:rPr>
        <w:t>6,229</w:t>
      </w:r>
    </w:p>
    <w:p>
      <w:pPr>
        <w:spacing w:after="0" w:line="420" w:lineRule="exact"/>
        <w:rPr>
          <w:sz w:val="20"/>
          <w:szCs w:val="20"/>
          <w:color w:val="auto"/>
        </w:rPr>
      </w:pPr>
    </w:p>
    <w:p>
      <w:pPr>
        <w:sectPr>
          <w:pgSz w:w="11900" w:h="16838" w:orient="portrait"/>
          <w:cols w:equalWidth="0" w:num="2">
            <w:col w:w="9380" w:space="136"/>
            <w:col w:w="1604"/>
          </w:cols>
          <w:pgMar w:left="240" w:top="121" w:right="539" w:bottom="1440" w:gutter="0" w:footer="0" w:header="0"/>
          <w:type w:val="continuous"/>
        </w:sectPr>
      </w:pPr>
    </w:p>
    <w:p>
      <w:pPr>
        <w:spacing w:after="0" w:line="7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20"/>
          </w:cols>
          <w:pgMar w:left="240" w:top="121" w:right="5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December 31, 2017 and 2016.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Transition Report on Form 10-K (“2016 Transition Report”) for the transition period ended December 31, 2016, as filed with the Securities and Exchange Commission on March 20,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January 3, 2017, the Company's Board of Directors approved a change in the Company's fiscal year end from May 31 to December 31, effective December 31, 2016. The transition period was for the seven months ended December 31, 2016 ("the transition period"). Prior to this change, the Company's International segment was consolidated on a one month lag. Therefore, for this interim report, the condensed consolidated income statements include a one month lag for the International segment for the three and six months ended June 30, 2016. Management does not believe that any events occurred during the one-month lag period that would have a material effect on the Company’s condensed consolidated financial statements. The one month lag was removed with the change in the Company's fiscal year noted above, and accordingly, the condensed consolidated income statements do not include a one month lag for the International segment's results for the three and six months ended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One customer, primarily generated from the Services segment, accounted for approximately 12% of our revenues for the three and six months ended June 30, 2017. This customer accounted for 11% of accounts receivable as of June 30, 2017. One customer accounted for 12% and 11% of our revenues for the three and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The Company’s significant accounting policies are disclosed in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Company's 2016 Transition Report. On an ongoing basis, the Company evaluates its estimates and assumptions, including among other things, those related to revenue recognition, valuations of accounts receivable, long-lived assets, goodwill, deferred tax assets and uncertain tax positions. Since the date of the 2016 Transition Report, there have been no material changes to the Company's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080808"/>
        </w:rPr>
        <w:t xml:space="preserve">In August 2015, the Financial Accounting Standards Board ("FASB") issued Accounting Standards Update ("ASU") 2015-14, </w:t>
      </w:r>
      <w:r>
        <w:rPr>
          <w:rFonts w:ascii="Arial" w:cs="Arial" w:eastAsia="Arial" w:hAnsi="Arial"/>
          <w:sz w:val="16"/>
          <w:szCs w:val="16"/>
          <w:i w:val="1"/>
          <w:iCs w:val="1"/>
          <w:color w:val="080808"/>
        </w:rPr>
        <w:t>Revenue from Contracts with</w:t>
      </w:r>
      <w:r>
        <w:rPr>
          <w:rFonts w:ascii="Arial" w:cs="Arial" w:eastAsia="Arial" w:hAnsi="Arial"/>
          <w:sz w:val="16"/>
          <w:szCs w:val="16"/>
          <w:color w:val="080808"/>
        </w:rPr>
        <w:t xml:space="preserve"> </w:t>
      </w:r>
      <w:r>
        <w:rPr>
          <w:rFonts w:ascii="Arial" w:cs="Arial" w:eastAsia="Arial" w:hAnsi="Arial"/>
          <w:sz w:val="16"/>
          <w:szCs w:val="16"/>
          <w:i w:val="1"/>
          <w:iCs w:val="1"/>
          <w:color w:val="080808"/>
        </w:rPr>
        <w:t xml:space="preserve">Customers (Topic 606): Deferral of the Effective Date, </w:t>
      </w:r>
      <w:r>
        <w:rPr>
          <w:rFonts w:ascii="Arial" w:cs="Arial" w:eastAsia="Arial" w:hAnsi="Arial"/>
          <w:sz w:val="16"/>
          <w:szCs w:val="16"/>
          <w:color w:val="080808"/>
        </w:rPr>
        <w:t>which defers the effective date of ASU 2014-09 for all entities by one year. This update is effective for</w:t>
      </w:r>
      <w:r>
        <w:rPr>
          <w:rFonts w:ascii="Arial" w:cs="Arial" w:eastAsia="Arial" w:hAnsi="Arial"/>
          <w:sz w:val="16"/>
          <w:szCs w:val="16"/>
          <w:i w:val="1"/>
          <w:iCs w:val="1"/>
          <w:color w:val="080808"/>
        </w:rPr>
        <w:t xml:space="preserve"> </w:t>
      </w:r>
      <w:r>
        <w:rPr>
          <w:rFonts w:ascii="Arial" w:cs="Arial" w:eastAsia="Arial" w:hAnsi="Arial"/>
          <w:sz w:val="16"/>
          <w:szCs w:val="16"/>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will become effective for us beginning 2018, which is when we plan to adopt this standard.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 We are still in the process of evaluating the effect of adoption on our condensed consolidated financial statements and are currently assessing our contracts with customers. We anticipate we will expand our condensed consolidated financial statement disclosures in order to comply with ASU 2014-09.</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adopted this guidance prospectively beginning in the first quarter of 2017, which did not have a material impact on the condensed consolidated financial statements and related disclosures.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xml:space="preserve"> This amendment simplifies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 and interim periods within those fiscal years beginning after December 15, 2016, with early adoption permitted. The Company adopted this guidance prospectively beginning in the first quarter of 2017, and accordingly, is recording excess tax benefits and tax deficiencies as a component of income tax expense.</w:t>
      </w:r>
    </w:p>
    <w:p>
      <w:pPr>
        <w:spacing w:after="0" w:line="18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2017, with early adoption permitted. The Company is evaluating the impact that ASU 2016-15 will have on its condensed consolidated financial statements and related disclosures.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This amendment will clarify the presentation of restricted cash on the statement of cash flows. Amounts generally described as restricted cash and restricted cash equivalents should be included with cash and cash equivalents when reconciling the beginning and ending cash balances on the statement of cash flows. ASU 2016-18 is effective for fiscal years, and interim periods within those fiscal years beginning after December 15, 2017, with early adoption permitted. The Company does not expect that ASU 2016-18 will have a material impact on its condensed consolidated financial statements and related disclosures.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is evaluating the impact that ASU 2017-04 will have on its condensed consolidated financial statements and related disclosures.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 within those fiscal years, beginning after December 15, 2017, with early adoption permitted. The Company is evaluating the impact that ASU 2017-09 will have on its condensed consolidated financial statements and related disclosures.</w:t>
      </w:r>
    </w:p>
    <w:p>
      <w:pPr>
        <w:spacing w:after="0" w:line="200" w:lineRule="exact"/>
        <w:rPr>
          <w:sz w:val="20"/>
          <w:szCs w:val="20"/>
          <w:color w:val="auto"/>
        </w:rPr>
      </w:pPr>
    </w:p>
    <w:p>
      <w:pPr>
        <w:spacing w:after="0" w:line="205"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2017 and 2016, the Company did not recognize any share-based compensation expense related to stock option awards.</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six months ended June 30, 2017 and 2016, the Company did not recognize any share-based compensation expense and recognized less than $0.1 million, respectively, related to stock option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unrecognized compensation costs remained related to stock option awards as of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and six months ended June 30, 2017 and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weighted average exercise prices and options outstanding as of June 30, 2017 and 2016 is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4"/>
                <w:szCs w:val="14"/>
                <w:b w:val="1"/>
                <w:bCs w:val="1"/>
                <w:color w:val="auto"/>
                <w:w w:val="93"/>
              </w:rPr>
              <w:t>For the 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2,167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2,130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2,232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the three months ended June 30, 2017 and June 30, 2016, the Company recognized share-based compensation expense related to restricted stock unit awards of $1.2 million and $1.0 million, respectively.</w:t>
      </w:r>
    </w:p>
    <w:p>
      <w:pPr>
        <w:spacing w:after="0" w:line="170"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For the six months ended June 30, 2017 and June 30, 2016, the Company recognized share-based compensation expense related to restricted stock unit awards of $2.3 million and $2.2 million, respectively. As of June 30, 2017, there was $9.5 million of unrecognized compensation costs, net of estimated forfeitures, related to restricted stock unit awards, which are expected to be recognized over a remaining weighted average period of 2.5 years.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six months of 2017 and 2016, the Company granted approximately 9,000 and 12,000 shares, respectively, of fully-vested common stock to its five non-employee directors, as provided for under the Company's non-employee director compensation plan. These shares had grant date fair values of $0.2 million and $0.3 million, respectively, which was recorded as share-based compensation expense during the six months ended June 30, 2017 and June 30, 2016, respectively.</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six months of 2017 and 2016, approximately 8,000 restricted stock units vested for each period. The fair value of these units was $0.2 million for each respective period. Upon vesting, restricted stock units are generally net share-settled to cover the required minimum withholding tax and the remaining amount is converted into an equivalent number of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w:t>
      </w:r>
    </w:p>
    <w:p>
      <w:pPr>
        <w:spacing w:after="0" w:line="379"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2016</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Grant-Date</w:t>
            </w:r>
          </w:p>
        </w:tc>
        <w:tc>
          <w:tcPr>
            <w:tcW w:w="9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5"/>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569</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20.81</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124</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21.21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21.05</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9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674</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20.87</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570</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also is a discretionary portion of the PRSUs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Performance Restricted Stock Unit activity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238125</wp:posOffset>
            </wp:positionV>
            <wp:extent cx="295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00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rPr>
              <w:t>For the six months ended June 30, 2017</w:t>
            </w:r>
          </w:p>
        </w:tc>
        <w:tc>
          <w:tcPr>
            <w:tcW w:w="640" w:type="dxa"/>
            <w:vAlign w:val="bottom"/>
            <w:tcBorders>
              <w:bottom w:val="single" w:sz="8" w:color="auto"/>
            </w:tcBorders>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80" w:type="dxa"/>
            <w:vAlign w:val="bottom"/>
          </w:tcPr>
          <w:p>
            <w:pPr>
              <w:jc w:val="center"/>
              <w:ind w:left="757"/>
              <w:spacing w:after="0" w:line="153" w:lineRule="exact"/>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tcPr>
          <w:p>
            <w:pPr>
              <w:jc w:val="center"/>
              <w:ind w:left="757"/>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Units</w:t>
            </w:r>
          </w:p>
        </w:tc>
        <w:tc>
          <w:tcPr>
            <w:tcW w:w="660" w:type="dxa"/>
            <w:vAlign w:val="bottom"/>
          </w:tcPr>
          <w:p>
            <w:pPr>
              <w:spacing w:after="0"/>
              <w:rPr>
                <w:sz w:val="12"/>
                <w:szCs w:val="12"/>
                <w:color w:val="auto"/>
              </w:rPr>
            </w:pPr>
          </w:p>
        </w:tc>
        <w:tc>
          <w:tcPr>
            <w:tcW w:w="1780" w:type="dxa"/>
            <w:vAlign w:val="bottom"/>
          </w:tcPr>
          <w:p>
            <w:pPr>
              <w:jc w:val="center"/>
              <w:ind w:left="737"/>
              <w:spacing w:after="0" w:line="149" w:lineRule="exact"/>
              <w:rPr>
                <w:sz w:val="20"/>
                <w:szCs w:val="20"/>
                <w:color w:val="auto"/>
              </w:rPr>
            </w:pPr>
            <w:r>
              <w:rPr>
                <w:rFonts w:ascii="Arial" w:cs="Arial" w:eastAsia="Arial" w:hAnsi="Arial"/>
                <w:sz w:val="14"/>
                <w:szCs w:val="14"/>
                <w:b w:val="1"/>
                <w:bCs w:val="1"/>
                <w:color w:val="auto"/>
                <w:w w:val="99"/>
              </w:rPr>
              <w:t>Grant-Date</w:t>
            </w:r>
          </w:p>
        </w:tc>
        <w:tc>
          <w:tcPr>
            <w:tcW w:w="6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780" w:type="dxa"/>
            <w:vAlign w:val="bottom"/>
          </w:tcPr>
          <w:p>
            <w:pPr>
              <w:jc w:val="center"/>
              <w:ind w:left="757"/>
              <w:spacing w:after="0"/>
              <w:rPr>
                <w:sz w:val="20"/>
                <w:szCs w:val="20"/>
                <w:color w:val="auto"/>
              </w:rPr>
            </w:pPr>
            <w:r>
              <w:rPr>
                <w:rFonts w:ascii="Arial" w:cs="Arial" w:eastAsia="Arial" w:hAnsi="Arial"/>
                <w:sz w:val="14"/>
                <w:szCs w:val="14"/>
                <w:b w:val="1"/>
                <w:bCs w:val="1"/>
                <w:color w:val="auto"/>
                <w:w w:val="98"/>
              </w:rPr>
              <w:t>Fair Value</w:t>
            </w:r>
          </w:p>
        </w:tc>
        <w:tc>
          <w:tcPr>
            <w:tcW w:w="6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780" w:type="dxa"/>
            <w:vAlign w:val="bottom"/>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20.42</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Performance condition adjustments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Released</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780" w:type="dxa"/>
            <w:vAlign w:val="bottom"/>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14.87</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CCEEFF"/>
            </w:tcBorders>
            <w:gridSpan w:val="2"/>
            <w:shd w:val="clear" w:color="auto" w:fill="CCEEFF"/>
          </w:tcPr>
          <w:p>
            <w:pPr>
              <w:jc w:val="right"/>
              <w:ind w:right="2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end of period:</w:t>
            </w:r>
          </w:p>
        </w:tc>
        <w:tc>
          <w:tcPr>
            <w:tcW w:w="15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780" w:type="dxa"/>
            <w:vAlign w:val="bottom"/>
            <w:tcBorders>
              <w:bottom w:val="single" w:sz="8" w:color="CCEEFF"/>
            </w:tcBorders>
          </w:tcPr>
          <w:p>
            <w:pPr>
              <w:jc w:val="right"/>
              <w:ind w:right="137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17.15</w:t>
            </w:r>
          </w:p>
        </w:tc>
        <w:tc>
          <w:tcPr>
            <w:tcW w:w="2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six months ended June 30, 2017, the Compensation Committee modified the awards issued during the transition period ended December 31, 2016 from a one year performance period to a seven month performance period to align the awards with the change in the Company's fiscal year from May 31 to December 31. Accordingly, for the six months ended June 30, 2017, the Compensation Committee approved these transition period PRSUs, which resulted in a reduction of approximately 3,000 units. There was a reduction of approximately 57,000 units to the awards granted in 2017 during the three months ended June 30, 2017.</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2017, the liability related to Discretionary PRSUs was less than $0.1 million and is classified within accrued expenses and other current liabilities on the condensed consolidated balance sheet.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three months ended June 30, 2017 and June 30, 2016, the Company recognized aggregate share-based compensation expense related to the awards described above of approximately $0.5 million and $0.4 million, respectively.</w:t>
      </w:r>
    </w:p>
    <w:p>
      <w:pPr>
        <w:spacing w:after="0" w:line="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six months ended June 30, 2017 and June 30, 2016, the Company recognized aggregate share-based compensation expense related to the awards described above of approximately $0.9 million and $0.8 million, respectively.</w:t>
      </w:r>
    </w:p>
    <w:p>
      <w:pPr>
        <w:spacing w:after="0" w:line="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June 30, 2017, there was $3.2 million of total unrecognized compensation costs related to approximately 294,000 non-vested performance restricted stock units, which are expected to be recognized over a remaining weighted average period of 2.4 years.</w:t>
      </w:r>
    </w:p>
    <w:p>
      <w:pPr>
        <w:spacing w:after="0" w:line="302"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 2016</w:t>
            </w:r>
          </w:p>
        </w:tc>
      </w:tr>
      <w:tr>
        <w:trPr>
          <w:trHeight w:val="162"/>
        </w:trPr>
        <w:tc>
          <w:tcPr>
            <w:tcW w:w="4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28,924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r>
      <w:tr>
        <w:trPr>
          <w:trHeight w:val="284"/>
        </w:trPr>
        <w:tc>
          <w:tcPr>
            <w:tcW w:w="4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6,208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28,437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28,932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28,562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28,924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24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352</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30,083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4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six months ended June 30, 2017, the Company completed one acquisition of a company located in the U.S. that provides NDT, chemical and special processing services.</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this acquisition, the Company acquired assets of the acquiree in exchange for aggregate consideration of $4.5 million in cash, and contingent consideration up to $3.5 million to be earned based upon the acquired business achieving specific performance metrics over the initial three years of operations from the acquisition date. The Company accounted for this transaction in accordance with the acquisition method of accounting for business combinations.</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assets and liabilities of the business acquired in 2017 were included in the Company's condensed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acquired. The results of operations for this acquisition are included in the Services segment's results from the date of acquisition. Goodwill of $3.3 million primarily relates to expected synergies and assembled workforce and is generally deductible for tax purposes. Other intangible assets, primarily related to customer relationships and covenants not to compete, were $2.7 million.</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preliminary purchase price allocations are included in the table below, summarizing the estimated fair value of the assets acquired and liabilities assumed at the date of acquisition: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Number of Entities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7,008</w:t>
            </w:r>
          </w:p>
        </w:tc>
      </w:tr>
      <w:tr>
        <w:trPr>
          <w:trHeight w:val="67"/>
        </w:trPr>
        <w:tc>
          <w:tcPr>
            <w:tcW w:w="96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05"/>
        </w:trPr>
        <w:tc>
          <w:tcPr>
            <w:tcW w:w="96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2,742</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tax asset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7,008</w:t>
            </w:r>
          </w:p>
        </w:tc>
      </w:tr>
      <w:tr>
        <w:trPr>
          <w:trHeight w:val="20"/>
        </w:trPr>
        <w:tc>
          <w:tcPr>
            <w:tcW w:w="9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Revenues and operating income included in the condensed consolidated statement of operations for 2017 from this acquisition for the period subsequent to the closing of this transaction was approximately $2.0 million and $0.2 million, respectively. As this acquisition was immaterial to the Company's 2017 results, no unaudited pro forma financial information has been included in this report.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continuing its review of the fair value estimate of assets acquired and liabilities assumed for one entity acquired in the transition period ended December 31, 2016. This process will conclude as soon as the Company finalizes information regarding facts and circumstances that existed as of the acquisition date. Goodwill and other intangible assets recorded for this entity totaled $2.9 million and $3.2 million, respectively. This measurement period will not exceed one year from acquisition date.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and six months ended June 30, 2017 and 2016:</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tcPr>
          <w:p>
            <w:pPr>
              <w:spacing w:after="0"/>
              <w:rPr>
                <w:sz w:val="22"/>
                <w:szCs w:val="22"/>
                <w:color w:val="auto"/>
              </w:rPr>
            </w:pPr>
          </w:p>
        </w:tc>
        <w:tc>
          <w:tcPr>
            <w:tcW w:w="45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Due diligence, professional fees and other transaction costs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4"/>
              </w:rPr>
              <w:t>Adjustments to fair value of contingent consideration liabilities</w:t>
            </w:r>
          </w:p>
        </w:tc>
        <w:tc>
          <w:tcPr>
            <w:tcW w:w="1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5.</w:t>
            </w:r>
          </w:p>
        </w:tc>
        <w:tc>
          <w:tcPr>
            <w:tcW w:w="454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Accounts Receivable, net</w:t>
            </w: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6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70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June 30,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133,273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(4,052)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129,221</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6.</w:t>
            </w:r>
          </w:p>
        </w:tc>
        <w:tc>
          <w:tcPr>
            <w:tcW w:w="454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b w:val="1"/>
                <w:bCs w:val="1"/>
                <w:color w:val="auto"/>
              </w:rPr>
              <w:t>Property, Plant and Equipment, net</w:t>
            </w:r>
          </w:p>
        </w:tc>
        <w:tc>
          <w:tcPr>
            <w:tcW w:w="1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6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197"/>
              <w:spacing w:after="0"/>
              <w:rPr>
                <w:sz w:val="20"/>
                <w:szCs w:val="20"/>
                <w:color w:val="auto"/>
              </w:rPr>
            </w:pPr>
            <w:r>
              <w:rPr>
                <w:rFonts w:ascii="Arial" w:cs="Arial" w:eastAsia="Arial" w:hAnsi="Arial"/>
                <w:sz w:val="18"/>
                <w:szCs w:val="18"/>
                <w:color w:val="auto"/>
                <w:w w:val="91"/>
              </w:rPr>
              <w:t>30-40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21,864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7"/>
              <w:spacing w:after="0"/>
              <w:rPr>
                <w:sz w:val="20"/>
                <w:szCs w:val="20"/>
                <w:color w:val="auto"/>
              </w:rPr>
            </w:pPr>
            <w:r>
              <w:rPr>
                <w:rFonts w:ascii="Arial" w:cs="Arial" w:eastAsia="Arial" w:hAnsi="Arial"/>
                <w:sz w:val="18"/>
                <w:szCs w:val="18"/>
                <w:color w:val="auto"/>
                <w:w w:val="92"/>
              </w:rPr>
              <w:t>5-8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217"/>
              <w:spacing w:after="0"/>
              <w:rPr>
                <w:sz w:val="20"/>
                <w:szCs w:val="20"/>
                <w:color w:val="auto"/>
              </w:rPr>
            </w:pPr>
            <w:r>
              <w:rPr>
                <w:rFonts w:ascii="Arial" w:cs="Arial" w:eastAsia="Arial" w:hAnsi="Arial"/>
                <w:sz w:val="18"/>
                <w:szCs w:val="18"/>
                <w:color w:val="auto"/>
                <w:w w:val="92"/>
              </w:rPr>
              <w:t>5-7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176,173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166,423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213,265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199,972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(126,823)</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76,218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June 30, 2017 and June 30, 2016 was $5.6 million and $6.2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six months ended June 30, 2017 and June 30, 2016 was $11.1 million and $11.8 million, respectively.</w:t>
      </w:r>
    </w:p>
    <w:p>
      <w:pPr>
        <w:spacing w:after="0" w:line="200" w:lineRule="exact"/>
        <w:rPr>
          <w:sz w:val="20"/>
          <w:szCs w:val="20"/>
          <w:color w:val="auto"/>
        </w:rPr>
      </w:pPr>
    </w:p>
    <w:p>
      <w:pPr>
        <w:spacing w:after="0" w:line="23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Products and Systems</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169,940</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3,326</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3,102</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127,048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35,986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176,231</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As of June 30, 2017, the Company did not identify any changes in circumstances that would indicate the carrying value of goodwill may not be recoverable.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cumulative goodwill impairment as of June 30, 2017 and December 31, 2016 was $9.9 million, which is within its International segment.</w:t>
      </w:r>
    </w:p>
    <w:p>
      <w:pPr>
        <w:spacing w:after="0" w:line="233"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2017</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81,559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31,142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18,902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7,385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124,178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40,503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118,096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June 30, 2017 and June 30, 2016 was $2.3 million and $2.4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six months ended June 30, 2017 and June 30, 2016 was $4.4 million and $4.8 million, respectively.</w:t>
      </w:r>
    </w:p>
    <w:p>
      <w:pPr>
        <w:spacing w:after="0" w:line="221"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2016</w:t>
            </w:r>
          </w:p>
        </w:tc>
      </w:tr>
      <w:tr>
        <w:trPr>
          <w:trHeight w:val="162"/>
        </w:trPr>
        <w:tc>
          <w:tcPr>
            <w:tcW w:w="79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1,826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3,743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16,181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17,015</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58,697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560" w:type="dxa"/>
            <w:vAlign w:val="bottom"/>
          </w:tcPr>
          <w:p>
            <w:pPr>
              <w:ind w:left="1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73"/>
        </w:trPr>
        <w:tc>
          <w:tcPr>
            <w:tcW w:w="812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5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r>
      <w:tr>
        <w:trPr>
          <w:trHeight w:val="175"/>
        </w:trPr>
        <w:tc>
          <w:tcPr>
            <w:tcW w:w="56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82,776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320</w:t>
            </w:r>
          </w:p>
        </w:tc>
      </w:tr>
      <w:tr>
        <w:trPr>
          <w:trHeight w:val="27"/>
        </w:trPr>
        <w:tc>
          <w:tcPr>
            <w:tcW w:w="56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5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4,200</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101,660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87,296</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5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99,544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85,917</w:t>
            </w:r>
          </w:p>
        </w:tc>
      </w:tr>
      <w:tr>
        <w:trPr>
          <w:trHeight w:val="20"/>
        </w:trPr>
        <w:tc>
          <w:tcPr>
            <w:tcW w:w="5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Company's revolving credit agreement with its banking group ("Credit Agreement") provides the Company with a $175.0 million revolving line of credit, which, under certain circumstances, can be increased to $225.0 million. The Company may borrow up to $30.0 million in non-U.S. Dollar currencies and use up to $10.0 million of the credit limit for the issuance of letters of credit. The Credit Agreement has a maturity date of October 30, 2019. As of June 30, 2017, the Company had borrowings of $93.9 million and a total of $5.6 million of letters of credit outstanding under the Credit Agreement.</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defined as the ratio of</w:t>
      </w:r>
    </w:p>
    <w:p>
      <w:pPr>
        <w:ind w:right="120" w:firstLine="8"/>
        <w:spacing w:after="0" w:line="281"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60"/>
        <w:spacing w:after="0" w:line="270"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17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3.25 to 1 and an Interest Coverage Ratio of at least 3.0 to 1. Interest Coverage Ratio is defined as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June 30, 2017,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2.7% as of June 30, 2017. Interest expense is recorded in the condensed consolidated statements of income.</w:t>
      </w:r>
    </w:p>
    <w:p>
      <w:pPr>
        <w:spacing w:after="0" w:line="39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tcPr>
          <w:p>
            <w:pPr>
              <w:jc w:val="right"/>
              <w:ind w:right="454"/>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9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June 30, 2017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3,094</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Payments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Revaluation</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4,445</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2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59"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settled a consolidated purported class and collective action that resulted from the consolidation of two cases originally filed in California state court in April 2015. In connection with the settlement, the Company recorded a pre-tax charge of $6.3 million during the three months ended June 30, 2016 and paid the settlement in February 2017.</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is a defendant in the lawsuit </w:t>
      </w:r>
      <w:r>
        <w:rPr>
          <w:rFonts w:ascii="Arial" w:cs="Arial" w:eastAsia="Arial" w:hAnsi="Arial"/>
          <w:sz w:val="18"/>
          <w:szCs w:val="18"/>
          <w:i w:val="1"/>
          <w:iCs w:val="1"/>
          <w:color w:val="auto"/>
        </w:rPr>
        <w:t>AGL Services Company v. Mistras Group, Inc.,</w:t>
      </w:r>
      <w:r>
        <w:rPr>
          <w:rFonts w:ascii="Arial" w:cs="Arial" w:eastAsia="Arial" w:hAnsi="Arial"/>
          <w:sz w:val="18"/>
          <w:szCs w:val="18"/>
          <w:color w:val="auto"/>
        </w:rPr>
        <w:t xml:space="preserve"> pending in U.S. District Court for the Northern District of Georgia, filed November 2016. The case involves radiography work performed by the Company in 2013 on the construction of a pipeline project in the U.S. The owner of the pipeline project has claimed damages of approximately $6 million and contends that certain of the radiography images the Company’s technicians prepared regarding the project did not meet the code quality interpretation standards required by the American Petroleum Institute. The Company is currently unable to determine the likely outcome or reasonably estimate the amount or range of potential liability related to this matter, and accordingly, has not established any reserves for this matter.</w:t>
      </w:r>
    </w:p>
    <w:p>
      <w:pPr>
        <w:spacing w:after="0" w:line="19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purchased by the Company’s French subsidiary. The former owner received a judgment in his favor in the amount of approximately $0.4 million. The judgment is being appealed, but the Company recorded a reserve for the full amount of the judgment during the three months ended June 30, 2016.</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The Company is a defendant in a lawsuit, </w:t>
      </w:r>
      <w:r>
        <w:rPr>
          <w:rFonts w:ascii="Arial" w:cs="Arial" w:eastAsia="Arial" w:hAnsi="Arial"/>
          <w:sz w:val="18"/>
          <w:szCs w:val="18"/>
          <w:i w:val="1"/>
          <w:iCs w:val="1"/>
          <w:color w:val="auto"/>
        </w:rPr>
        <w:t>Triumph Aerostructures, LLC d/b/a Triumph Aerostructures-Vought Aircraft Division v. Mistras Group, Inc</w:t>
      </w:r>
      <w:r>
        <w:rPr>
          <w:rFonts w:ascii="Arial" w:cs="Arial" w:eastAsia="Arial" w:hAnsi="Arial"/>
          <w:sz w:val="18"/>
          <w:szCs w:val="18"/>
          <w:color w:val="auto"/>
        </w:rPr>
        <w:t>., pending in Texas State district court, 193rd Judicial District, Dallas County, Texas, filed September 2016. The plaintiff alleges Mistras delivered a defective Ultrasonic inspection system in 2014 and is alleging damages of approximately $2.3 million. The Company is currently unable to determine the likely outcome or reasonably estimate the amount or range of potential liability related to this matter, and accordingly, has not established any reserves for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June 30, 2017, total potential acquisition-related contingent consideration ranged from zero to approximately $17.7 million and would be payable upon the achievement of specific performance metrics by certain of the acquired companies over the next 2.8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80" w:hanging="484"/>
        <w:spacing w:after="0" w:line="312" w:lineRule="auto"/>
        <w:tabs>
          <w:tab w:leader="none" w:pos="897"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This segment provides asset protection solutions primarily in North America with the largest concentration in the United States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Canadian services business, consisting primarily of non-destructive testing and inspection, mechanical and engineering services that are used to evaluate and maintain the structural integrity and reliability of critical energy, industrial and public infrastructure.</w:t>
      </w:r>
    </w:p>
    <w:p>
      <w:pPr>
        <w:spacing w:after="0" w:line="146" w:lineRule="exact"/>
        <w:rPr>
          <w:rFonts w:ascii="Arial" w:cs="Arial" w:eastAsia="Arial" w:hAnsi="Arial"/>
          <w:sz w:val="16"/>
          <w:szCs w:val="16"/>
          <w:i w:val="1"/>
          <w:iCs w:val="1"/>
          <w:color w:val="auto"/>
        </w:rPr>
      </w:pPr>
    </w:p>
    <w:p>
      <w:pPr>
        <w:ind w:left="1140" w:right="80" w:hanging="484"/>
        <w:spacing w:after="0" w:line="264" w:lineRule="auto"/>
        <w:tabs>
          <w:tab w:leader="none" w:pos="89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2" w:right="25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40" w:right="380" w:hanging="484"/>
        <w:spacing w:after="0" w:line="277" w:lineRule="auto"/>
        <w:tabs>
          <w:tab w:leader="none" w:pos="897"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133"/>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134,043</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267,936</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36,373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68,160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67,353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13,148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(2,642)</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170,439</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178,340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345,795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June 30, 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68,948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8,828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11,867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20,540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5,789</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89,496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95,505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18,711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3,174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(6,047)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(11,154)</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3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10,485</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4"/>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2016</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6,084</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2,043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3,922</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8,626</w:t>
            </w: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5"/>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19,550</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14,299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14,139</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5,482</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40,007</w:t>
            </w:r>
          </w:p>
        </w:tc>
        <w:tc>
          <w:tcPr>
            <w:tcW w:w="20" w:type="dxa"/>
            <w:vAlign w:val="bottom"/>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2016</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295,731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291,539</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144,303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130,427</w:t>
            </w:r>
          </w:p>
        </w:tc>
        <w:tc>
          <w:tcPr>
            <w:tcW w:w="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28,964</w:t>
            </w:r>
          </w:p>
        </w:tc>
        <w:tc>
          <w:tcPr>
            <w:tcW w:w="20" w:type="dxa"/>
            <w:vAlign w:val="bottom"/>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12,233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18,497</w:t>
            </w:r>
          </w:p>
        </w:tc>
        <w:tc>
          <w:tcPr>
            <w:tcW w:w="2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481,227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469,427</w:t>
            </w:r>
          </w:p>
        </w:tc>
        <w:tc>
          <w:tcPr>
            <w:tcW w:w="20" w:type="dxa"/>
            <w:vAlign w:val="bottom"/>
          </w:tcPr>
          <w:p>
            <w:pPr>
              <w:spacing w:after="0"/>
              <w:rPr>
                <w:sz w:val="22"/>
                <w:szCs w:val="22"/>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six months ended June 30, 2017 and 2016,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22"/>
                <w:szCs w:val="22"/>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June 30, 2016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244,935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17,105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33,368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31,888</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60,138</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8,834</w:t>
            </w:r>
          </w:p>
        </w:tc>
      </w:tr>
      <w:tr>
        <w:trPr>
          <w:trHeight w:val="27"/>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170,439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178,340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345,795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55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Repurchase of Common Stock</w:t>
      </w:r>
    </w:p>
    <w:p>
      <w:pPr>
        <w:spacing w:after="0" w:line="229" w:lineRule="exact"/>
        <w:rPr>
          <w:sz w:val="20"/>
          <w:szCs w:val="20"/>
          <w:color w:val="auto"/>
        </w:rPr>
      </w:pPr>
    </w:p>
    <w:p>
      <w:pPr>
        <w:jc w:val="both"/>
        <w:ind w:right="2280"/>
        <w:spacing w:after="0" w:line="288" w:lineRule="auto"/>
        <w:rPr>
          <w:sz w:val="20"/>
          <w:szCs w:val="20"/>
          <w:color w:val="auto"/>
        </w:rPr>
      </w:pPr>
      <w:r>
        <w:rPr>
          <w:rFonts w:ascii="Arial" w:cs="Arial" w:eastAsia="Arial" w:hAnsi="Arial"/>
          <w:sz w:val="16"/>
          <w:szCs w:val="16"/>
          <w:color w:val="auto"/>
        </w:rPr>
        <w:t>On October 7, 2015, the Company's Board of Directors approved a $50 million stock repurchase plan. As part of this plan, on August 17, 2016, the Company entered into an agreement with its CEO, Dr. Sotirios Vahaviolos, to purchase up to 1 million of his shares, commencing in October 2016. Pursuant to the agreement, in general, the Company will purchase from Dr.</w:t>
      </w:r>
    </w:p>
    <w:p>
      <w:pPr>
        <w:ind w:right="20"/>
        <w:spacing w:after="0" w:line="252" w:lineRule="auto"/>
        <w:rPr>
          <w:sz w:val="20"/>
          <w:szCs w:val="20"/>
          <w:color w:val="auto"/>
        </w:rPr>
      </w:pPr>
      <w:r>
        <w:rPr>
          <w:rFonts w:ascii="Arial" w:cs="Arial" w:eastAsia="Arial" w:hAnsi="Arial"/>
          <w:sz w:val="18"/>
          <w:szCs w:val="18"/>
          <w:color w:val="auto"/>
        </w:rPr>
        <w:t xml:space="preserve">Vahaviolos up to $2 million of shares each month, at a 2% discount to the average daily closing price of the Company's common stock for the preceding month. During the six months ended June 30, 2017, the Company purchased approximately 541,000 shares from Dr. Vahaviolos at an average price of $22.20 per share and an aggregate cost of $12.0 million. From the inception of the plan through June 30, 2017, the Company has purchased approximately 815,000 shares from Dr. Vahaviolos at an average price of $22.10 per share for an aggregate cost of $18.0 million and approximately 146,000 shares in the open market at an average price of $20.48 per share for an aggregate cost of approximately $3.0 million. All such repurchased shares are classified as </w:t>
      </w:r>
      <w:r>
        <w:rPr>
          <w:rFonts w:ascii="Arial" w:cs="Arial" w:eastAsia="Arial" w:hAnsi="Arial"/>
          <w:sz w:val="18"/>
          <w:szCs w:val="18"/>
          <w:i w:val="1"/>
          <w:iCs w:val="1"/>
          <w:color w:val="auto"/>
        </w:rPr>
        <w:t>Treasury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w:t>
      </w:r>
      <w:r>
        <w:rPr>
          <w:rFonts w:ascii="Arial" w:cs="Arial" w:eastAsia="Arial" w:hAnsi="Arial"/>
          <w:sz w:val="18"/>
          <w:szCs w:val="18"/>
          <w:color w:val="auto"/>
        </w:rPr>
        <w:t>on the condensed consolidated balance sheet. As of June 30, 2017, approximately $29.0 million remained available to repurchase shares under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Subsequent to June 30, 2017, the Company completed an acquisition of a business, located in Canada, that provides maintenance and mechanical services via rope access to the industrial sector, for $3.9 million in cash upon closing. In addition to the cash consideration, the acquisition provides for possible contingent consideration of up to $2.3 million to be earned based upon the achievement of specific performance metrics over the next three years of operation. The Company is in the process of completing the preliminary purchase price allocation. The acquisition was not significant and no pro forma information has been included in this quarterly report on Form 10-Q.</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six months ended June 30, 2017 and June 30, 2016. The MD&amp;A should be read together with our condensed consolidated financial statements and related notes included in Item 1 in this Quarterly Report on Form 10-Q and our audited consolidated financial statements and related notes included in our Transition Report on Form 10-K for the transition period ended December 31, 2016, filed March 20, 2017 (“2016 Transition Report”).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Factors” sections of our 2016 Transition Report as well as those discussed this Quarterly Report on Form 10-Q and in our other filings with the Securities and Exchange Commission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79" w:lineRule="exact"/>
        <w:rPr>
          <w:sz w:val="20"/>
          <w:szCs w:val="20"/>
          <w:color w:val="auto"/>
        </w:rPr>
      </w:pPr>
    </w:p>
    <w:p>
      <w:pPr>
        <w:ind w:left="740" w:right="20" w:hanging="246"/>
        <w:spacing w:after="0" w:line="264" w:lineRule="auto"/>
        <w:tabs>
          <w:tab w:leader="none" w:pos="7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NDT, inspection, mechanical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40" w:hanging="246"/>
        <w:spacing w:after="0" w:line="342" w:lineRule="auto"/>
        <w:tabs>
          <w:tab w:leader="none" w:pos="7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i w:val="1"/>
          <w:iCs w:val="1"/>
          <w:color w:val="auto"/>
        </w:rPr>
      </w:pPr>
    </w:p>
    <w:p>
      <w:pPr>
        <w:ind w:left="740" w:right="20" w:hanging="246"/>
        <w:spacing w:after="0" w:line="277" w:lineRule="auto"/>
        <w:tabs>
          <w:tab w:leader="none" w:pos="7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provide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We have established long-term relationships as a critical solutions provider to many of the leading companies in our target markets.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focused on introducing our advanced asset protection solutions to our customers using proprietary, technology-enabled software and testing instruments, including those developed by our Products and Systems segment. We have made a number of acquisitions in an effort to grow our base of experienced, certified personnel, expand our product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Demand for outsourced asset protection solutions has generally increased over the last ten years, creating demand from which our entire industry has benefited. We believe continued growth can be realized in all of our target markets. However, current market conditions are soft, driven by lower oil prices which have caused many of the Company’s customers to curtail spending for our services and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six months ended June 30, 2017 and June 30, 2016 were as follows: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1"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10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10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6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170,439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178,340</w:t>
            </w:r>
          </w:p>
        </w:tc>
        <w:tc>
          <w:tcPr>
            <w:tcW w:w="10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333,757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345,795</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46,343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51,535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89,496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95,505</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41,340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46,695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81,243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85,020</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10,485</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1,440</w:t>
            </w:r>
          </w:p>
        </w:tc>
      </w:tr>
      <w:tr>
        <w:trPr>
          <w:trHeight w:val="27"/>
        </w:trPr>
        <w:tc>
          <w:tcPr>
            <w:tcW w:w="10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9,045</w:t>
            </w: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2,825</w:t>
            </w:r>
          </w:p>
        </w:tc>
      </w:tr>
      <w:tr>
        <w:trPr>
          <w:trHeight w:val="27"/>
        </w:trPr>
        <w:tc>
          <w:tcPr>
            <w:tcW w:w="10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6,220</w:t>
            </w:r>
          </w:p>
        </w:tc>
      </w:tr>
      <w:tr>
        <w:trPr>
          <w:trHeight w:val="229"/>
        </w:trPr>
        <w:tc>
          <w:tcPr>
            <w:tcW w:w="4500" w:type="dxa"/>
            <w:vAlign w:val="bottom"/>
            <w:gridSpan w:val="2"/>
          </w:tcPr>
          <w:p>
            <w:pPr>
              <w:ind w:left="180"/>
              <w:spacing w:after="0"/>
              <w:rPr>
                <w:sz w:val="20"/>
                <w:szCs w:val="20"/>
                <w:color w:val="auto"/>
              </w:rPr>
            </w:pPr>
            <w:r>
              <w:rPr>
                <w:rFonts w:ascii="Arial" w:cs="Arial" w:eastAsia="Arial" w:hAnsi="Arial"/>
                <w:sz w:val="18"/>
                <w:szCs w:val="18"/>
                <w:color w:val="auto"/>
                <w:w w:val="95"/>
              </w:rPr>
              <w:t>Less: net income attributable to non-controlling interests,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net of taxes</w:t>
            </w:r>
          </w:p>
        </w:tc>
        <w:tc>
          <w:tcPr>
            <w:tcW w:w="300" w:type="dxa"/>
            <w:vAlign w:val="bottom"/>
          </w:tcPr>
          <w:p>
            <w:pPr>
              <w:spacing w:after="0"/>
              <w:rPr>
                <w:sz w:val="20"/>
                <w:szCs w:val="20"/>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4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3,909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6,208</w:t>
            </w:r>
          </w:p>
        </w:tc>
      </w:tr>
      <w:tr>
        <w:trPr>
          <w:trHeight w:val="20"/>
        </w:trPr>
        <w:tc>
          <w:tcPr>
            <w:tcW w:w="10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this MD&amp;A under the heading "Income from Operations", the non-GAAP financial performance measure "Income before special items” is used for each of our three segments, the Corporate segment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and (c) non-recurring items. These items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believe investors and other users of our financial statements benefit from the presentation of "Income before special items" in evaluating our performance. Income before special items provides an additional tool to compare our core business operating performance on a consistent basis and measure underlying trends and results in our business. Income before special items is not used to determine incentive compensation for executives or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Revenues for the three months ended June 30, 2017 were $170.4 million, a decrease of $7.9 million, or 4%, compared with the three months ended June 30, 2016. Revenues for the six months ended June 30, 2017 were $333.8 million, a decrease of $12.0 million, or 3%, compared with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six months ended June 30, 2017 and June 30, 2016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8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 in thousands)</w:t>
            </w:r>
          </w:p>
        </w:tc>
        <w:tc>
          <w:tcPr>
            <w:tcW w:w="220" w:type="dxa"/>
            <w:vAlign w:val="bottom"/>
          </w:tcPr>
          <w:p>
            <w:pPr>
              <w:spacing w:after="0"/>
              <w:rPr>
                <w:sz w:val="21"/>
                <w:szCs w:val="21"/>
                <w:color w:val="auto"/>
              </w:rPr>
            </w:pPr>
          </w:p>
        </w:tc>
        <w:tc>
          <w:tcPr>
            <w:tcW w:w="296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134,043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136,358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260,372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267,936</w:t>
            </w: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67,353</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6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13,148</w:t>
            </w: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r>
      <w:tr>
        <w:trPr>
          <w:trHeight w:val="237"/>
        </w:trPr>
        <w:tc>
          <w:tcPr>
            <w:tcW w:w="48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170,439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178,340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333,757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345,795</w:t>
            </w:r>
          </w:p>
        </w:tc>
      </w:tr>
      <w:tr>
        <w:trPr>
          <w:trHeight w:val="27"/>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ectPr>
          <w:pgSz w:w="11900" w:h="16838" w:orient="portrait"/>
          <w:cols w:equalWidth="0" w:num="1">
            <w:col w:w="11420"/>
          </w:cols>
          <w:pgMar w:left="240" w:top="11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4"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three months ended June 30, 2017, Services segment revenues decreased 2% due to a combination of mid-single digit organic decline, offset by low single digit acquisition growth. International segment revenues decreased 7%, driven by low single digit organic and foreign exchange rate declines. Products and Systems segment revenues decreased by 21% driven by lower sales volume.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and gas customer revenues were a primary driver for the decline in total revenues for the three months ended June 30, 2017 as compared with the three months ended June 30, 2016. Oil and gas customer revenues comprised approximately 57% of total Company revenues for both periods. The Company’s top ten customers comprised approximately 40% of total revenues for the three months ended June 30, 2017 from 38% for the three months ended June 30, 2016. One customer, BP plc., accounted for approximately 12% of total revenues for both the three months ended June 30, 2017 and three months ended June 30,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six months ended June 30, 2017, Services segment revenues decreased 3%, as mid-single digit organic decline more than offset low single digit acquisition growth. International segment revenues increased 1%, as mid-single digit organic growth slightly more than offset a low single digit unfavorable impact of foreign exchange rates. Products segment revenues decreased 19% due to lower sales volume.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and gas customer revenues were a primary driver for the decline in total revenues for the six months ended June 30, 2017 as compared with the six months ended June 30, 2016. Oil and gas revenues comprised approximately 58% of total Company revenues for both periods. The Company’s top ten customers comprised approximately 41% and 39% of total revenues for the six month periods ended June 30, 2017 and June 30, 2016, respectively. One customer, BP plc., accounted for approximately 12% of our total revenues for the six months ended June 30, 2017 and 11% for the six months ended June 30,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profit decreased by $5.2 million, or 10%, in the three months ended June 30, 2017, on a sales decline of 4%. During the six month period ended June 30, 2017, gross profit had a year-on-year decrease of $6.0 million, or 6%, on a sales decline of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six months ended June 30, 2017 and June 30, 2016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4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 in thousands)</w:t>
            </w:r>
          </w:p>
        </w:tc>
        <w:tc>
          <w:tcPr>
            <w:tcW w:w="260" w:type="dxa"/>
            <w:vAlign w:val="bottom"/>
          </w:tcPr>
          <w:p>
            <w:pPr>
              <w:spacing w:after="0"/>
              <w:rPr>
                <w:sz w:val="21"/>
                <w:szCs w:val="21"/>
                <w:color w:val="auto"/>
              </w:rPr>
            </w:pPr>
          </w:p>
        </w:tc>
        <w:tc>
          <w:tcPr>
            <w:tcW w:w="3120" w:type="dxa"/>
            <w:vAlign w:val="bottom"/>
            <w:gridSpan w:val="4"/>
          </w:tcPr>
          <w:p>
            <w:pPr>
              <w:jc w:val="right"/>
              <w:ind w:right="1112"/>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35,490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36,490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65,703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68,948</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11,867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19,288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20,540</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Products and Systems</w:t>
            </w:r>
          </w:p>
        </w:tc>
        <w:tc>
          <w:tcPr>
            <w:tcW w:w="28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5,789</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43"/>
        </w:trPr>
        <w:tc>
          <w:tcPr>
            <w:tcW w:w="4060" w:type="dxa"/>
            <w:vAlign w:val="bottom"/>
          </w:tcPr>
          <w:p>
            <w:pPr>
              <w:ind w:left="140"/>
              <w:spacing w:after="0"/>
              <w:rPr>
                <w:sz w:val="20"/>
                <w:szCs w:val="20"/>
                <w:color w:val="auto"/>
              </w:rPr>
            </w:pPr>
            <w:r>
              <w:rPr>
                <w:rFonts w:ascii="Arial" w:cs="Arial" w:eastAsia="Arial" w:hAnsi="Arial"/>
                <w:sz w:val="18"/>
                <w:szCs w:val="18"/>
                <w:color w:val="auto"/>
              </w:rPr>
              <w:t>Corporate and eliminations</w:t>
            </w:r>
          </w:p>
        </w:tc>
        <w:tc>
          <w:tcPr>
            <w:tcW w:w="28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228</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46,343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51,535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89,496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95,505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060" w:type="dxa"/>
            <w:vAlign w:val="bottom"/>
          </w:tcPr>
          <w:p>
            <w:pPr>
              <w:ind w:left="280"/>
              <w:spacing w:after="0"/>
              <w:rPr>
                <w:sz w:val="20"/>
                <w:szCs w:val="20"/>
                <w:color w:val="auto"/>
              </w:rPr>
            </w:pPr>
            <w:r>
              <w:rPr>
                <w:rFonts w:ascii="Arial" w:cs="Arial" w:eastAsia="Arial" w:hAnsi="Arial"/>
                <w:sz w:val="18"/>
                <w:szCs w:val="18"/>
                <w:i w:val="1"/>
                <w:iCs w:val="1"/>
                <w:color w:val="auto"/>
              </w:rPr>
              <w:t>% of total revenue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a percentage of revenues, gross profit was 27.2% and 28.9% for the three month periods ended June 30, 2017 and 2016, respectively. Services segment gross profit margins decreased to 26.5% in the three months ended June 30, 2017 compared to 26.8% in the three months ended June 30, 2016. The 30 basis point decrease was primarily driven by lower sales levels. International segment gross margins decreased to 26.0% in the three months ended June 30, 2017 compared with 32.6% in the three months ended June 30, 2016. The 660 basis point decrease was driven by lower utilization of technical labor and overhead as well as a less favorable sales mix. Products and Systems segment gross margin declined by 870 basis points for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June 30, 2017 to 38.5% compared with 47.2% in the three months ended June 30, 2016, driven by lower sales volumes.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percentage of revenues, gross profit was 26.8% and 27.6% for the six months ended June 30, 2017 and 2016, respectively. Services segment gross profit margins decreased to 25.2% in the six months ended June 30, 2017 compared to 25.7% in the six months ended June 30, 2016. The 50 basis point decrease was primarily driven by lower sales levels and a less favorable sales mix. International segment gross margins decreased to 28.3% in the six months ended June 30, 2017 compared to 30.5% in the six months ended June 30, 2016. The 220 basis point decrease was primarily driven by lower utilization of technical labor and overhead, as well as a less favorable sales mix. Products and Systems segment gross margin decreased by 120 basis points for the six months ended June 30, 2017 to 42.8% compared with 44.0% in the six months ended June 30, 2016, driven by lower sales volumes.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to income before special items for each of the Company's three segments and for the Company in total:</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2017</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0"/>
              </w:rPr>
              <w:t>June 30, 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12,132</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7,372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19,513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18,711</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Income before special items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12,770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24,563</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3,174</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before special items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Loss before special items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(11,154)</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Loss before special items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(11,106)</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04"/>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5,003</w:t>
            </w: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4,840</w:t>
            </w: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10,485</w:t>
            </w: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6,320</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8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57"/>
        </w:trPr>
        <w:tc>
          <w:tcPr>
            <w:tcW w:w="4460" w:type="dxa"/>
            <w:vAlign w:val="bottom"/>
          </w:tcPr>
          <w:p>
            <w:pPr>
              <w:ind w:left="180"/>
              <w:spacing w:after="0"/>
              <w:rPr>
                <w:sz w:val="20"/>
                <w:szCs w:val="20"/>
                <w:color w:val="auto"/>
              </w:rPr>
            </w:pPr>
            <w:r>
              <w:rPr>
                <w:rFonts w:ascii="Arial" w:cs="Arial" w:eastAsia="Arial" w:hAnsi="Arial"/>
                <w:sz w:val="18"/>
                <w:szCs w:val="18"/>
                <w:color w:val="auto"/>
              </w:rPr>
              <w:t>Income before special items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5,705</w:t>
            </w: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11,503</w:t>
            </w:r>
          </w:p>
        </w:tc>
        <w:tc>
          <w:tcPr>
            <w:tcW w:w="3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9,641</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17,049</w:t>
            </w:r>
          </w:p>
        </w:tc>
      </w:tr>
      <w:tr>
        <w:trPr>
          <w:trHeight w:val="20"/>
        </w:trPr>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three months ended June 30, 2017, income from operations (GAAP) increased $0.2 million, or 3%, compared with the three months ended June 30, 2016, while income before special items (non-GAAP) decreased $5.8 million, or 50%. As a percentage of revenues, income before special items declined by 320 basis points to 3.3% in the three months ended June 30, 2017 from 6.5% in the three months ended June 30, 2016.</w:t>
      </w:r>
    </w:p>
    <w:p>
      <w:pPr>
        <w:spacing w:after="0" w:line="2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expenses decreased $5.4 million during the three months ended June 30, 2017, driven primarily by the absence of a $6.3 million legal settlement that occurred during the three months ended June 30, 2016 (See Note 12).</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six months ended June 30, 2017, income from operations (GAAP) decreased $2.2 million, or 21% compared with the prior year, and income before special items (non-GAAP) decreased $7.4 million, or 43%. As a percentage of revenues, income before special items decreased by 200 basis points to 2.9% in the six months ended June 30, 2017 from 4.9% in the six months ended June 30, 2016.</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expenses decreased $3.8 million during the six months ended June 30, 2017, driven primarily by the absence of a $6.3 million legal settlement that occurred during the six months ended June 30, 2016 (See Note 12), offset in part by $1.5 million of additional operating expenses pertaining to Services segment acquisitions, and $1.3 million of Corporate segment expenses, primarily professional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expense was approximately $1.0 million and $0.3 million for the three months ended June 30, 2017 and 2016, respectively, and $2.0 million and $1.4 million for the six months ended June 30, 2017 and 2016. The increase was due to borrowings from the Company's revolving line of credit under its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Company’s effective income tax rate was approximately 44% and 39% for the three months ended June 30, 2017 and 2016, respectively. The Company's effective tax rate was approximately 37% and 31% for the six months ended June 30, 2017 and 2016, respectively. The 2017 increases were primarily due to the impact of discrete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2016</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37,778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(21,951)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8,843</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six months ended June 30, 2017, cash provided by operating activities was $23.0 million, representing a year-on-year decrease of $14.8 million, or 39%. The decrease was primarily attributable to movements in working capital, including the 2017 payment of a $6.3 million legal settlement and the timing of collections.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During the six months ended June 30, 2017, cash used in investing activities was $14.2 million, compared with a cash outflow of $7.4 million in the comparable period of the prior year. The first six months of 2017 included increased outflows of $4.5 million related to acquisitions and $2.9 million for capital expenditures, as the Company was in the midst of its French build-out to service an important new customer contract.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used in financing activities was $2.7 million for the six months ended June 30, 2017. The Company borrowed $10.7 million, net, on its Credit Agreement, to purchase $12.0 million of treasury stock and $4.5 million to fund an acquisition. For the comparable period in 2016, net cash used in financing activities was $22.0 million, of which $20.2 million was to reduce its debt and capital lease obligations.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increase of $1.6 million in the first six months of 2017, compared to a $0.4 million increase for the first six months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2016 Transition Report under the Section “Liquidity and Capital Resources”, under the heading “Cash Balance and Credit Facility Borrowings,” and Note 10 -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2017, we had cash and cash equivalents totaling $26.8 million and available borrowing capacity of $75.5 million under our Credit Agreement with borrowings of $93.9 million and $5.6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2017,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significant changes in our contractual obligations and outstanding indebtedness as disclosed in the 2016 Transition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June 30, 2017,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 The company evaluated whether the reduced profitability in the Products and Systems reporting unit for the three months ended June 30, 2017 was indicative of an impairment of the reporting unit's goodwill. In light of certain pending contract bids which management assesses as having a reasonable chance of success, together with the expected profitability which those contracts are expected to yield, the Company determined that it is not more likely than not that the fair value of the Products and Systems reporting unit is less than its carrying amount as of June 30, 2017.</w:t>
      </w:r>
    </w:p>
    <w:p>
      <w:pPr>
        <w:spacing w:after="0" w:line="19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Other than the above referenced item, there have been no significant changes to our critical accounting policies and estimates from the information provided in Item 7, “Management’s Discussion and Analysis of Financial Condition and Results of Operations,” included in the 2016 Transition Report.</w:t>
      </w:r>
    </w:p>
    <w:p>
      <w:pPr>
        <w:spacing w:after="0" w:line="12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2016 Transition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June 30, 2017,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be disclosed by the Company in the reports it files or submits under the Exchange Act is recorded, processed, summarized and reported within the time periods specified in SEC rules and 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June 30, 2017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2016 Transition Report.</w:t>
      </w:r>
    </w:p>
    <w:p>
      <w:pPr>
        <w:spacing w:after="0" w:line="2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risk factors discussed under the “Risk Factors” section included in our 2016 Transition Report. There have been no material changes to the risk factors previously disclosed in the 2016 Transition Report.</w:t>
      </w:r>
    </w:p>
    <w:p>
      <w:pPr>
        <w:spacing w:after="0" w:line="33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sets forth the shares of our common stock we acquired during the quarter pursuant to our publicly announced share repurchase plan and as a result of the surrender of shares by employees to satisfy tax withholding obligations in connection with the vesting of restricted stock units.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760" w:type="dxa"/>
            <w:vAlign w:val="bottom"/>
            <w:gridSpan w:val="2"/>
            <w:vMerge w:val="restart"/>
          </w:tcPr>
          <w:p>
            <w:pPr>
              <w:jc w:val="center"/>
              <w:ind w:left="37"/>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700" w:type="dxa"/>
            <w:vAlign w:val="bottom"/>
            <w:vMerge w:val="continue"/>
          </w:tcPr>
          <w:p>
            <w:pPr>
              <w:spacing w:after="0"/>
              <w:rPr>
                <w:sz w:val="16"/>
                <w:szCs w:val="16"/>
                <w:color w:val="auto"/>
              </w:rPr>
            </w:pPr>
          </w:p>
        </w:tc>
        <w:tc>
          <w:tcPr>
            <w:tcW w:w="2760" w:type="dxa"/>
            <w:vAlign w:val="bottom"/>
            <w:gridSpan w:val="2"/>
          </w:tcPr>
          <w:p>
            <w:pPr>
              <w:jc w:val="center"/>
              <w:ind w:left="37"/>
              <w:spacing w:after="0"/>
              <w:rPr>
                <w:sz w:val="20"/>
                <w:szCs w:val="20"/>
                <w:color w:val="auto"/>
              </w:rPr>
            </w:pPr>
            <w:r>
              <w:rPr>
                <w:rFonts w:ascii="Arial" w:cs="Arial" w:eastAsia="Arial" w:hAnsi="Arial"/>
                <w:sz w:val="14"/>
                <w:szCs w:val="14"/>
                <w:b w:val="1"/>
                <w:bCs w:val="1"/>
                <w:color w:val="auto"/>
                <w:w w:val="90"/>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(1)</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1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30, 2017</w:t>
            </w:r>
          </w:p>
        </w:tc>
        <w:tc>
          <w:tcPr>
            <w:tcW w:w="26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95,463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21.15</w:t>
            </w:r>
          </w:p>
        </w:tc>
        <w:tc>
          <w:tcPr>
            <w:tcW w:w="23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94,607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33,004,578</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color w:val="auto"/>
              </w:rPr>
              <w:t>May 31, 2017</w:t>
            </w:r>
          </w:p>
        </w:tc>
        <w:tc>
          <w:tcPr>
            <w:tcW w:w="2640" w:type="dxa"/>
            <w:vAlign w:val="bottom"/>
          </w:tcPr>
          <w:p>
            <w:pPr>
              <w:jc w:val="right"/>
              <w:ind w:right="37"/>
              <w:spacing w:after="0"/>
              <w:rPr>
                <w:sz w:val="20"/>
                <w:szCs w:val="20"/>
                <w:color w:val="auto"/>
              </w:rPr>
            </w:pPr>
            <w:r>
              <w:rPr>
                <w:rFonts w:ascii="Arial" w:cs="Arial" w:eastAsia="Arial" w:hAnsi="Arial"/>
                <w:sz w:val="18"/>
                <w:szCs w:val="18"/>
                <w:color w:val="auto"/>
              </w:rPr>
              <w:t>121,480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20.93</w:t>
            </w:r>
          </w:p>
        </w:tc>
        <w:tc>
          <w:tcPr>
            <w:tcW w:w="2380" w:type="dxa"/>
            <w:vAlign w:val="bottom"/>
          </w:tcPr>
          <w:p>
            <w:pPr>
              <w:jc w:val="right"/>
              <w:ind w:right="59"/>
              <w:spacing w:after="0"/>
              <w:rPr>
                <w:sz w:val="20"/>
                <w:szCs w:val="20"/>
                <w:color w:val="auto"/>
              </w:rPr>
            </w:pPr>
            <w:r>
              <w:rPr>
                <w:rFonts w:ascii="Arial" w:cs="Arial" w:eastAsia="Arial" w:hAnsi="Arial"/>
                <w:sz w:val="18"/>
                <w:szCs w:val="18"/>
                <w:color w:val="auto"/>
              </w:rPr>
              <w:t>95,557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31,004,570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94,463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21.23</w:t>
            </w:r>
          </w:p>
        </w:tc>
        <w:tc>
          <w:tcPr>
            <w:tcW w:w="2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94,206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29,004,577</w:t>
            </w: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8"/>
        <w:spacing w:after="0" w:line="259"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17, 2016, the Company entered into an agreement with its founder, Chairman and Chief Executive Officer, Dr. Sotirios Vahaviolos, which provides for the Company to repurchase up to 1 million shares of its common stock from Dr. Vahaviolos. The plan with Dr. Vahaviolos is included in the $50.0 million of purchases authorized by our Board of Directors described in footnote 2 below. All of the amounts in this column represent the purchases from Dr. Vahaviolos during the second quarter of 2017.</w:t>
      </w:r>
    </w:p>
    <w:p>
      <w:pPr>
        <w:spacing w:after="0" w:line="186"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 authorizes the expenditure of up to $50.0 million for the purchase of the Company's common stock.</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26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67"/>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Senior Executive Vice President, Chief Financial Officer and Treasurer</w:t>
      </w:r>
    </w:p>
    <w:p>
      <w:pPr>
        <w:spacing w:after="0" w:line="7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121" w:right="7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2017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2017</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4"/>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2019-12-29T05:07:48Z</dcterms:created>
  <dcterms:modified xsi:type="dcterms:W3CDTF">2019-12-29T05:07:48Z</dcterms:modified>
</cp:coreProperties>
</file>