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89"/>
        </w:trPr>
        <w:tc>
          <w:tcPr>
            <w:tcW w:w="296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533"/>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r>
        <w:trPr>
          <w:trHeight w:val="540"/>
        </w:trPr>
        <w:tc>
          <w:tcPr>
            <w:tcW w:w="2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1460" w:type="dxa"/>
            <w:vAlign w:val="bottom"/>
          </w:tcPr>
          <w:p>
            <w:pPr>
              <w:spacing w:after="0"/>
              <w:rPr>
                <w:sz w:val="24"/>
                <w:szCs w:val="24"/>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MG</w:t>
            </w:r>
          </w:p>
        </w:tc>
        <w:tc>
          <w:tcPr>
            <w:tcW w:w="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110"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2024, the registrant had 31,010,375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1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8"/>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1"/>
            <w:vMerge w:val="continue"/>
          </w:tcPr>
          <w:p>
            <w:pPr>
              <w:spacing w:after="0"/>
              <w:rPr>
                <w:sz w:val="14"/>
                <w:szCs w:val="14"/>
                <w:color w:val="auto"/>
              </w:rPr>
            </w:pPr>
          </w:p>
        </w:tc>
        <w:tc>
          <w:tcPr>
            <w:tcW w:w="7520" w:type="dxa"/>
            <w:vAlign w:val="bottom"/>
            <w:gridSpan w:val="18"/>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September 30, 2024 and December 31, 2023</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and nine months ended September 30, 2024</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20" w:type="dxa"/>
            <w:vAlign w:val="bottom"/>
            <w:tcBorders>
              <w:top w:val="single" w:sz="8" w:color="0E32E1"/>
            </w:tcBorders>
            <w:gridSpan w:val="15"/>
          </w:tcPr>
          <w:p>
            <w:pPr>
              <w:spacing w:after="0" w:line="142" w:lineRule="exact"/>
              <w:rPr>
                <w:sz w:val="20"/>
                <w:szCs w:val="20"/>
                <w:color w:val="auto"/>
              </w:rPr>
            </w:pPr>
            <w:r>
              <w:rPr>
                <w:rFonts w:ascii="Times New Roman" w:cs="Times New Roman" w:eastAsia="Times New Roman" w:hAnsi="Times New Roman"/>
                <w:sz w:val="16"/>
                <w:szCs w:val="16"/>
                <w:color w:val="0E32E1"/>
              </w:rPr>
              <w:t>and September 30, 2023</w:t>
            </w:r>
          </w:p>
        </w:tc>
        <w:tc>
          <w:tcPr>
            <w:tcW w:w="60" w:type="dxa"/>
            <w:vAlign w:val="bottom"/>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640" w:type="dxa"/>
            <w:vAlign w:val="bottom"/>
            <w:tcBorders>
              <w:top w:val="single" w:sz="8" w:color="0E32E1"/>
            </w:tcBorders>
          </w:tcPr>
          <w:p>
            <w:pPr>
              <w:spacing w:after="0"/>
              <w:rPr>
                <w:sz w:val="13"/>
                <w:szCs w:val="13"/>
                <w:color w:val="auto"/>
              </w:rPr>
            </w:pPr>
          </w:p>
        </w:tc>
        <w:tc>
          <w:tcPr>
            <w:tcW w:w="1120" w:type="dxa"/>
            <w:vAlign w:val="bottom"/>
            <w:tcBorders>
              <w:top w:val="single" w:sz="8" w:color="0E32E1"/>
            </w:tcBorders>
            <w:gridSpan w:val="2"/>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(Loss) for the three and nine months ended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40" w:type="dxa"/>
            <w:vAlign w:val="bottom"/>
            <w:tcBorders>
              <w:top w:val="single" w:sz="8" w:color="0E32E1"/>
            </w:tcBorders>
            <w:gridSpan w:val="12"/>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2024 and September 30, 2023</w:t>
            </w:r>
          </w:p>
        </w:tc>
        <w:tc>
          <w:tcPr>
            <w:tcW w:w="5280" w:type="dxa"/>
            <w:vAlign w:val="bottom"/>
            <w:tcBorders>
              <w:top w:val="single" w:sz="8" w:color="0E32E1"/>
            </w:tcBorders>
            <w:gridSpan w:val="9"/>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Equity for the three and nine months ended September 30, 2024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60" w:type="dxa"/>
            <w:vAlign w:val="bottom"/>
            <w:tcBorders>
              <w:top w:val="single" w:sz="8" w:color="0E32E1"/>
            </w:tcBorders>
            <w:gridSpan w:val="22"/>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2023</w:t>
            </w:r>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Cash Flows for the nine months ended September 30, 2024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E32E1"/>
            </w:tcBorders>
            <w:gridSpan w:val="10"/>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2023</w:t>
            </w:r>
          </w:p>
        </w:tc>
        <w:tc>
          <w:tcPr>
            <w:tcW w:w="6460" w:type="dxa"/>
            <w:vAlign w:val="bottom"/>
            <w:tcBorders>
              <w:top w:val="single" w:sz="8" w:color="0E32E1"/>
            </w:tcBorders>
            <w:gridSpan w:val="10"/>
          </w:tcPr>
          <w:p>
            <w:pPr>
              <w:spacing w:after="0"/>
              <w:rPr>
                <w:sz w:val="13"/>
                <w:szCs w:val="13"/>
                <w:color w:val="auto"/>
              </w:rPr>
            </w:pPr>
          </w:p>
        </w:tc>
        <w:tc>
          <w:tcPr>
            <w:tcW w:w="680" w:type="dxa"/>
            <w:vAlign w:val="bottom"/>
            <w:gridSpan w:val="4"/>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E32E1"/>
          </w:tcPr>
          <w:p>
            <w:pPr>
              <w:spacing w:after="0"/>
              <w:rPr>
                <w:sz w:val="2"/>
                <w:szCs w:val="2"/>
                <w:color w:val="auto"/>
              </w:rPr>
            </w:pPr>
          </w:p>
        </w:tc>
        <w:tc>
          <w:tcPr>
            <w:tcW w:w="300" w:type="dxa"/>
            <w:vAlign w:val="bottom"/>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20" w:type="dxa"/>
            <w:vAlign w:val="bottom"/>
            <w:shd w:val="clear" w:color="auto" w:fill="0E32E1"/>
          </w:tcPr>
          <w:p>
            <w:pPr>
              <w:spacing w:after="0"/>
              <w:rPr>
                <w:sz w:val="2"/>
                <w:szCs w:val="2"/>
                <w:color w:val="auto"/>
              </w:rPr>
            </w:pPr>
          </w:p>
        </w:tc>
        <w:tc>
          <w:tcPr>
            <w:tcW w:w="420" w:type="dxa"/>
            <w:vAlign w:val="bottom"/>
            <w:gridSpan w:val="5"/>
            <w:shd w:val="clear" w:color="auto" w:fill="0E32E1"/>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4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560" w:type="dxa"/>
            <w:vAlign w:val="bottom"/>
            <w:gridSpan w:val="19"/>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7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6"/>
          </w:tcPr>
          <w:p>
            <w:pPr>
              <w:spacing w:after="0"/>
              <w:rPr>
                <w:sz w:val="24"/>
                <w:szCs w:val="24"/>
                <w:color w:val="auto"/>
              </w:rPr>
            </w:pPr>
          </w:p>
        </w:tc>
        <w:tc>
          <w:tcPr>
            <w:tcW w:w="71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58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4"/>
                <w:szCs w:val="24"/>
                <w:color w:val="auto"/>
              </w:rPr>
            </w:pPr>
          </w:p>
        </w:tc>
        <w:tc>
          <w:tcPr>
            <w:tcW w:w="7580" w:type="dxa"/>
            <w:vAlign w:val="bottom"/>
            <w:gridSpan w:val="2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181,499</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31,006,864 and 30,597,633 shares issued</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190,503</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67"/>
        </w:trPr>
        <w:tc>
          <w:tcPr>
            <w:tcW w:w="4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523,399</w:t>
            </w: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355,304</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150,181</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123,844</w:t>
            </w: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r>
      <w:tr>
        <w:trPr>
          <w:trHeight w:val="230"/>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r>
      <w:tr>
        <w:trPr>
          <w:trHeight w:val="176"/>
        </w:trPr>
        <w:tc>
          <w:tcPr>
            <w:tcW w:w="4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interests, net of taxes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29"/>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34"/>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3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454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Mistras Group,</w:t>
            </w:r>
          </w:p>
        </w:tc>
        <w:tc>
          <w:tcPr>
            <w:tcW w:w="980" w:type="dxa"/>
            <w:vAlign w:val="bottom"/>
            <w:vMerge w:val="restart"/>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2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21"/>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9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00" w:type="dxa"/>
            <w:vAlign w:val="bottom"/>
          </w:tcPr>
          <w:p>
            <w:pPr>
              <w:spacing w:after="0"/>
              <w:rPr>
                <w:sz w:val="4"/>
                <w:szCs w:val="4"/>
                <w:color w:val="auto"/>
              </w:rPr>
            </w:pPr>
          </w:p>
        </w:tc>
        <w:tc>
          <w:tcPr>
            <w:tcW w:w="11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line="20" w:lineRule="exact"/>
              <w:rPr>
                <w:sz w:val="1"/>
                <w:szCs w:val="1"/>
                <w:color w:val="auto"/>
              </w:rPr>
            </w:pPr>
          </w:p>
        </w:tc>
      </w:tr>
      <w:tr>
        <w:trPr>
          <w:trHeight w:val="171"/>
        </w:trPr>
        <w:tc>
          <w:tcPr>
            <w:tcW w:w="24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4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193,474</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250,016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(30,020)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205,204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205,543</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245,058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(29,035)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200,187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200,533</w:t>
            </w: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(10,338)</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185,784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Pr>
          <w:p>
            <w:pPr>
              <w:spacing w:after="0"/>
              <w:rPr>
                <w:sz w:val="4"/>
                <w:szCs w:val="4"/>
                <w:color w:val="auto"/>
              </w:rPr>
            </w:pPr>
          </w:p>
        </w:tc>
        <w:tc>
          <w:tcPr>
            <w:tcW w:w="126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line="20" w:lineRule="exact"/>
              <w:rPr>
                <w:sz w:val="1"/>
                <w:szCs w:val="1"/>
                <w:color w:val="auto"/>
              </w:rPr>
            </w:pPr>
          </w:p>
        </w:tc>
      </w:tr>
      <w:tr>
        <w:trPr>
          <w:trHeight w:val="171"/>
        </w:trPr>
        <w:tc>
          <w:tcPr>
            <w:tcW w:w="24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4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190,503</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13,793</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4,256</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250,016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(30,020)</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205,204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205,543</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198,450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198,749</w:t>
            </w: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(14,940)</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0" w:type="dxa"/>
            <w:vAlign w:val="bottom"/>
          </w:tcPr>
          <w:p>
            <w:pPr>
              <w:spacing w:after="0"/>
              <w:rPr>
                <w:sz w:val="1"/>
                <w:szCs w:val="1"/>
                <w:color w:val="auto"/>
              </w:rPr>
            </w:pPr>
          </w:p>
        </w:tc>
      </w:tr>
      <w:tr>
        <w:trPr>
          <w:trHeight w:val="200"/>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(34,463)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185,784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13,793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(14,940)</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25,470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13,799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3,985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provision for doubtful accounts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(13,393)</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4,165</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liability in excess of acquisition-date fair value</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24,471</w:t>
            </w: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10,684</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1,101</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(15,170)</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66,110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17,646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20,488</w:t>
            </w:r>
          </w:p>
        </w:tc>
      </w:tr>
      <w:tr>
        <w:trPr>
          <w:trHeight w:val="19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20,360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12,752</w:t>
            </w:r>
          </w:p>
        </w:tc>
      </w:tr>
      <w:tr>
        <w:trPr>
          <w:trHeight w:val="18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12,595</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12,683</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3,704</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7,169</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10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Company provides products and services to countries throughout the Middle East, where lawfully permitted, and in accordance with United States regulations. We continue to monitor the on-going conflicts throughout the Middle East. These conflicts caused disruptions in the Company's European operations in 2023 with increased costs associated with higher energy costs, amongst others. These disruptions have largely subsided in 2024 and the Company will continue to monitor market conditions and respond accordingly.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reduced disclosure for interim periods. In the opinion of management, the Unaudited Condensed Consolidated Financial Statements include all adjustments, which are of a normal recurring nature, necessary for a fair statement of the results for the interim periods of the years ending December 31, 2024 and December 31, 2023.</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2023 Annual Report on Form 10-K ("2023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2023 Annual Report. On an ongoing basis, the Company evaluates its estimates and assumptions, including among other things, those related to revenue recognition, long-lived assets, goodwill and acquisitions. Since the date of the 2023 Annual Report, there have been no material changes to the Company’s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September 30, 2024, management concluded that it is more likely than not that a substantial portion of the Company’s deferred tax assets will be realized.</w:t>
      </w:r>
    </w:p>
    <w:p>
      <w:pPr>
        <w:spacing w:after="0" w:line="189"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 was approximately 29.0% and (16.8)% for the three months ended September 30, 2024 and 2023,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 was approximately 22.1% and (1.6)% for the nine months ended September 30,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3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2024 was higher than the statutory rate primarily due to the impact of permanent items in the period. The effective income tax rate for the three months ended September 30, 2023 was lower than the statutory rate due to the impact of permanent tax adjustments related to executive compensation and goodwill impairments.</w:t>
      </w:r>
    </w:p>
    <w:p>
      <w:pPr>
        <w:spacing w:after="0" w:line="204"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2024 was higher than the statutory rate primarily due to the impact of permanent items. The effective income tax rate for the nine months ended September 30, 2023 was lower than the statutory rate due primarily to an unfavorable discrete item related to stock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to expand the disclosures about a public entity's reportable segments and address requests from investors for additional, more detailed information about a reportable segment's expenses. The new standard is effective for fiscal years beginning after December 15, 2023, and interim periods within fiscal years beginning after December 15, 2024. We do not expect the impact of ASU 2023-07 to be material on our financial statements.</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do not expect the impact of ASU 2023-09 to be material on our financial statements.</w:t>
      </w:r>
    </w:p>
    <w:p>
      <w:pPr>
        <w:spacing w:after="0" w:line="200" w:lineRule="exact"/>
        <w:rPr>
          <w:sz w:val="20"/>
          <w:szCs w:val="20"/>
          <w:color w:val="auto"/>
        </w:rPr>
      </w:pPr>
    </w:p>
    <w:p>
      <w:pPr>
        <w:spacing w:after="0" w:line="2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3"/>
        </w:trPr>
        <w:tc>
          <w:tcPr>
            <w:tcW w:w="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321,924</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66,344</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53,005</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38,624</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23,949</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w:t>
            </w:r>
          </w:p>
        </w:tc>
      </w:tr>
      <w:tr>
        <w:trPr>
          <w:trHeight w:val="229"/>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308,041</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57,685</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50,303</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0"/>
        </w:trPr>
        <w:tc>
          <w:tcPr>
            <w:tcW w:w="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387,270</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70,411</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90,376</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373,280</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65,339</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77,162</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2024 and 2023 that was included in the contract liability balance at the beginning of such year was $6.2 million and $5.7 million, respectively, for each period.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the 2016 Plan, including an increase to the total number of shares that may be issued under the 2016 Plan by 1.3 million, for a total of 6.2 million shares that are authorized for issuance under the 2016 Plan, of which approximately 1,600,000 shares were available for future grants as of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October 11, 2023, Mr. Stamatakis was granted an award of stock options to purchase 250,000 shares of common stock of the Company, with an exercise price of $5.36, the closing price of the Company's common stock as quoted on the New York Stock Exchange on the grant date (the "Options"). The Options were granted as an inducement for Mr. Stamatakis to accept the position of Interim President and CEO of the Company and were therefore granted outside the 2016 Plan, as permitted by the rules of the NYSE. The Options can be exercised any time after the grant date until its expiration date, which is the earlier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from the grant date or one year following the date Mr. Stamatakis is no longer serving as an officer, director or in any other capacity of the Company.</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September 30, 2024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120" w:type="dxa"/>
            <w:vAlign w:val="bottom"/>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all share-based compensation expense related to the stock options granted in the fourth quarter of 2023 when they were granted and no further unrecognized share-based compensation expense remains as of the end of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makes semi-annual issuances of fully-vested common stock to its non-employee directors. A summary of the fully-vested common stock the Company issued to its non-employee directors, in connection with its non-employee director compensation,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7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and September 30, 2023, the Company recognized share-based compensation expense related to restricted stock unit awards of $1.6 million and $0.7 million, respectively. For the nine months ended September 30, 2024 and 2023, the Company recognized share-based compensation expense related to restricted stock unit awards of $3.9 million and $2.5 million, respectively. As of September 30, 2024, there was $8.9 million of unrecognized compensation costs, net of estimated forfeitures, related to restricted stock unit awards, which is expected to be recognized over a remaining weighted-average period of 2.4 years. Upon vesting, restricted stock units are generally net share-settled to cover the required withholding tax and the remaining amount is converted into an equivalent number of shares of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19"/>
                <w:szCs w:val="19"/>
                <w:color w:val="auto"/>
              </w:rPr>
            </w:pP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2,639</w:t>
            </w:r>
          </w:p>
        </w:tc>
        <w:tc>
          <w:tcPr>
            <w:tcW w:w="40" w:type="dxa"/>
            <w:vAlign w:val="bottom"/>
          </w:tcPr>
          <w:p>
            <w:pPr>
              <w:spacing w:after="0"/>
              <w:rPr>
                <w:sz w:val="20"/>
                <w:szCs w:val="20"/>
                <w:color w:val="auto"/>
              </w:rPr>
            </w:pPr>
          </w:p>
        </w:tc>
      </w:tr>
      <w:tr>
        <w:trPr>
          <w:trHeight w:val="1825"/>
        </w:trPr>
        <w:tc>
          <w:tcPr>
            <w:tcW w:w="8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p>
      <w:pPr>
        <w:spacing w:after="0" w:line="4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8"/>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jc w:val="both"/>
        <w:ind w:right="500"/>
        <w:spacing w:after="0" w:line="250"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The ultimate payout of these PRSUs may vary between zero and 200% of the target award, based on the Company’s performance over a one-year period based on specific metrics approved by the Compensation Committee of the Board of Directors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the Compensation Committee used the following three performance metrics for PRSUs approved in that year.</w:t>
      </w:r>
    </w:p>
    <w:p>
      <w:pPr>
        <w:spacing w:after="0" w:line="27" w:lineRule="exact"/>
        <w:rPr>
          <w:sz w:val="20"/>
          <w:szCs w:val="20"/>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2024, the Compensation Committee utilized the same metrics as 2023 PRSUs, but with revised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344"/>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4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284"/>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94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center"/>
              <w:ind w:left="717"/>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20" w:type="dxa"/>
            <w:vAlign w:val="bottom"/>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717"/>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center"/>
              <w:ind w:left="697"/>
              <w:spacing w:after="0"/>
              <w:rPr>
                <w:sz w:val="20"/>
                <w:szCs w:val="20"/>
                <w:color w:val="auto"/>
              </w:rPr>
            </w:pPr>
            <w:r>
              <w:rPr>
                <w:rFonts w:ascii="Times New Roman" w:cs="Times New Roman" w:eastAsia="Times New Roman" w:hAnsi="Times New Roman"/>
                <w:sz w:val="18"/>
                <w:szCs w:val="18"/>
                <w:color w:val="auto"/>
                <w:w w:val="96"/>
              </w:rPr>
              <w:t>(6.95)</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Performance condition adjustments during the nine months ended September 30, 2024 decreased by approximately 187,000 units based on forecasted results for 2024 as compared to performance metrics determined by the Compensation Committee.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September 30, 2023, the Company recognized aggregate share-based compensation expense related to the awards described above of approximately $0.0 million and $0.1 million, respectively. For the nine months ended September 30, 2024 and September 30, 2023, the Company recognized aggregate share-based compensation expense related to the awards described above of approximately $0.3 million and $0.6 million, respectively. At September 30, 2024, there was $0.9 million of total unrecognized compensation costs related to approximately 168,000 non-vested PRSUs, which is expected to be recognized over a remaining weighted-average period of 2.4 years.</w:t>
      </w:r>
    </w:p>
    <w:p>
      <w:pPr>
        <w:spacing w:after="0" w:line="200" w:lineRule="exact"/>
        <w:rPr>
          <w:sz w:val="20"/>
          <w:szCs w:val="20"/>
          <w:color w:val="auto"/>
        </w:rPr>
      </w:pPr>
    </w:p>
    <w:p>
      <w:pPr>
        <w:spacing w:after="0" w:line="3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1058545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68"/>
        </w:trPr>
        <w:tc>
          <w:tcPr>
            <w:tcW w:w="48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 w:lineRule="exact"/>
        <w:rPr>
          <w:sz w:val="20"/>
          <w:szCs w:val="20"/>
          <w:color w:val="auto"/>
        </w:rPr>
      </w:pPr>
    </w:p>
    <w:p>
      <w:pPr>
        <w:ind w:left="180" w:right="120" w:hanging="172"/>
        <w:spacing w:after="0" w:line="236" w:lineRule="auto"/>
        <w:tabs>
          <w:tab w:leader="none" w:pos="18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and nine months ended September 30, 2023, 1,508,255 and 926,224 shares related to restricted stock, respectively, were excluded from the calculation of diluted EPS due to the net loss for the period.</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nine months ended September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7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0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included in Accrued expenses and other current liabilities and Other long-term liabilities on the Condensed Consolidated Balance Sheets.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134,495</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had $30.3 million and $18.5 million of unbilled revenue accrued as of September 30, 2024 and December 31, 2023,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and thus future changes in economic conditions are unlikely to have a significant effect on the credit loss estimate.</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gridSpan w:val="2"/>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Consumable supplies</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940" w:type="dxa"/>
            <w:vAlign w:val="bottom"/>
          </w:tcPr>
          <w:p>
            <w:pPr>
              <w:spacing w:after="0"/>
              <w:rPr>
                <w:sz w:val="24"/>
                <w:szCs w:val="24"/>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24"/>
                <w:szCs w:val="24"/>
                <w:color w:val="auto"/>
              </w:rPr>
            </w:pPr>
          </w:p>
        </w:tc>
        <w:tc>
          <w:tcPr>
            <w:tcW w:w="140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9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278,724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269,306</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319,756</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(245,258)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2024 and 2023 was approximately $6.1 million and $6.6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nine months ended September 30, 2024 and 2023 was $18.9 million and $19.0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4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using a terminal value calculation, which incorporates historical and forecasted trends, including an estimate of long-term future growth rates, based on the Company’s most recent views of the long-term outlook for each reporting unit. The Company's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Company's internally developed forecasts and which are updated for recent events. Increased interest rates in the current period increased the discount rate associated with the reporting units which contributed to an unfavorable decrease in the reporting units value.</w:t>
      </w:r>
    </w:p>
    <w:p>
      <w:pPr>
        <w:spacing w:after="0" w:line="2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19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2023 and the Company did not identify any changes in circumstances that would indicate the carrying value of goodwill may not be recoverable. Additionally, through September 30, 2024,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ind w:right="2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128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2024 and 2023 was approximately $1.9 million and $2.2 million,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nine months ended September 30, 2024 and 2023 was $5.8 million and $6.5 million, respectively.</w:t>
      </w:r>
    </w:p>
    <w:p>
      <w:pPr>
        <w:spacing w:after="0" w:line="2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40" w:type="dxa"/>
            <w:vAlign w:val="bottom"/>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4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40" w:type="dxa"/>
            <w:vAlign w:val="bottom"/>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4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40" w:type="dxa"/>
            <w:vAlign w:val="bottom"/>
          </w:tcPr>
          <w:p>
            <w:pPr>
              <w:spacing w:after="0"/>
              <w:rPr>
                <w:sz w:val="19"/>
                <w:szCs w:val="19"/>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40" w:type="dxa"/>
            <w:vAlign w:val="bottom"/>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40" w:type="dxa"/>
            <w:vAlign w:val="bottom"/>
          </w:tcPr>
          <w:p>
            <w:pPr>
              <w:spacing w:after="0"/>
              <w:rPr>
                <w:sz w:val="21"/>
                <w:szCs w:val="2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7"/>
        </w:trPr>
        <w:tc>
          <w:tcPr>
            <w:tcW w:w="8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$0.3 million and $0.4 million,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190,399</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181,499</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1, 2022, the Company entered into a new credit agreement (the “Credit Agreement”) which provides the Company with a $190 million 5-year committed revolving credit facility and a $125 million term loan with a balance of $109.9 million as of September 30, 2024.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25" w:lineRule="exact"/>
        <w:rPr>
          <w:sz w:val="20"/>
          <w:szCs w:val="20"/>
          <w:color w:val="auto"/>
        </w:rPr>
      </w:pPr>
    </w:p>
    <w:p>
      <w:pPr>
        <w:ind w:left="66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 under the Prior Credit Agreement, the margin was based upon the LIBOR margin.</w:t>
      </w:r>
    </w:p>
    <w:p>
      <w:pPr>
        <w:spacing w:after="0" w:line="1" w:lineRule="exact"/>
        <w:rPr>
          <w:rFonts w:ascii="Times New Roman" w:cs="Times New Roman" w:eastAsia="Times New Roman" w:hAnsi="Times New Roman"/>
          <w:sz w:val="18"/>
          <w:szCs w:val="18"/>
          <w:color w:val="auto"/>
        </w:rPr>
      </w:pPr>
    </w:p>
    <w:p>
      <w:pPr>
        <w:ind w:left="1300" w:right="720" w:hanging="320"/>
        <w:spacing w:after="0" w:line="22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2"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financial covenants on a pro forma basis after taking into account the acquisition, and the Company must provide written notice at least five business days prior to the date of an acquisition of $10 million or more.</w:t>
      </w:r>
    </w:p>
    <w:p>
      <w:pPr>
        <w:spacing w:after="0" w:line="189" w:lineRule="exact"/>
        <w:rPr>
          <w:sz w:val="20"/>
          <w:szCs w:val="20"/>
          <w:color w:val="auto"/>
        </w:rPr>
      </w:pPr>
    </w:p>
    <w:p>
      <w:pPr>
        <w:ind w:left="660" w:right="5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borrowings of $186.8 million and a total of $3.1 million of letters of credit outstanding under the Credit Agreement. The Company has capitalized costs associated with debt modifications of $0.9 million as of September 30, 2024, which is included in Other assets on the Condensed Consolidated Balance Sheets and will be amortized into interest expense over the remaining term of the Credit Agreement through July 30, 2027.</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the terms of the Credit Agreement. The Company continuously monitors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September 30, 2024, there was an aggregate of approximately $2.9 million outstanding, payable at various times through 2030. Monthly payments range from $1.0 thousand to $16.1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the Company, based on currently available information, does not believe that any currently pending or threatened legal proceeding to which the Company is a party, or is likely to become a party, including those proceedings identified in this Note 14,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filed by the State of Arizona and the Arizona Department of Environmental Quality (collectively “DEQ”). The lawsuit,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the Company and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Complaint seeks unspecified penalties and costs.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Superior Court held a hearing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judgement: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intends to comply with the Superior Court's ruling. This matter is still in the relatively early stages, including as to factual and expert discovery. It is probable that remediation costs, fines and penalties may be imposed related to this lawsuit. However, the Company is unable to estimate the range of loss that it may incur.</w:t>
      </w:r>
    </w:p>
    <w:p>
      <w:pPr>
        <w:spacing w:after="0" w:line="20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 addition to the matters covered by the DEQ complaint on or about November 7, 2024, Mistras Arizona received notice from the Maricopa County Department of Air Quality for alleged violations of various regulations regarding air quality. This matter has been resolved with an immaterial fine paid.</w:t>
      </w:r>
    </w:p>
    <w:p>
      <w:pPr>
        <w:spacing w:after="0" w:line="16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received a General Notice Letter from the US Environmental Protection Agency (the "EPA"), dated May 21, 2024, informing Mistras Arizona that the EPA has identified it as a potentially responsible party in relation to the Motorola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5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800"/>
        <w:spacing w:after="0" w:line="266"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September 30, 2024 is approximately $2.5 million, which were incurred in 2018 and 2019.</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900" w:right="60" w:hanging="244"/>
        <w:spacing w:after="0" w:line="261" w:lineRule="auto"/>
        <w:tabs>
          <w:tab w:leader="none" w:pos="8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431,295</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90,664</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1"/>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126,813</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121,088</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24,247</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4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(29,228)</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46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0"/>
        </w:trPr>
        <w:tc>
          <w:tcPr>
            <w:tcW w:w="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402,782</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nine months ended September 30, 2024 and 2023. The MD&amp;A should be read together with our Unaudited Condensed Consolidated Financial Statements and related notes included in Item 1 in this Quarterly Report on Form 10-Q (the "Quarterly Report") and our audited consolidated financial statements and related notes included in our Annual Report on Form 10-K for the year ended December 31, 2023, (“2023 Annual Report”). Unless otherwise specified or the context otherwise requires, “Mistras,” “the Company,” “we,” “us” and “our” refer to Mistras Group, Inc. and its consolidated subsidiaries. The MD&amp;A includes the following sections:</w:t>
      </w:r>
    </w:p>
    <w:p>
      <w:pPr>
        <w:spacing w:after="0" w:line="18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2023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1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OneSuite™, which serves as an ecosystem platform, pulling together all of the Company’s software and data services capabilities, for the benefit of its customers.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27" w:lineRule="exact"/>
        <w:rPr>
          <w:sz w:val="20"/>
          <w:szCs w:val="20"/>
          <w:color w:val="auto"/>
        </w:rPr>
      </w:pPr>
    </w:p>
    <w:p>
      <w:pPr>
        <w:ind w:left="660" w:right="120" w:hanging="328"/>
        <w:spacing w:after="0" w:line="253"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24"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 w:lineRule="exact"/>
        <w:rPr>
          <w:rFonts w:ascii="Times New Roman" w:cs="Times New Roman" w:eastAsia="Times New Roman" w:hAnsi="Times New Roman"/>
          <w:sz w:val="18"/>
          <w:szCs w:val="18"/>
          <w:color w:val="auto"/>
        </w:rPr>
      </w:pPr>
    </w:p>
    <w:p>
      <w:pPr>
        <w:ind w:left="660" w:right="74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The Company provides products and services to countries throughout the Middle East, where lawfully permitted, and in accordance with United States regulations. We continue to monitor the on-going conflicts throughout the Middle East. These conflicts caused disruptions in the Company's European operations in 2023 with increased costs associated with higher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costs, amongst others. These disruptions have largely subsided in 2024 and the Company will continue to monitor market conditions and respond accordingly.</w:t>
      </w:r>
    </w:p>
    <w:p>
      <w:pPr>
        <w:spacing w:after="0" w:line="20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remains strong. As of September 30, 2024, the cash balance was approximately $20.4 million, and with our Credit Agreement, provides us with significant liquidity.</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higher energy costs, among other increased costs, due in part to the Russian-Ukrainian war and the conflict in the Middle East between Israel and Hamas. The Company will continue to monitor market conditions and respond accordingly.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generally accepted accounting principles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nine months ended September 30, 2024 and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182,694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179,354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556,909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523,399</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54,577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54,382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161,783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150,181</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42,719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59,064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132,415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152,799</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29.2 %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29,368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(2,618)</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4,167</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12,093</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(8,849)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(14,711)</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(10,338)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(14,940)</w:t>
            </w:r>
          </w:p>
        </w:tc>
      </w:tr>
      <w:tr>
        <w:trPr>
          <w:trHeight w:val="175"/>
        </w:trPr>
        <w:tc>
          <w:tcPr>
            <w:tcW w:w="4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net of taxes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(10,298)</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(14,947)</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was $182.7 million for the three months ended September 30, 2024, an increase of $3.3 million, or 1.9%, compared with the three months ended September 30, 2023. Revenue for the nine months ended September 30, 2024 was $556.9 million, an increase of $33.5 million, or 6.4%, compared with the nine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nine months ended September 30, 2024 and 2023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431,295</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90,664</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r>
      <w:tr>
        <w:trPr>
          <w:trHeight w:val="230"/>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48"/>
        </w:trPr>
        <w:tc>
          <w:tcPr>
            <w:tcW w:w="4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2024, total revenue increased 1.9% versus the prior year comparable period due to increased sales volume and price increases as compared to the prior period. North America segment revenue increased 0.7% due to an increase in sales volume in our aerospace and defense, industrials and power generation &amp; transmission end markets, amongst others. International segment revenue increased 8.7%, due predominantly to growth in our other process industries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power generation and transmission end markets. Products and Systems segment revenue increased 15.8%, due to increased sales volume as compared to the prior period.</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Oil and gas customer revenue comprised approximately 54% and 58% of total revenue for the three months ended September 30, 2024 and 2023, respectively. Aerospace and defense customer revenue comprised approximately 12% and 11% of total revenue for the three months ended September 30, 2024 and 2023, respectively. The Company’s top ten customers comprised approximately 35% of total revenue for the three months ended September 30, 2024, as compared to 36% for the three months ended September 30, 2023, with no customer accounting for 10% or more of total revenue in either three-month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2024, total revenue increased 6.4% versus the comparable prior period. The increase was due predominantly to increased sales volume as compared to the prior period. Our North America segment revenue increased 5.9% due primarily to increased sales volume in our oil and gas and aerospace and defense end markets. International segment revenue increased 11.4% due mainly to increased turnaround activity in oil and gas end market and increased sales volume in our aerospace and defense end market. Products and Systems segment revenue decreased 0.4% due to decreased sales volumes most notably within the power generation and transmission end market, amongst others, as compared to the prior period.</w:t>
      </w:r>
    </w:p>
    <w:p>
      <w:pPr>
        <w:spacing w:after="0" w:line="2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Oil and gas customer revenue comprised approximately 58% and 59% of total revenue for the nine months ended September 30, 2024 and 2023, respectively. Aerospace and defense customer revenue comprised approximately 12% and 11% of total revenue for the nine months ended September 30, 2024 and 2023, respectively. The Company’s top ten customers comprised approximately 36% of total revenue for the nine months ended September 30, 2024, as compared to 35% for the nine months ended September 30, 2023, with no customer accounting for 10% or more of total revenue in either nine-month period.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43,835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116,941</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74,739</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116,361</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99,503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308,041</w:t>
            </w:r>
          </w:p>
        </w:tc>
      </w:tr>
      <w:tr>
        <w:trPr>
          <w:trHeight w:val="21"/>
        </w:trPr>
        <w:tc>
          <w:tcPr>
            <w:tcW w:w="4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Oil and gas upstream customer revenue increased approximately $11.0 million, or 9.4%, for the nine months ended September 30, 2024 as compared to the nine months ended September 30, 2023, and $5.8 million, or 15.2%, for the three months ended September 30, 2024 as compared to the three months ended September 30, 2023, due to increased exploration operations and market share gains compared to the prior period.</w:t>
      </w:r>
    </w:p>
    <w:p>
      <w:pPr>
        <w:spacing w:after="0" w:line="2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Midstream customer revenues decreased approximately $6.5 million, or (8.7)%, for the nine months ended September 30, 2024 as compared to the nine months ended September 30, 2023, and $4.7 million, or (17.8)%, for the three months ended September 30, 2024 as compared to the three months ended September 30, 2023, due to primarily to decreased pipe inspection services as compared to the prior period.</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Downstream customer revenue increased $9.4 million, or 8.1%, for the nine months ended September 30, 2024 as compared to the nine months ended September 30, 2023, and $(4.9) million, or (12.5)%, for the three months ended September 30, 2024 as compared to the three months ended September 30, 2023, due to increased sales volume at customer refineries and increased customer turnarounds.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30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122,717</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348,501</w:t>
            </w: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 Laboratories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42,216</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w:t>
            </w:r>
          </w:p>
        </w:tc>
      </w:tr>
      <w:tr>
        <w:trPr>
          <w:trHeight w:val="22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79,766</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Field Services revenues are comprised of revenue derived primarily by technicians performing asset inspections and maintenance services for our customers at locations other than Mistras properties. Field Services revenue increased by $39.6 million for the nine months ended September 30, 2024 as compared to the nine months ended September 30, 2023, and increased $4.5 million, for the three months ended September 30, 2024 as compared to the three months ended September 30, 2023. The increase in both periods was due to increased sales volume in our power generation and transmission end market in our North America and International segments.</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Shop Laboratories revenues are comprised of quality assurance inspections of components and materials at our Mistras in house laboratory facilities. Shop Laboratories revenues increased by $6.9 million for the nine months ended September 30, 2024 as compared to the nine months ended September 30, 2023, and increased $0.2 million for the three months ended September 30, 2024 as compared to the three months ended September 30, 2023. Shop Laboratories revenues increased in both periods as compared to the prior year periods due to increased sales volume related to our aerospace and defense end market.</w:t>
      </w:r>
    </w:p>
    <w:p>
      <w:pPr>
        <w:spacing w:after="0" w:line="19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Data Analytical Solutions revenues are comprised of revenue derived from data software sales &amp; subscriptions, implementation services and analytics that offer insights and recommendations to improve asset integrity. Data Analytical Solutions revenue is derived from work performed by Mistras employees in our facilities, or at customer locations, using our proprietary portfolio of software applications. Data Analytical Solutions revenue decreased by</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$1.2 million for the nine months ended September 30, 2024 as compared to the nine months ended September 30, 2023, and decreased $0.1 million, for the three months ended September 30, 2024 as compared to the three months ended September 30, 2023 due primarily to decreased sales volume within PCMS, Onstream and other Data Analytical Solutions offerings within our North America segment for the three months ended September 30, 2024 and decreased sales volume for the same offerings for the nine months ended September 30, 2024.</w:t>
      </w:r>
    </w:p>
    <w:p>
      <w:pPr>
        <w:spacing w:after="0" w:line="21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Other revenues are comprised of locations that perform both asset inspection services and testing of components and materials at in house Mistras laboratories. Other revenues decreased by $11.9 million for the nine months ended September 30, 2024 as compared to the nine months ended September 30, 2023, and decreased $1.2 million, for the three months ended September 30, 2024 as compared to the three months ended September 30, 2023. Other revenues decreased in both periods primarily due to decreased sales in our other end markets within the North America and International 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Gross profit increased by $0.2 million, or 0.4%, in the three months ended September 30, 2024 versus the prior year comparable period, on an increase in revenue of 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$11.6 million, or 7.7%, in the nine months ended September 30, 2024 on an increase in revenue of 6.4%.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nine months ended September 30, 2024 and 2023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1424940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6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44,773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126,813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121,088</w:t>
            </w:r>
          </w:p>
        </w:tc>
      </w:tr>
      <w:tr>
        <w:trPr>
          <w:trHeight w:val="229"/>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28.1 %</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8,481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29,667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24,247</w:t>
            </w:r>
          </w:p>
        </w:tc>
      </w:tr>
      <w:tr>
        <w:trPr>
          <w:trHeight w:val="229"/>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26.7 %</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4,773</w:t>
            </w:r>
          </w:p>
        </w:tc>
      </w:tr>
      <w:tr>
        <w:trPr>
          <w:trHeight w:val="230"/>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48.2 %</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4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54,382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161,783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150,181</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Gross profit margin was 29.9% and 30.3% for the three-month periods ended September 30, 2024 and 2023, respectively. North America segment realized a decrease of (1.7)% in gross profit margin to 28.4% during the three months ended September 30, 2024. This was primarily due to higher healthcare claims expense which was offset by growth in our higher margin end markets, as compared to the prior year period. International segment realized an increase of 2.7% in gross profit margin to 30.1% during the three months ended September 30, 2024, due primarily to improved operating leverage and the implementation of strategic price increases. Products and Systems segment realized an increase of 20.3% in gross profit margin to 59.0% during the three months ended September 30, 2024 due to favorable sales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profit margin was 29.1% and 28.7% for the nine months ended September 30, 2024 and 2023, respectively. North America segment gross profit margin decreased 0.3% to 27.8% due to unfavorable sales mix and higher healthcare claims for the nine months ended September 30, 2024, as compared to the prior year period. International segment gross profit margin increased 2.7% to 29.4% due to lower inflationary costs and the implementation of strategic price increases during the nine months ended September 30, 2024, as compared to the prior year period. Products and Systems segment gross profit margin increased 4.9% during the nine months ended September 30, 2024, as compared to the prior year period, due to unfavorable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2024 and 2023 was as follows:</w:t>
      </w:r>
    </w:p>
    <w:p>
      <w:pPr>
        <w:sectPr>
          <w:pgSz w:w="11900" w:h="16838" w:orient="portrait"/>
          <w:cols w:equalWidth="0" w:num="1">
            <w:col w:w="11220"/>
          </w:cols>
          <w:pgMar w:left="320" w:top="118" w:right="359" w:bottom="1440" w:gutter="0" w:footer="0" w:header="0"/>
        </w:sectPr>
      </w:pPr>
    </w:p>
    <w:p>
      <w:pPr>
        <w:spacing w:after="0" w:line="286"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33655</wp:posOffset>
            </wp:positionV>
            <wp:extent cx="20656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504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33655</wp:posOffset>
            </wp:positionV>
            <wp:extent cx="20656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33655</wp:posOffset>
            </wp:positionV>
            <wp:extent cx="20999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5" w:lineRule="exact"/>
        <w:rPr>
          <w:sz w:val="20"/>
          <w:szCs w:val="20"/>
          <w:color w:val="auto"/>
        </w:rPr>
      </w:pPr>
    </w:p>
    <w:p>
      <w:pPr>
        <w:ind w:left="6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33655</wp:posOffset>
            </wp:positionV>
            <wp:extent cx="2099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00" w:space="720"/>
            <w:col w:w="2800"/>
          </w:cols>
          <w:pgMar w:left="320" w:top="118" w:right="35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39,537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121,018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123,844</w:t>
            </w: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6,017</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13,799</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13,799</w:t>
            </w: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1,428</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2,588</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7,556</w:t>
            </w: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4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42,719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59,064</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132,415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152,799</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23.4 %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29.2 %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operating expenses decreased $16.3 million for the three months ended September 30, 2024 compared to the three months ended September 30, 2023, due predominantly to a goodwill impairment occurring in the prior year period. Selling, general and administrative expenses decreased $0.7 million during the three months ended September 30, 2024 compared to the three months ended September 30, 2023, due predominantly to reductions occurring in the prior year period. Depreciation and amortization decreased $0.3 million during the three months ended September 30, 2024 compared to the three months ended September 30, 2023. During the three months ended September 30, 2024, $2.1 million of reorganization and other related costs were incurred, which were a result of the Company's on-going efficiency and productivity initiatives.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expenses decreased $20.4 million for the nine months ended September 30, 2024 compared to the nine months ended September 30, 2023 due predominantly to reductions occurring in the prior year period. Selling, general, and administrative expenses decreased $2.8 million during the nine months ended September 30, 2024 compared to the nine months ended September 30, 2023, due primarily to reductions occurring in the prior year period. Reorganization and other costs for the nine months ended September 30, 2024 compared to the nine months ended September 30, 2023 decreased $1.8 million due to reduced professional fees and restructuring charges associated with changes in the Company's organizational structure. Depreciation and amortization decreased $0.4 million during the nine months ended September 30, 2024 compared to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income (loss) from operations to income (loss) before special items for each of our three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Eliminations and the Company in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55"/>
        </w:trPr>
        <w:tc>
          <w:tcPr>
            <w:tcW w:w="418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 net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56"/>
        </w:trPr>
        <w:tc>
          <w:tcPr>
            <w:tcW w:w="4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55"/>
        </w:trPr>
        <w:tc>
          <w:tcPr>
            <w:tcW w:w="4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(loss) from operations before special items</w:t>
            </w: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(29,228)</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4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tcBorders>
              <w:top w:val="single" w:sz="8" w:color="auto"/>
            </w:tcBorders>
            <w:vMerge w:val="restart"/>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6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0" w:type="dxa"/>
            <w:vAlign w:val="bottom"/>
          </w:tcPr>
          <w:p>
            <w:pPr>
              <w:spacing w:after="0"/>
              <w:rPr>
                <w:sz w:val="1"/>
                <w:szCs w:val="1"/>
                <w:color w:val="auto"/>
              </w:rPr>
            </w:pPr>
          </w:p>
        </w:tc>
      </w:tr>
      <w:tr>
        <w:trPr>
          <w:trHeight w:val="221"/>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on Form 10-Q for an explanation of the use of non-GAAP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income from operations (GAAP) increased $16.5 million compared to the three months ended September 30, 2023, while income from operations before special items (non-GAAP) increased $1.3 million for the three months ended September 30, 2024 compared to the three months ended September 30, 2023. As a percentage of revenue, income from operations before special items increased by 60 basis points to 7.2% in the three months ended September 30, 2024 from 6.6% in the three months ended September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income from operations (GAAP) increased $32.0 million, compared to the nine months ended September 30, 2023, while income from operations before special items (non-GAAP) increased $15.4 million for the nine months ended September 30, 2024 compared to the nine months ended September 30, 2023. As a percentage of revenue, income from operations before special items increased by 260 basis points to 5.9% in the nine months ended September 30, 2024 from 3.3% in the nine months ended September 30, 2023. During the nine months ended September 30, 2024, the Company experienced overall organic growth as well as decreased reorganization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$4.3 million and $4.2 million for the three months ended September 30, 2024 and 2023, respectively. Interest expense was approximately $13.1 million and $12.1 million for the nine months ended September 30, 2024 and 2023, respectively. The increase in interest expense for the three and nine months ended September 30, 2024 compared to the prior year period was due to an increase in the interest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approximately 29.0% and (16.8)% for the three months ended September 30, 2024 and 2023, respectively. Our effective income tax rate was approximately 22.1% and (1.6)% for the nine months ended September 30, 2024 and 2023, respectively.</w:t>
      </w:r>
    </w:p>
    <w:p>
      <w:pPr>
        <w:spacing w:after="0" w:line="17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2024 was higher than the statutory rate primarily due to the impact of permanent items in the period. The effective income tax rate for the three months ended September 30, 2023 was lower than the statutory rate due to the impact of permanent tax adjustments related to executive compensation and goodwill impairments.</w:t>
      </w:r>
    </w:p>
    <w:p>
      <w:pPr>
        <w:spacing w:after="0" w:line="2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2024 was higher than the statutory rate due primarily to the impact of permanent items. The effective income tax rate for the nine months ended September 30, 2023 was lower than the statutory rate due primarily to an unfavorable discrete item related to stock compensation.</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1227455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operating activities was $24.5 million, representing a year-on-year increase of $13.8 million, or 129%. The increase was primarily related to reduced net working capital, as well as improved operating results,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investing activities was $17.2 million, compared to $15.2 million net cash used in investing activities for the nine months ended September 30, 2023. The change was primarily attributable to purchase of intangible assets during the current period as compared to the prior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$6.2 million for the nine months ended September 30, 2024, compared to net cash used in financing activities of $1.8 million for the nine months ended September 30, 2023. This was a result of higher net repayments of debt of $3.7 million during the nine months ended September 30, 2024, as compared to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$1.6 million in the nine months ended September 30, 2024, compared to a decrease of $1.4 million for the nine months ended September 30, 2023. The primary driver of the change was foreign currency fluctuations related to the Euro and the US Dollar.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and cash equivalents totaling $20.4 million and $109.9 million of unused commitments under our Credit Agreement with borrowings of $186.8 million and $3.1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of September 30, 2024,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color w:val="auto"/>
        </w:rPr>
        <w:t>The terms of our Credit Agreement are described in Note 12-</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increases in our contractual obligations and outstanding indebtedness as disclosed in the 2023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and Chief Financial Officer, of the effectiveness of the design and operation of our disclosure controls (as defined in Rule 13a-15(e) of the Exchange Act) and procedures. Based upon that evaluation, our President and Chief Executive Officer and our Senior Executive Vice President and Chief Financial Officer concluded that, as of September 30, 2024,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2024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1228725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2023 Annual Report, except as disclosed herein under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the Unaudited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2023 Annual Report. There have been no material changes to the risk factors previously disclosed in the 2023 Annual Report.</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50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68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Company's directors or officers (as defined in Rule 16a-1(f) of the Securities Exchange Act of 1934) adopted, terminated or modified a Rule 10b5-1 trading arrangement or non-Rule 10b5-1 trading arrangement (as such terms are defined in Item 408 of Regulation S-K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1207770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ind w:left="4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3"/>
        </w:trPr>
        <w:tc>
          <w:tcPr>
            <w:tcW w:w="340" w:type="dxa"/>
            <w:vAlign w:val="bottom"/>
            <w:gridSpan w:val="2"/>
          </w:tcPr>
          <w:p>
            <w:pPr>
              <w:ind w:left="20"/>
              <w:spacing w:after="0" w:line="182" w:lineRule="exact"/>
              <w:rPr>
                <w:rFonts w:ascii="Times New Roman" w:cs="Times New Roman" w:eastAsia="Times New Roman" w:hAnsi="Times New Roman"/>
                <w:sz w:val="18"/>
                <w:szCs w:val="18"/>
                <w:color w:val="0000FF"/>
                <w:w w:val="95"/>
              </w:rPr>
            </w:pPr>
            <w:hyperlink r:id="rId6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6"/>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Mistras Group, Inc. Updated Executive Severance Plan (filed as exhibit 10.1 to Current Report on Form 8-K filed on</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September 18, 2024, and incorporated herein by reference)</w:t>
              </w:r>
            </w:hyperlink>
          </w:p>
        </w:tc>
        <w:tc>
          <w:tcPr>
            <w:tcW w:w="4160" w:type="dxa"/>
            <w:vAlign w:val="bottom"/>
            <w:tcBorders>
              <w:top w:val="single" w:sz="8" w:color="0000FF"/>
            </w:tcBorders>
            <w:gridSpan w:val="4"/>
          </w:tcPr>
          <w:p>
            <w:pPr>
              <w:spacing w:after="0"/>
              <w:rPr>
                <w:sz w:val="13"/>
                <w:szCs w:val="13"/>
                <w:color w:val="auto"/>
              </w:rPr>
            </w:pPr>
          </w:p>
        </w:tc>
        <w:tc>
          <w:tcPr>
            <w:tcW w:w="340" w:type="dxa"/>
            <w:vAlign w:val="bottom"/>
          </w:tcPr>
          <w:p>
            <w:pPr>
              <w:spacing w:after="0"/>
              <w:rPr>
                <w:sz w:val="13"/>
                <w:szCs w:val="13"/>
                <w:color w:val="auto"/>
              </w:rPr>
            </w:pPr>
          </w:p>
        </w:tc>
      </w:tr>
      <w:tr>
        <w:trPr>
          <w:trHeight w:val="49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r>
      <w:tr>
        <w:trPr>
          <w:trHeight w:val="43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720" w:type="dxa"/>
            <w:vAlign w:val="bottom"/>
            <w:gridSpan w:val="2"/>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3480" w:type="dxa"/>
            <w:vAlign w:val="bottom"/>
            <w:gridSpan w:val="4"/>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265" w:lineRule="exact"/>
        <w:rPr>
          <w:sz w:val="20"/>
          <w:szCs w:val="20"/>
          <w:color w:val="auto"/>
        </w:rPr>
      </w:pPr>
    </w:p>
    <w:p>
      <w:pPr>
        <w:ind w:left="1060" w:hanging="103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2" w:name="page43"/>
    <w:bookmarkEnd w:id="4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ectPr>
          <w:pgSz w:w="11900" w:h="16838" w:orient="portrait"/>
          <w:cols w:equalWidth="0" w:num="1">
            <w:col w:w="10920"/>
          </w:cols>
          <w:pgMar w:left="320" w:top="117" w:right="6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Manuel N. Stamatakis, certify that:</w:t>
      </w:r>
    </w:p>
    <w:p>
      <w:pPr>
        <w:spacing w:after="0" w:line="9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5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57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Chairman and Interim President and Chief Executive Officer</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2024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2024</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and Interim 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1" Type="http://schemas.openxmlformats.org/officeDocument/2006/relationships/hyperlink" Target="https://www.sec.gov/ix?doc=/Archives/edgar/data/1436126/000143612624000055/mg-202409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2024-11-04T13:11:28Z</dcterms:created>
  <dcterms:modified xsi:type="dcterms:W3CDTF">2024-11-04T13:11:28Z</dcterms:modified>
</cp:coreProperties>
</file>