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7" w:lineRule="exact"/>
        <w:rPr>
          <w:sz w:val="24"/>
          <w:szCs w:val="24"/>
          <w:color w:val="auto"/>
        </w:rPr>
      </w:pPr>
    </w:p>
    <w:p>
      <w:pPr>
        <w:ind w:left="3900" w:right="1880" w:hanging="3797"/>
        <w:spacing w:after="0" w:line="568" w:lineRule="auto"/>
        <w:tabs>
          <w:tab w:leader="none" w:pos="38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2019</w:t>
      </w:r>
    </w:p>
    <w:p>
      <w:pPr>
        <w:spacing w:after="0" w:line="290" w:lineRule="exact"/>
        <w:rPr>
          <w:sz w:val="24"/>
          <w:szCs w:val="24"/>
          <w:color w:val="auto"/>
        </w:rPr>
      </w:pPr>
    </w:p>
    <w:p>
      <w:pPr>
        <w:ind w:left="4220" w:right="1880" w:hanging="4081"/>
        <w:spacing w:after="0" w:line="516" w:lineRule="auto"/>
        <w:tabs>
          <w:tab w:leader="none" w:pos="37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 to __</w:t>
      </w:r>
    </w:p>
    <w:p>
      <w:pPr>
        <w:spacing w:after="0" w:line="1" w:lineRule="exact"/>
        <w:rPr>
          <w:rFonts w:ascii="Times New Roman" w:cs="Times New Roman" w:eastAsia="Times New Roman" w:hAnsi="Times New Roman"/>
          <w:sz w:val="18"/>
          <w:szCs w:val="18"/>
          <w:b w:val="1"/>
          <w:bCs w:val="1"/>
          <w:color w:val="auto"/>
        </w:rPr>
      </w:pPr>
    </w:p>
    <w:p>
      <w:pPr>
        <w:ind w:left="4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105410</wp:posOffset>
            </wp:positionV>
            <wp:extent cx="3215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167640</wp:posOffset>
            </wp:positionV>
            <wp:extent cx="3215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33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22-3341267</w:t>
            </w:r>
          </w:p>
        </w:tc>
      </w:tr>
      <w:tr>
        <w:trPr>
          <w:trHeight w:val="252"/>
        </w:trPr>
        <w:tc>
          <w:tcPr>
            <w:tcW w:w="33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54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3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54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18"/>
        </w:trPr>
        <w:tc>
          <w:tcPr>
            <w:tcW w:w="33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195 Clarksville Road</w:t>
            </w:r>
          </w:p>
        </w:tc>
        <w:tc>
          <w:tcPr>
            <w:tcW w:w="4540" w:type="dxa"/>
            <w:vAlign w:val="bottom"/>
          </w:tcPr>
          <w:p>
            <w:pPr>
              <w:spacing w:after="0"/>
              <w:rPr>
                <w:sz w:val="24"/>
                <w:szCs w:val="24"/>
                <w:color w:val="auto"/>
              </w:rPr>
            </w:pPr>
          </w:p>
        </w:tc>
      </w:tr>
      <w:tr>
        <w:trPr>
          <w:trHeight w:val="238"/>
        </w:trPr>
        <w:tc>
          <w:tcPr>
            <w:tcW w:w="33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Princeton Junction, New Jersey</w:t>
            </w:r>
          </w:p>
        </w:tc>
        <w:tc>
          <w:tcPr>
            <w:tcW w:w="4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08550</w:t>
            </w:r>
          </w:p>
        </w:tc>
      </w:tr>
      <w:tr>
        <w:trPr>
          <w:trHeight w:val="270"/>
        </w:trPr>
        <w:tc>
          <w:tcPr>
            <w:tcW w:w="33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540" w:type="dxa"/>
            <w:vAlign w:val="bottom"/>
          </w:tcPr>
          <w:p>
            <w:pPr>
              <w:jc w:val="center"/>
              <w:ind w:left="31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59"/>
        </w:trPr>
        <w:tc>
          <w:tcPr>
            <w:tcW w:w="3320" w:type="dxa"/>
            <w:vAlign w:val="bottom"/>
          </w:tcPr>
          <w:p>
            <w:pPr>
              <w:spacing w:after="0"/>
              <w:rPr>
                <w:sz w:val="24"/>
                <w:szCs w:val="24"/>
                <w:color w:val="auto"/>
              </w:rPr>
            </w:pPr>
          </w:p>
        </w:tc>
        <w:tc>
          <w:tcPr>
            <w:tcW w:w="4540" w:type="dxa"/>
            <w:vAlign w:val="bottom"/>
          </w:tcPr>
          <w:p>
            <w:pPr>
              <w:jc w:val="right"/>
              <w:ind w:right="2870"/>
              <w:spacing w:after="0"/>
              <w:rPr>
                <w:sz w:val="20"/>
                <w:szCs w:val="20"/>
                <w:color w:val="auto"/>
              </w:rPr>
            </w:pPr>
            <w:r>
              <w:rPr>
                <w:rFonts w:ascii="Times New Roman" w:cs="Times New Roman" w:eastAsia="Times New Roman" w:hAnsi="Times New Roman"/>
                <w:sz w:val="18"/>
                <w:szCs w:val="18"/>
                <w:b w:val="1"/>
                <w:bCs w:val="1"/>
                <w:color w:val="auto"/>
              </w:rPr>
              <w:t>(609) 716-4000</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180340</wp:posOffset>
            </wp:positionV>
            <wp:extent cx="3215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both"/>
        <w:ind w:right="220"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5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o No</w:t>
      </w:r>
    </w:p>
    <w:p>
      <w:pPr>
        <w:spacing w:after="0" w:line="223" w:lineRule="exact"/>
        <w:rPr>
          <w:sz w:val="24"/>
          <w:szCs w:val="24"/>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1052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o No</w:t>
      </w:r>
    </w:p>
    <w:p>
      <w:pPr>
        <w:spacing w:after="0" w:line="223" w:lineRule="exact"/>
        <w:rPr>
          <w:sz w:val="24"/>
          <w:szCs w:val="24"/>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0" w:gutter="0" w:footer="0" w:header="0"/>
        </w:sectPr>
      </w:pPr>
    </w:p>
    <w:p>
      <w:pPr>
        <w:spacing w:after="0" w:line="122"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63" w:lineRule="exact"/>
        <w:rPr>
          <w:sz w:val="24"/>
          <w:szCs w:val="24"/>
          <w:color w:val="auto"/>
        </w:rPr>
      </w:pPr>
    </w:p>
    <w:p>
      <w:pPr>
        <w:sectPr>
          <w:pgSz w:w="11900" w:h="16838" w:orient="portrait"/>
          <w:cols w:equalWidth="0" w:num="2">
            <w:col w:w="7660" w:space="720"/>
            <w:col w:w="3040"/>
          </w:cols>
          <w:pgMar w:left="240" w:top="225" w:right="239" w:bottom="0" w:gutter="0" w:footer="0" w:header="0"/>
          <w:type w:val="continuous"/>
        </w:sectPr>
      </w:pPr>
    </w:p>
    <w:p>
      <w:pPr>
        <w:ind w:left="2620"/>
        <w:spacing w:after="0"/>
        <w:rPr>
          <w:sz w:val="20"/>
          <w:szCs w:val="20"/>
          <w:color w:val="auto"/>
        </w:rPr>
      </w:pPr>
      <w:r>
        <w:rPr>
          <w:rFonts w:ascii="Times New Roman" w:cs="Times New Roman" w:eastAsia="Times New Roman" w:hAnsi="Times New Roman"/>
          <w:sz w:val="18"/>
          <w:szCs w:val="18"/>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74" w:lineRule="exact"/>
        <w:rPr>
          <w:sz w:val="24"/>
          <w:szCs w:val="24"/>
          <w:color w:val="auto"/>
        </w:rPr>
      </w:pPr>
    </w:p>
    <w:p>
      <w:pPr>
        <w:sectPr>
          <w:pgSz w:w="11900" w:h="16838" w:orient="portrait"/>
          <w:cols w:equalWidth="0" w:num="2">
            <w:col w:w="7280" w:space="720"/>
            <w:col w:w="3420"/>
          </w:cols>
          <w:pgMar w:left="240" w:top="225" w:right="239" w:bottom="0" w:gutter="0" w:footer="0" w:header="0"/>
          <w:type w:val="continuous"/>
        </w:sectPr>
      </w:pPr>
    </w:p>
    <w:p>
      <w:pPr>
        <w:ind w:left="1140"/>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 o</w:t>
      </w:r>
    </w:p>
    <w:p>
      <w:pPr>
        <w:spacing w:after="0" w:line="200" w:lineRule="exact"/>
        <w:rPr>
          <w:sz w:val="24"/>
          <w:szCs w:val="24"/>
          <w:color w:val="auto"/>
        </w:rPr>
      </w:pPr>
    </w:p>
    <w:p>
      <w:pPr>
        <w:sectPr>
          <w:pgSz w:w="11900" w:h="16838" w:orient="portrait"/>
          <w:cols w:equalWidth="0" w:num="2">
            <w:col w:w="7240" w:space="720"/>
            <w:col w:w="3460"/>
          </w:cols>
          <w:pgMar w:left="240" w:top="225" w:right="239" w:bottom="0" w:gutter="0" w:footer="0" w:header="0"/>
          <w:type w:val="continuous"/>
        </w:sectPr>
      </w:pPr>
    </w:p>
    <w:p>
      <w:pPr>
        <w:spacing w:after="0" w:line="64"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o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6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358"/>
        </w:trPr>
        <w:tc>
          <w:tcPr>
            <w:tcW w:w="300" w:type="dxa"/>
            <w:vAlign w:val="bottom"/>
          </w:tcPr>
          <w:p>
            <w:pPr>
              <w:spacing w:after="0"/>
              <w:rPr>
                <w:sz w:val="24"/>
                <w:szCs w:val="24"/>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1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Trading Symbol(s)</w:t>
            </w:r>
          </w:p>
        </w:tc>
        <w:tc>
          <w:tcPr>
            <w:tcW w:w="4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30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spacing w:after="0"/>
              <w:rPr>
                <w:sz w:val="20"/>
                <w:szCs w:val="20"/>
                <w:color w:val="auto"/>
              </w:rPr>
            </w:pPr>
          </w:p>
        </w:tc>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MG</w:t>
            </w:r>
          </w:p>
        </w:tc>
        <w:tc>
          <w:tcPr>
            <w:tcW w:w="4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ectPr>
          <w:pgSz w:w="11900" w:h="16838" w:orient="portrait"/>
          <w:cols w:equalWidth="0" w:num="1">
            <w:col w:w="11420"/>
          </w:cols>
          <w:pgMar w:left="240" w:top="225" w:right="2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May 2, 2019, the registrant had 28,646,123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196215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110490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121" w:right="1440" w:bottom="1440" w:gutter="0" w:footer="0" w:header="0"/>
        </w:sectPr>
      </w:pPr>
    </w:p>
    <w:bookmarkStart w:id="2" w:name="page3"/>
    <w:bookmarkEnd w:id="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9"/>
        </w:trPr>
        <w:tc>
          <w:tcPr>
            <w:tcW w:w="10700" w:type="dxa"/>
            <w:vAlign w:val="bottom"/>
            <w:gridSpan w:val="24"/>
          </w:tcPr>
          <w:p>
            <w:pPr>
              <w:spacing w:after="0" w:line="189"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I—FINANCIAL INFORMATION</w:t>
              </w:r>
            </w:hyperlink>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910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Balance Sheets as of March 31, 2019 (unaudited) and December 31, 2018</w:t>
              </w:r>
            </w:hyperlink>
          </w:p>
        </w:tc>
        <w:tc>
          <w:tcPr>
            <w:tcW w:w="1940" w:type="dxa"/>
            <w:vAlign w:val="bottom"/>
            <w:gridSpan w:val="5"/>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1</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8"/>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(Loss) Income for the three months ended March 31, 2019 and March 31,</w:t>
              </w:r>
            </w:hyperlink>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2</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Unaudited Condensed Consolidated Statements of Comprehensive (Loss) Income for the three months ended March 31, 2019</w:t>
              </w:r>
            </w:hyperlink>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and March 31, 2018</w:t>
              </w:r>
            </w:hyperlink>
          </w:p>
        </w:tc>
        <w:tc>
          <w:tcPr>
            <w:tcW w:w="7600" w:type="dxa"/>
            <w:vAlign w:val="bottom"/>
            <w:gridSpan w:val="12"/>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8"/>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Unaudited Condensed Consolidated Statements of Equity for the three months ended March 31, 2019 and March 31, 2018</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4</w:t>
              </w:r>
            </w:hyperlink>
          </w:p>
        </w:tc>
      </w:tr>
      <w:tr>
        <w:trPr>
          <w:trHeight w:val="574"/>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Unaudited Condensed Consolidated Statements of Cash Flows for the three months ended March 31, 2019 and March 31,</w:t>
              </w:r>
            </w:hyperlink>
          </w:p>
        </w:tc>
        <w:tc>
          <w:tcPr>
            <w:tcW w:w="30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8">
              <w:r>
                <w:rPr>
                  <w:rFonts w:ascii="Times New Roman" w:cs="Times New Roman" w:eastAsia="Times New Roman" w:hAnsi="Times New Roman"/>
                  <w:sz w:val="18"/>
                  <w:szCs w:val="18"/>
                  <w:color w:val="0000EE"/>
                  <w:w w:val="94"/>
                </w:rPr>
                <w:t>2018</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5</w:t>
              </w:r>
            </w:hyperlink>
          </w:p>
        </w:tc>
        <w:tc>
          <w:tcPr>
            <w:tcW w:w="20" w:type="dxa"/>
            <w:vAlign w:val="bottom"/>
          </w:tcPr>
          <w:p>
            <w:pPr>
              <w:spacing w:after="0"/>
              <w:rPr>
                <w:sz w:val="17"/>
                <w:szCs w:val="17"/>
                <w:color w:val="auto"/>
              </w:rPr>
            </w:pPr>
          </w:p>
        </w:tc>
      </w:tr>
      <w:tr>
        <w:trPr>
          <w:trHeight w:val="520"/>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Unaudited Condensed Consolidated Financial Statements</w:t>
              </w:r>
            </w:hyperlink>
          </w:p>
        </w:tc>
        <w:tc>
          <w:tcPr>
            <w:tcW w:w="4300" w:type="dxa"/>
            <w:vAlign w:val="bottom"/>
            <w:gridSpan w:val="7"/>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ITEM 2.</w:t>
              </w:r>
            </w:hyperlink>
          </w:p>
        </w:tc>
        <w:tc>
          <w:tcPr>
            <w:tcW w:w="500" w:type="dxa"/>
            <w:vAlign w:val="bottom"/>
            <w:gridSpan w:val="2"/>
          </w:tcPr>
          <w:p>
            <w:pPr>
              <w:spacing w:after="0"/>
              <w:rPr>
                <w:sz w:val="24"/>
                <w:szCs w:val="24"/>
                <w:color w:val="auto"/>
              </w:rPr>
            </w:pPr>
          </w:p>
        </w:tc>
        <w:tc>
          <w:tcPr>
            <w:tcW w:w="9100" w:type="dxa"/>
            <w:vAlign w:val="bottom"/>
            <w:gridSpan w:val="18"/>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25</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Times New Roman" w:cs="Times New Roman" w:eastAsia="Times New Roman" w:hAnsi="Times New Roman"/>
                <w:sz w:val="18"/>
                <w:szCs w:val="18"/>
                <w:color w:val="0000EE"/>
                <w:w w:val="83"/>
              </w:rPr>
            </w:pPr>
            <w:hyperlink w:anchor="page36">
              <w:r>
                <w:rPr>
                  <w:rFonts w:ascii="Times New Roman" w:cs="Times New Roman" w:eastAsia="Times New Roman" w:hAnsi="Times New Roman"/>
                  <w:sz w:val="18"/>
                  <w:szCs w:val="18"/>
                  <w:color w:val="0000EE"/>
                  <w:w w:val="83"/>
                </w:rPr>
                <w:t>ITEM 3.</w:t>
              </w:r>
            </w:hyperlink>
          </w:p>
        </w:tc>
        <w:tc>
          <w:tcPr>
            <w:tcW w:w="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320" w:type="dxa"/>
            <w:vAlign w:val="bottom"/>
            <w:gridSpan w:val="9"/>
          </w:tcPr>
          <w:p>
            <w:pPr>
              <w:spacing w:after="0"/>
              <w:rPr>
                <w:rFonts w:ascii="Times New Roman" w:cs="Times New Roman" w:eastAsia="Times New Roman" w:hAnsi="Times New Roman"/>
                <w:sz w:val="18"/>
                <w:szCs w:val="18"/>
                <w:color w:val="0000EE"/>
                <w:w w:val="99"/>
              </w:rPr>
            </w:pPr>
            <w:hyperlink w:anchor="page36">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gridSpan w:val="3"/>
          </w:tcPr>
          <w:p>
            <w:pPr>
              <w:spacing w:after="0"/>
              <w:rPr>
                <w:sz w:val="24"/>
                <w:szCs w:val="24"/>
                <w:color w:val="auto"/>
              </w:rPr>
            </w:pPr>
          </w:p>
        </w:tc>
        <w:tc>
          <w:tcPr>
            <w:tcW w:w="264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33</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560" w:type="dxa"/>
            <w:vAlign w:val="bottom"/>
            <w:gridSpan w:val="2"/>
          </w:tcPr>
          <w:p>
            <w:pPr>
              <w:spacing w:after="0"/>
              <w:rPr>
                <w:rFonts w:ascii="Times New Roman" w:cs="Times New Roman" w:eastAsia="Times New Roman" w:hAnsi="Times New Roman"/>
                <w:sz w:val="18"/>
                <w:szCs w:val="18"/>
                <w:color w:val="0000EE"/>
                <w:w w:val="90"/>
              </w:rPr>
            </w:pPr>
            <w:hyperlink w:anchor="page37">
              <w:r>
                <w:rPr>
                  <w:rFonts w:ascii="Times New Roman" w:cs="Times New Roman" w:eastAsia="Times New Roman" w:hAnsi="Times New Roman"/>
                  <w:sz w:val="18"/>
                  <w:szCs w:val="18"/>
                  <w:color w:val="0000EE"/>
                  <w:w w:val="90"/>
                </w:rPr>
                <w:t>ITEM 4</w:t>
              </w:r>
            </w:hyperlink>
          </w:p>
        </w:tc>
        <w:tc>
          <w:tcPr>
            <w:tcW w:w="580" w:type="dxa"/>
            <w:vAlign w:val="bottom"/>
            <w:gridSpan w:val="3"/>
          </w:tcPr>
          <w:p>
            <w:pPr>
              <w:spacing w:after="0"/>
              <w:rPr>
                <w:sz w:val="24"/>
                <w:szCs w:val="24"/>
                <w:color w:val="auto"/>
              </w:rPr>
            </w:pPr>
          </w:p>
        </w:tc>
        <w:tc>
          <w:tcPr>
            <w:tcW w:w="4320" w:type="dxa"/>
            <w:vAlign w:val="bottom"/>
            <w:gridSpan w:val="9"/>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Controls and Procedures</w:t>
              </w:r>
            </w:hyperlink>
          </w:p>
        </w:tc>
        <w:tc>
          <w:tcPr>
            <w:tcW w:w="4780" w:type="dxa"/>
            <w:vAlign w:val="bottom"/>
            <w:gridSpan w:val="9"/>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34</w:t>
              </w:r>
            </w:hyperlink>
          </w:p>
        </w:tc>
      </w:tr>
      <w:tr>
        <w:trPr>
          <w:trHeight w:val="20"/>
        </w:trPr>
        <w:tc>
          <w:tcPr>
            <w:tcW w:w="48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6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PART II—OTHER INFORMATION</w:t>
              </w:r>
            </w:hyperlink>
          </w:p>
        </w:tc>
        <w:tc>
          <w:tcPr>
            <w:tcW w:w="8040" w:type="dxa"/>
            <w:vAlign w:val="bottom"/>
            <w:gridSpan w:val="14"/>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ITEM 1.</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Times New Roman" w:cs="Times New Roman" w:eastAsia="Times New Roman" w:hAnsi="Times New Roman"/>
                <w:sz w:val="18"/>
                <w:szCs w:val="18"/>
                <w:color w:val="0000EE"/>
                <w:w w:val="95"/>
              </w:rPr>
            </w:pPr>
            <w:hyperlink w:anchor="page38">
              <w:r>
                <w:rPr>
                  <w:rFonts w:ascii="Times New Roman" w:cs="Times New Roman" w:eastAsia="Times New Roman" w:hAnsi="Times New Roman"/>
                  <w:sz w:val="18"/>
                  <w:szCs w:val="18"/>
                  <w:color w:val="0000EE"/>
                  <w:w w:val="95"/>
                </w:rPr>
                <w:t>Legal Proceedings</w:t>
              </w:r>
            </w:hyperlink>
          </w:p>
        </w:tc>
        <w:tc>
          <w:tcPr>
            <w:tcW w:w="778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35</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1140" w:type="dxa"/>
            <w:vAlign w:val="bottom"/>
            <w:gridSpan w:val="5"/>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1.A.</w:t>
              </w:r>
            </w:hyperlink>
          </w:p>
        </w:tc>
        <w:tc>
          <w:tcPr>
            <w:tcW w:w="9100" w:type="dxa"/>
            <w:vAlign w:val="bottom"/>
            <w:gridSpan w:val="18"/>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Risk Factors</w:t>
              </w:r>
            </w:hyperlink>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35</w:t>
              </w:r>
            </w:hyperlink>
          </w:p>
        </w:tc>
      </w:tr>
      <w:tr>
        <w:trPr>
          <w:trHeight w:val="20"/>
        </w:trPr>
        <w:tc>
          <w:tcPr>
            <w:tcW w:w="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ITEM 2.</w:t>
              </w:r>
            </w:hyperlink>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0"/>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Unregistered Sales of Equity Securities and Use of Proceeds</w:t>
              </w:r>
            </w:hyperlink>
          </w:p>
        </w:tc>
        <w:tc>
          <w:tcPr>
            <w:tcW w:w="474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35</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ITEM 3.</w:t>
              </w:r>
            </w:hyperlink>
          </w:p>
        </w:tc>
        <w:tc>
          <w:tcPr>
            <w:tcW w:w="500" w:type="dxa"/>
            <w:vAlign w:val="bottom"/>
            <w:gridSpan w:val="2"/>
          </w:tcPr>
          <w:p>
            <w:pPr>
              <w:spacing w:after="0"/>
              <w:rPr>
                <w:sz w:val="24"/>
                <w:szCs w:val="24"/>
                <w:color w:val="auto"/>
              </w:rPr>
            </w:pPr>
          </w:p>
        </w:tc>
        <w:tc>
          <w:tcPr>
            <w:tcW w:w="4360" w:type="dxa"/>
            <w:vAlign w:val="bottom"/>
            <w:gridSpan w:val="10"/>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Defaults Upon Senior Securities</w:t>
              </w:r>
            </w:hyperlink>
          </w:p>
        </w:tc>
        <w:tc>
          <w:tcPr>
            <w:tcW w:w="4740" w:type="dxa"/>
            <w:vAlign w:val="bottom"/>
            <w:gridSpan w:val="8"/>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35</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78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ITEM 4.</w:t>
              </w:r>
            </w:hyperlink>
          </w:p>
        </w:tc>
        <w:tc>
          <w:tcPr>
            <w:tcW w:w="500" w:type="dxa"/>
            <w:vAlign w:val="bottom"/>
            <w:gridSpan w:val="2"/>
          </w:tcPr>
          <w:p>
            <w:pPr>
              <w:spacing w:after="0"/>
              <w:rPr>
                <w:sz w:val="24"/>
                <w:szCs w:val="24"/>
                <w:color w:val="auto"/>
              </w:rPr>
            </w:pPr>
          </w:p>
        </w:tc>
        <w:tc>
          <w:tcPr>
            <w:tcW w:w="1780" w:type="dxa"/>
            <w:vAlign w:val="bottom"/>
            <w:gridSpan w:val="7"/>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Mine Safety Disclosures</w:t>
              </w:r>
            </w:hyperlink>
          </w:p>
        </w:tc>
        <w:tc>
          <w:tcPr>
            <w:tcW w:w="540" w:type="dxa"/>
            <w:vAlign w:val="bottom"/>
          </w:tcPr>
          <w:p>
            <w:pPr>
              <w:spacing w:after="0"/>
              <w:rPr>
                <w:sz w:val="24"/>
                <w:szCs w:val="24"/>
                <w:color w:val="auto"/>
              </w:rPr>
            </w:pPr>
          </w:p>
        </w:tc>
        <w:tc>
          <w:tcPr>
            <w:tcW w:w="6780" w:type="dxa"/>
            <w:vAlign w:val="bottom"/>
            <w:gridSpan w:val="10"/>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35</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ITEM 5.</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Other Information</w:t>
              </w:r>
            </w:hyperlink>
          </w:p>
        </w:tc>
        <w:tc>
          <w:tcPr>
            <w:tcW w:w="460" w:type="dxa"/>
            <w:vAlign w:val="bottom"/>
            <w:gridSpan w:val="2"/>
          </w:tcPr>
          <w:p>
            <w:pPr>
              <w:spacing w:after="0"/>
              <w:rPr>
                <w:sz w:val="24"/>
                <w:szCs w:val="24"/>
                <w:color w:val="auto"/>
              </w:rPr>
            </w:pPr>
          </w:p>
        </w:tc>
        <w:tc>
          <w:tcPr>
            <w:tcW w:w="7320" w:type="dxa"/>
            <w:vAlign w:val="bottom"/>
            <w:gridSpan w:val="11"/>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36</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78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460" w:type="dxa"/>
            <w:vAlign w:val="bottom"/>
          </w:tcPr>
          <w:p>
            <w:pPr>
              <w:spacing w:after="0"/>
              <w:rPr>
                <w:sz w:val="24"/>
                <w:szCs w:val="24"/>
                <w:color w:val="auto"/>
              </w:rPr>
            </w:pPr>
          </w:p>
        </w:tc>
        <w:tc>
          <w:tcPr>
            <w:tcW w:w="640" w:type="dxa"/>
            <w:vAlign w:val="bottom"/>
            <w:gridSpan w:val="3"/>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ITEM 6.</w:t>
              </w:r>
            </w:hyperlink>
          </w:p>
        </w:tc>
        <w:tc>
          <w:tcPr>
            <w:tcW w:w="500" w:type="dxa"/>
            <w:vAlign w:val="bottom"/>
            <w:gridSpan w:val="2"/>
          </w:tcPr>
          <w:p>
            <w:pPr>
              <w:spacing w:after="0"/>
              <w:rPr>
                <w:sz w:val="24"/>
                <w:szCs w:val="24"/>
                <w:color w:val="auto"/>
              </w:rPr>
            </w:pPr>
          </w:p>
        </w:tc>
        <w:tc>
          <w:tcPr>
            <w:tcW w:w="1320" w:type="dxa"/>
            <w:vAlign w:val="bottom"/>
            <w:gridSpan w:val="5"/>
          </w:tcPr>
          <w:p>
            <w:pPr>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Exhibits</w:t>
              </w:r>
            </w:hyperlink>
          </w:p>
        </w:tc>
        <w:tc>
          <w:tcPr>
            <w:tcW w:w="7780" w:type="dxa"/>
            <w:vAlign w:val="bottom"/>
            <w:gridSpan w:val="13"/>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37</w:t>
              </w:r>
            </w:hyperlink>
          </w:p>
        </w:tc>
      </w:tr>
      <w:tr>
        <w:trPr>
          <w:trHeight w:val="20"/>
        </w:trPr>
        <w:tc>
          <w:tcPr>
            <w:tcW w:w="4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00" w:type="dxa"/>
            <w:vAlign w:val="bottom"/>
            <w:gridSpan w:val="4"/>
          </w:tcPr>
          <w:p>
            <w:pPr>
              <w:spacing w:after="0"/>
              <w:rPr>
                <w:rFonts w:ascii="Times New Roman" w:cs="Times New Roman" w:eastAsia="Times New Roman" w:hAnsi="Times New Roman"/>
                <w:sz w:val="18"/>
                <w:szCs w:val="18"/>
                <w:color w:val="0000EE"/>
                <w:w w:val="96"/>
              </w:rPr>
            </w:pPr>
            <w:hyperlink w:anchor="page41">
              <w:r>
                <w:rPr>
                  <w:rFonts w:ascii="Times New Roman" w:cs="Times New Roman" w:eastAsia="Times New Roman" w:hAnsi="Times New Roman"/>
                  <w:sz w:val="18"/>
                  <w:szCs w:val="18"/>
                  <w:color w:val="0000EE"/>
                  <w:w w:val="96"/>
                </w:rPr>
                <w:t>SIGNATURES</w:t>
              </w:r>
            </w:hyperlink>
          </w:p>
        </w:tc>
        <w:tc>
          <w:tcPr>
            <w:tcW w:w="5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1">
              <w:r>
                <w:rPr>
                  <w:rFonts w:ascii="Times New Roman" w:cs="Times New Roman" w:eastAsia="Times New Roman" w:hAnsi="Times New Roman"/>
                  <w:sz w:val="18"/>
                  <w:szCs w:val="18"/>
                  <w:color w:val="0000EE"/>
                </w:rPr>
                <w:t>38</w:t>
              </w:r>
            </w:hyperlink>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71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3"/>
        </w:trPr>
        <w:tc>
          <w:tcPr>
            <w:tcW w:w="1020" w:type="dxa"/>
            <w:vAlign w:val="bottom"/>
          </w:tcPr>
          <w:p>
            <w:pPr>
              <w:spacing w:after="0"/>
              <w:rPr>
                <w:sz w:val="24"/>
                <w:szCs w:val="24"/>
                <w:color w:val="auto"/>
              </w:rPr>
            </w:pPr>
          </w:p>
        </w:tc>
        <w:tc>
          <w:tcPr>
            <w:tcW w:w="710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Mistras Group, Inc. and Subsidiaries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1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710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2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35"/>
        </w:trPr>
        <w:tc>
          <w:tcPr>
            <w:tcW w:w="1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25,544</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148,324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7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13,053</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15,870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202,791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93,895</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109,055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111,395</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7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280,696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279,259</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7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725,437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694,037</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13,275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13,863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73,895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6,833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100,471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280,919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283,787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9,075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24,571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23,148</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6,482</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456,341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422,963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7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$0.01 par value, 200,000,000 shares authorized, 28,626,687 and 28,562,608 shares issued</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227,790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226,616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66,260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71,553</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268,910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270,897</w:t>
            </w:r>
          </w:p>
        </w:tc>
        <w:tc>
          <w:tcPr>
            <w:tcW w:w="0" w:type="dxa"/>
            <w:vAlign w:val="bottom"/>
          </w:tcPr>
          <w:p>
            <w:pPr>
              <w:spacing w:after="0"/>
              <w:rPr>
                <w:sz w:val="1"/>
                <w:szCs w:val="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7"/>
        </w:trPr>
        <w:tc>
          <w:tcPr>
            <w:tcW w:w="81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269,096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271,074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725,437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694,037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8" w:right="239" w:bottom="1440" w:gutter="0" w:footer="0" w:header="0"/>
          <w:type w:val="continuous"/>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0" w:type="dxa"/>
            <w:vAlign w:val="bottom"/>
          </w:tcPr>
          <w:p>
            <w:pPr>
              <w:spacing w:after="0"/>
              <w:rPr>
                <w:sz w:val="1"/>
                <w:szCs w:val="1"/>
                <w:color w:val="auto"/>
              </w:rPr>
            </w:pPr>
          </w:p>
        </w:tc>
      </w:tr>
      <w:tr>
        <w:trPr>
          <w:trHeight w:val="255"/>
        </w:trPr>
        <w:tc>
          <w:tcPr>
            <w:tcW w:w="8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176,787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187,630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122,417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133,787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5,698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48,874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48,145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39,034</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withdrawal expense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engineering</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6,399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(Loss) income before (benefit)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 attributable to Mistras Group, Inc.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(Loss) earnings per common share:</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28,574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28,304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28,574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29,362</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161"/>
        </w:trPr>
        <w:tc>
          <w:tcPr>
            <w:tcW w:w="8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2,919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1,500</w:t>
            </w:r>
          </w:p>
        </w:tc>
      </w:tr>
      <w:tr>
        <w:trPr>
          <w:trHeight w:val="23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4,419</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(loss) income attributable to Mistras Group,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4,405</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80" w:type="dxa"/>
            <w:vAlign w:val="bottom"/>
          </w:tcPr>
          <w:p>
            <w:pPr>
              <w:spacing w:after="0"/>
              <w:rPr>
                <w:sz w:val="12"/>
                <w:szCs w:val="12"/>
                <w:color w:val="auto"/>
              </w:rPr>
            </w:pPr>
          </w:p>
        </w:tc>
        <w:tc>
          <w:tcPr>
            <w:tcW w:w="1980" w:type="dxa"/>
            <w:vAlign w:val="bottom"/>
            <w:tcBorders>
              <w:top w:val="single" w:sz="8" w:color="auto"/>
            </w:tcBorders>
            <w:gridSpan w:val="4"/>
            <w:vMerge w:val="restart"/>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198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Mistras Group,</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80" w:type="dxa"/>
            <w:vAlign w:val="bottom"/>
          </w:tcPr>
          <w:p>
            <w:pPr>
              <w:spacing w:after="0"/>
              <w:rPr>
                <w:sz w:val="9"/>
                <w:szCs w:val="9"/>
                <w:color w:val="auto"/>
              </w:rPr>
            </w:pPr>
          </w:p>
        </w:tc>
        <w:tc>
          <w:tcPr>
            <w:tcW w:w="960" w:type="dxa"/>
            <w:vAlign w:val="bottom"/>
            <w:gridSpan w:val="2"/>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60" w:type="dxa"/>
            <w:vAlign w:val="bottom"/>
          </w:tcPr>
          <w:p>
            <w:pPr>
              <w:spacing w:after="0"/>
              <w:rPr>
                <w:sz w:val="9"/>
                <w:szCs w:val="9"/>
                <w:color w:val="auto"/>
              </w:rPr>
            </w:pPr>
          </w:p>
        </w:tc>
        <w:tc>
          <w:tcPr>
            <w:tcW w:w="1200" w:type="dxa"/>
            <w:vAlign w:val="bottom"/>
            <w:gridSpan w:val="2"/>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Inc.</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income (loss)</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263"/>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December 31, 2018</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28,563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226,616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71,553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270,897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271,074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loss</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(5,293)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(5,293)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(5,286)</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2,133</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Share-based payments</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1,427</w:t>
            </w:r>
          </w:p>
        </w:tc>
        <w:tc>
          <w:tcPr>
            <w:tcW w:w="0" w:type="dxa"/>
            <w:vAlign w:val="bottom"/>
          </w:tcPr>
          <w:p>
            <w:pPr>
              <w:spacing w:after="0"/>
              <w:rPr>
                <w:sz w:val="1"/>
                <w:szCs w:val="1"/>
                <w:color w:val="auto"/>
              </w:rPr>
            </w:pPr>
          </w:p>
        </w:tc>
      </w:tr>
      <w:tr>
        <w:trPr>
          <w:trHeight w:val="152"/>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settlement on vesting of restricted</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stock units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42"/>
        </w:trPr>
        <w:tc>
          <w:tcPr>
            <w:tcW w:w="2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March 31, 2019</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28,627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227,790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268,910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269,096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18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December 31, 2017</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28,295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222,425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64,717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270,619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270,792</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income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2,919</w:t>
            </w: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1,502</w:t>
            </w:r>
          </w:p>
        </w:tc>
        <w:tc>
          <w:tcPr>
            <w:tcW w:w="0" w:type="dxa"/>
            <w:vAlign w:val="bottom"/>
          </w:tcPr>
          <w:p>
            <w:pPr>
              <w:spacing w:after="0"/>
              <w:rPr>
                <w:sz w:val="1"/>
                <w:szCs w:val="1"/>
                <w:color w:val="auto"/>
              </w:rPr>
            </w:pPr>
          </w:p>
        </w:tc>
      </w:tr>
      <w:tr>
        <w:trPr>
          <w:trHeight w:val="262"/>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Share-based payments</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2"/>
                <w:szCs w:val="22"/>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1,194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1,194</w:t>
            </w:r>
          </w:p>
        </w:tc>
        <w:tc>
          <w:tcPr>
            <w:tcW w:w="0" w:type="dxa"/>
            <w:vAlign w:val="bottom"/>
          </w:tcPr>
          <w:p>
            <w:pPr>
              <w:spacing w:after="0"/>
              <w:rPr>
                <w:sz w:val="1"/>
                <w:szCs w:val="1"/>
                <w:color w:val="auto"/>
              </w:rPr>
            </w:pPr>
          </w:p>
        </w:tc>
      </w:tr>
      <w:tr>
        <w:trPr>
          <w:trHeight w:val="152"/>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settlement on vesting of restricted</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stock units</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242"/>
        </w:trPr>
        <w:tc>
          <w:tcPr>
            <w:tcW w:w="21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Balance at March 31, 2018</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28,314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223,576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67,624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(15,305)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276,177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187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276,364</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7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82"/>
        </w:trPr>
        <w:tc>
          <w:tcPr>
            <w:tcW w:w="754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4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400" w:type="dxa"/>
            <w:vAlign w:val="bottom"/>
            <w:tcBorders>
              <w:top w:val="single" w:sz="8" w:color="auto"/>
            </w:tcBorders>
            <w:shd w:val="clear" w:color="auto" w:fill="CCEEFF"/>
          </w:tcPr>
          <w:p>
            <w:pPr>
              <w:spacing w:after="0"/>
              <w:rPr>
                <w:sz w:val="24"/>
                <w:szCs w:val="24"/>
                <w:color w:val="auto"/>
              </w:rPr>
            </w:pPr>
          </w:p>
        </w:tc>
      </w:tr>
      <w:tr>
        <w:trPr>
          <w:trHeight w:val="265"/>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5"/>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income</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2,919</w:t>
            </w:r>
          </w:p>
        </w:tc>
      </w:tr>
      <w:tr>
        <w:trPr>
          <w:trHeight w:val="265"/>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9,668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8,648</w:t>
            </w:r>
          </w:p>
        </w:tc>
      </w:tr>
      <w:tr>
        <w:trPr>
          <w:trHeight w:val="26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income taxes</w:t>
            </w:r>
          </w:p>
        </w:tc>
        <w:tc>
          <w:tcPr>
            <w:tcW w:w="22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260</w:t>
            </w: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1,126</w:t>
            </w:r>
          </w:p>
        </w:tc>
      </w:tr>
      <w:tr>
        <w:trPr>
          <w:trHeight w:val="26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Bad debt provision for troubled customers, net of recoveries</w:t>
            </w:r>
          </w:p>
        </w:tc>
        <w:tc>
          <w:tcPr>
            <w:tcW w:w="22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Fair value adjustments to contingent consideration</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r>
      <w:tr>
        <w:trPr>
          <w:trHeight w:val="26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(gain) loss</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w:t>
            </w: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265"/>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 net of effect of acquisitions and dispositions</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6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26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(3,703)</w:t>
            </w:r>
          </w:p>
        </w:tc>
      </w:tr>
      <w:tr>
        <w:trPr>
          <w:trHeight w:val="265"/>
        </w:trPr>
        <w:tc>
          <w:tcPr>
            <w:tcW w:w="7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2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1,965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r>
      <w:tr>
        <w:trPr>
          <w:trHeight w:val="255"/>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8,177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5,818</w:t>
            </w:r>
          </w:p>
        </w:tc>
      </w:tr>
      <w:tr>
        <w:trPr>
          <w:trHeight w:val="265"/>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(5,182)</w:t>
            </w:r>
          </w:p>
        </w:tc>
      </w:tr>
      <w:tr>
        <w:trPr>
          <w:trHeight w:val="26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intangible assets</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equipment</w:t>
            </w: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575</w:t>
            </w:r>
          </w:p>
        </w:tc>
      </w:tr>
      <w:tr>
        <w:trPr>
          <w:trHeight w:val="245"/>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(4,772)</w:t>
            </w:r>
          </w:p>
        </w:tc>
      </w:tr>
      <w:tr>
        <w:trPr>
          <w:trHeight w:val="275"/>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capital lease obligations</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(1,630)</w:t>
            </w: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borrowings of long-term debt</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371</w:t>
            </w:r>
          </w:p>
        </w:tc>
      </w:tr>
      <w:tr>
        <w:trPr>
          <w:trHeight w:val="26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w:t>
            </w: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revolver</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18,600</w:t>
            </w:r>
          </w:p>
        </w:tc>
      </w:tr>
      <w:tr>
        <w:trPr>
          <w:trHeight w:val="26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revolver</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(10,700)</w:t>
            </w: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contingent consideration for business acquisitions</w:t>
            </w:r>
          </w:p>
        </w:tc>
        <w:tc>
          <w:tcPr>
            <w:tcW w:w="2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r>
      <w:tr>
        <w:trPr>
          <w:trHeight w:val="26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 paid related to net share settlement of share-based awards</w:t>
            </w: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5"/>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4,261</w:t>
            </w: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284</w:t>
            </w:r>
          </w:p>
        </w:tc>
      </w:tr>
      <w:tr>
        <w:trPr>
          <w:trHeight w:val="245"/>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5,591</w:t>
            </w:r>
          </w:p>
        </w:tc>
      </w:tr>
      <w:tr>
        <w:trPr>
          <w:trHeight w:val="270"/>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25,544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27,541</w:t>
            </w:r>
          </w:p>
        </w:tc>
      </w:tr>
      <w:tr>
        <w:trPr>
          <w:trHeight w:val="250"/>
        </w:trPr>
        <w:tc>
          <w:tcPr>
            <w:tcW w:w="75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24,600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33,132</w:t>
            </w:r>
          </w:p>
        </w:tc>
      </w:tr>
      <w:tr>
        <w:trPr>
          <w:trHeight w:val="255"/>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disclosure of cash paid</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65"/>
        </w:trPr>
        <w:tc>
          <w:tcPr>
            <w:tcW w:w="7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3,428</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1,590</w:t>
            </w: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1,091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2,136</w:t>
            </w:r>
          </w:p>
        </w:tc>
      </w:tr>
      <w:tr>
        <w:trPr>
          <w:trHeight w:val="265"/>
        </w:trPr>
        <w:tc>
          <w:tcPr>
            <w:tcW w:w="7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Noncash investing and financing</w:t>
            </w: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5"/>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Equipment acquired through capital lease obligations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587</w:t>
            </w:r>
          </w:p>
        </w:tc>
      </w:tr>
    </w:tbl>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0900"/>
          </w:cols>
          <w:pgMar w:left="240" w:top="118" w:right="759" w:bottom="1440" w:gutter="0" w:footer="0" w:header="0"/>
        </w:sectPr>
      </w:pPr>
    </w:p>
    <w:p>
      <w:pPr>
        <w:spacing w:after="0" w:line="23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240" w:top="118" w:right="759" w:bottom="1440" w:gutter="0" w:footer="0" w:header="0"/>
          <w:type w:val="continuous"/>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80" w:hanging="672"/>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non-destructive testing (NDT) and mechanical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commercial aerospace and defense, fossil and nuclear power, alternative and renewable energy, public infrastructure, chemicals, transportation, primary metals and metalworking, pharmaceutical/biotechnology and food processing industries and research and engineering institutions.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years ending December 31, 2019 and 2018.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(“2018 Annual Report”) for the year ended December 31, 2018, as filed with the Securities and Exchange Commission on March 15,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net income, net of tax, is classified separately in the accompanying condensed consolidated statements of income. All significant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customers that represented 10% of our revenues for either of the three months ended March 31, 2019 or 2018,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disclosed in Note 1 — </w:t>
      </w:r>
      <w:r>
        <w:rPr>
          <w:rFonts w:ascii="Times New Roman" w:cs="Times New Roman" w:eastAsia="Times New Roman" w:hAnsi="Times New Roman"/>
          <w:sz w:val="18"/>
          <w:szCs w:val="18"/>
          <w:i w:val="1"/>
          <w:iCs w:val="1"/>
          <w:color w:val="auto"/>
        </w:rPr>
        <w:t>Summary of Significant Accounting Policies and Practices</w:t>
      </w:r>
      <w:r>
        <w:rPr>
          <w:rFonts w:ascii="Times New Roman" w:cs="Times New Roman" w:eastAsia="Times New Roman" w:hAnsi="Times New Roman"/>
          <w:sz w:val="18"/>
          <w:szCs w:val="18"/>
          <w:color w:val="auto"/>
        </w:rPr>
        <w:t xml:space="preserve"> in the 2018 Annual Report. On an ongoing basis, the Company evaluates its estimates and assumptions, including among other things, those related to revenue recognition, long-lived assets, goodwill and acquisitions. Since the date of the 2018 Annual Report, there have been no material changes to the Company's significant accounting policies, other than its adoption of the new leasing standard on January 1, 2019.</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17" w:right="2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22, 2017, the United States enacted fundamental changes to federal tax law following the passage of the Tax Cuts and Jobs Act (the “Tax Act”). The Company’s financial statements for the periods ended March 31, 2019 and March 31, 2018 reflected provisions of the Tax Act effective for periods beginning after December 31, 2017, which includes the reduced federal corporate tax rate of from 35% to 21%, adjustments made to executive compensation and meals and entertainment rules, and the inclusion of new categories of income, global intangible low-taxes income (“GILTI”) and foreign derived intangible income (“FDII”). The Company’s effective income tax rate was approximately 33% and 37% for the three months ended March 31, 2019 and 2018, respectively. The effective income tax rate for the first quarter of 2019 and 2018 was higher than the statutory rate due to the impact of discrete items, GILTI and executive compensation provisions resulting from the passage of the Tax Act, and foreign tax rates different than statutory rates in the U.S.</w:t>
      </w:r>
    </w:p>
    <w:p>
      <w:pPr>
        <w:spacing w:after="0" w:line="10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completed the accounting for the adoption of the Tax Act, but the amounts recorded in 2019 for the Tax Act related to the calculations of the GILTI, FDII, executive compensation and meals and entertainment are the Company’s best estimates based on the current data and guidance available. The Company is continuing to evaluate the state tax conformity to the Tax Act, including the GILTI provisions. Given the complexity of the new GILTI tax rules, the Company is continuing to evaluate this provision of the Tax Act and the application of ASC 740. Under U.S. GAAP, the Company is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In 2018, the Company made an accounting policy election to account for these effects under the period cost method.</w:t>
      </w:r>
    </w:p>
    <w:p>
      <w:pPr>
        <w:spacing w:after="0" w:line="10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Mistras and its subsidiaries file tax returns in the U.S., including various state and local returns and in other foreign jurisdictions. The Company believes adequate provision has been made for all income tax uncertainties.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7"/>
          <w:szCs w:val="17"/>
          <w:color w:val="auto"/>
        </w:rPr>
        <w:t xml:space="preserve">In February 2016, the </w:t>
      </w:r>
      <w:r>
        <w:rPr>
          <w:rFonts w:ascii="Times New Roman" w:cs="Times New Roman" w:eastAsia="Times New Roman" w:hAnsi="Times New Roman"/>
          <w:sz w:val="17"/>
          <w:szCs w:val="17"/>
          <w:color w:val="080808"/>
        </w:rPr>
        <w:t>Financial Accounting Standards Board ("</w:t>
      </w:r>
      <w:r>
        <w:rPr>
          <w:rFonts w:ascii="Times New Roman" w:cs="Times New Roman" w:eastAsia="Times New Roman" w:hAnsi="Times New Roman"/>
          <w:sz w:val="17"/>
          <w:szCs w:val="17"/>
          <w:color w:val="auto"/>
        </w:rPr>
        <w:t xml:space="preserve">FASB") issued Accounting Standards Update ("ASU") No. 2016-02,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which the Company adopted as of January 1, 2019. Topic 842 requires the recognition of lease rights and obligations as assets and liabilities on the balance sheet. The Company elected the modified retrospective method permitted by the standard, upon which prior-period information has not been restated.</w:t>
      </w:r>
    </w:p>
    <w:p>
      <w:pPr>
        <w:spacing w:after="0" w:line="15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standard provided for several practical expedient options for use in transition. The Company elected to utilize the “package of practical expedients,” which permits the Company not to reassess previous conclusions reached on lease identification, lease classification and initial direct costs. The Company also elected to utilize the practical expedient available to not separate lease and non-lease components within the lease and have therefore accounted for all lease components as a single lease component.</w:t>
      </w:r>
    </w:p>
    <w:p>
      <w:pPr>
        <w:spacing w:after="0" w:line="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Adoption of the new standard resulted in the recording of a right-of-use (ROU) asset and liability related to the Company’s operating leases of approximately $38 million as of January 1, 2019. The new standard did not have a material impact to our statements of (loss) income or cash flows.</w:t>
      </w:r>
    </w:p>
    <w:p>
      <w:pPr>
        <w:spacing w:after="0" w:line="29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2017-04, </w:t>
      </w:r>
      <w:r>
        <w:rPr>
          <w:rFonts w:ascii="Times New Roman" w:cs="Times New Roman" w:eastAsia="Times New Roman" w:hAnsi="Times New Roman"/>
          <w:sz w:val="18"/>
          <w:szCs w:val="18"/>
          <w:i w:val="1"/>
          <w:iCs w:val="1"/>
          <w:color w:val="auto"/>
        </w:rPr>
        <w:t>Intangibles-Goodwill and Other (Topic 350).</w:t>
      </w:r>
      <w:r>
        <w:rPr>
          <w:rFonts w:ascii="Times New Roman" w:cs="Times New Roman" w:eastAsia="Times New Roman" w:hAnsi="Times New Roman"/>
          <w:sz w:val="18"/>
          <w:szCs w:val="18"/>
          <w:color w:val="auto"/>
        </w:rPr>
        <w:t xml:space="preserve"> This amendment eliminates Step Two of the goodwill impairment test. Under the amendments in this update, entities should perform the annual goodwill impairment test by comparing the carrying value of its reporting units to their fair value. An entity should record an impairment charge for the amount by which the carrying amount exceeds the reporting unit’s fair value. Tax deductibility of goodwill should be considered in evaluating any reporting unit's impairment loss to be taken. ASU 2017-04 is effective for fiscal years beginning after December 15, 2019, with early adoption permitted. The Company early adopted ASU 2017-04 in the third quarter of 2017 for its condensed consolidated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The majority of the Company's revenues are derived from providing services on a time and material basis and are short-term in nature. The Company accounts for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which was adopted on January 1, 2018.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The Company provides highly integrated and bundled inspection services to its customers. Some of our contracts have multiple performance obligations, most commonly due to the contract providing both goods and services. For contracts with multiple performance obligations, the Company allocates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Revenue is recognized on a cost-to-cost method tracked on an input basis.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majority of our revenues are short-term in nature. The Company has many Master Service Agreements (MSAs) that specify an overall framework and terms of contract when the Company and customers agree upon services or products to be provided.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our disaggregated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Corp/Elim</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&amp; Gas</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91,666</w:t>
            </w:r>
          </w:p>
        </w:tc>
        <w:tc>
          <w:tcPr>
            <w:tcW w:w="6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5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101,385</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Aerospace &amp; Defense</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24,755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Industrials</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21,630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Process Industries</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8,566</w:t>
            </w:r>
          </w:p>
        </w:tc>
        <w:tc>
          <w:tcPr>
            <w:tcW w:w="0" w:type="dxa"/>
            <w:vAlign w:val="bottom"/>
          </w:tcPr>
          <w:p>
            <w:pPr>
              <w:spacing w:after="0"/>
              <w:rPr>
                <w:sz w:val="1"/>
                <w:szCs w:val="1"/>
                <w:color w:val="auto"/>
              </w:rPr>
            </w:pPr>
          </w:p>
        </w:tc>
      </w:tr>
      <w:tr>
        <w:trPr>
          <w:trHeight w:val="225"/>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Infrastructure, Research &amp;</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Engineering</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5,217</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140,298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35,162</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176,787</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2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20"/>
                <w:szCs w:val="20"/>
                <w:color w:val="auto"/>
              </w:rPr>
            </w:pPr>
          </w:p>
        </w:tc>
        <w:tc>
          <w:tcPr>
            <w:tcW w:w="13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Corp/Elim</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&amp; Gas</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103,290</w:t>
            </w:r>
          </w:p>
        </w:tc>
        <w:tc>
          <w:tcPr>
            <w:tcW w:w="66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54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111,961</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Aerospace &amp; Defense</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27,589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Industrials</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18,657</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generation &amp; Transmission</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8,635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Process Industries</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7,202</w:t>
            </w:r>
          </w:p>
        </w:tc>
        <w:tc>
          <w:tcPr>
            <w:tcW w:w="0" w:type="dxa"/>
            <w:vAlign w:val="bottom"/>
          </w:tcPr>
          <w:p>
            <w:pPr>
              <w:spacing w:after="0"/>
              <w:rPr>
                <w:sz w:val="1"/>
                <w:szCs w:val="1"/>
                <w:color w:val="auto"/>
              </w:rPr>
            </w:pPr>
          </w:p>
        </w:tc>
      </w:tr>
      <w:tr>
        <w:trPr>
          <w:trHeight w:val="225"/>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Infrastructure, Research &amp;</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Engineering</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5,199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8,387</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145,595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38,456</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187,630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24"/>
                <w:szCs w:val="24"/>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20" w:type="dxa"/>
            <w:vAlign w:val="bottom"/>
          </w:tcPr>
          <w:p>
            <w:pPr>
              <w:spacing w:after="0"/>
              <w:rPr>
                <w:sz w:val="24"/>
                <w:szCs w:val="24"/>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Corp/Elim</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3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(1,282)</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114,100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Americas</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26,708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28,947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31,626</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140,298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35,162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(2,105)</w:t>
            </w: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176,787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gridSpan w:val="2"/>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Pr>
          <w:p>
            <w:pPr>
              <w:spacing w:after="0"/>
              <w:rPr>
                <w:sz w:val="24"/>
                <w:szCs w:val="24"/>
                <w:color w:val="auto"/>
              </w:rPr>
            </w:pPr>
          </w:p>
        </w:tc>
        <w:tc>
          <w:tcPr>
            <w:tcW w:w="14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20" w:type="dxa"/>
            <w:vAlign w:val="bottom"/>
          </w:tcPr>
          <w:p>
            <w:pPr>
              <w:spacing w:after="0"/>
              <w:rPr>
                <w:sz w:val="24"/>
                <w:szCs w:val="24"/>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Corp/Elim</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123,562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34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(1,097)</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125,990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Americas</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21,783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23,513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34,268</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w:t>
            </w: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145,595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38,456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(2,605)</w:t>
            </w:r>
          </w:p>
        </w:tc>
        <w:tc>
          <w:tcPr>
            <w:tcW w:w="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187,630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condensed consolidated balance sheet.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 advances or deposits from our customers before revenue is recognized, resulting in contract liabilities. These assets and liabilities are aggregated on an individual contract basis and reported on the condensed consolidated balance sheet at the end of each reporting period within accrued expenses and other current liabilities.</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recognized in 2019, that was included in the contract liability balance at the beginning of the year was $1.8 million. Changes in the contract asset and liability balances during the quarter ended March 31, 2019, were not materially impacted by any other factors. The Company has elected to utilize a practical expedient to expense incremental costs incurred related to obtaining a contract. The Company’s expenses are expected to be amortized over a period less than one year.</w:t>
      </w:r>
    </w:p>
    <w:p>
      <w:pPr>
        <w:spacing w:after="0" w:line="311" w:lineRule="exact"/>
        <w:rPr>
          <w:sz w:val="20"/>
          <w:szCs w:val="20"/>
          <w:color w:val="auto"/>
        </w:rPr>
      </w:pPr>
    </w:p>
    <w:p>
      <w:pPr>
        <w:ind w:left="680" w:hanging="672"/>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7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has share-based incentive awards outstanding to its eligible employees and non-employee directors under three equity incentive plans: (i) the 2007 Stock Option Plan (the "2007 Plan"), (ii) the 2009 Long-Term Incentive Plan (the "2009 Plan") and (iii) the 2016 Long-Term Incentive Plan (the "2016 Plan"). No further awards may be granted under the 2007 and 2009 Plans, although awards granted under the 2007 and 2009 Plans remain outstanding in accordance with their terms. Awards granted under the 2016 Plan may be in the form of stock options, restricted stock units and other forms of share-based incentives, including performance restricted stock units, stock appreciation rights and deferred stock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and 2018, the Company did not recognize any share-based compensation expense related to stock option awards, as all outstanding stock options awards are fully vested.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unrecognized compensation costs remained related to stock option awards as of March 31,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stock options were granted during the three months ended March 31, 2019 and March 31,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stock option activity, weighted average exercise prices and options outstanding as of March 31,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2018:</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vMerge w:val="restart"/>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2,105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 or forfeited</w:t>
            </w:r>
          </w:p>
        </w:tc>
        <w:tc>
          <w:tcPr>
            <w:tcW w:w="12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2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and March 31, 2018, the Company recognized share-based compensation expense related to restricted stock unit awards of $0.9 million and $0.8 million, respectively. As of March 31, 2019, there was $10.0 million of unrecognized compensation costs, net of estimated forfeitures, related to restricted stock unit awards, which are expected to be recognized over a remaining weighted average period of 2.9 years.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 summary of the vesting activity of restricted stock unit awards, with the respective fair value of the awards, is as follows: (awards in thousands, fair value in millions)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stock awards vested</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awards vested</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Upon vesting, restricted stock units are generally net share-settled to cover the required minimum withholding tax and the remaining amount is converted into an equivalent number of shares of common stock.</w:t>
      </w:r>
    </w:p>
    <w:p>
      <w:pPr>
        <w:spacing w:after="0" w:line="16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A summary of the fully-vested common stock the Company issued to its five non-employee directors, in connection with its non-employee director compensation plan, is as follows: (awards in thousands, fair value in millions)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64"/>
        </w:trPr>
        <w:tc>
          <w:tcPr>
            <w:tcW w:w="85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issued</w:t>
            </w: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920" w:type="dxa"/>
            <w:vAlign w:val="bottom"/>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restricted share units is as follows:</w:t>
      </w:r>
    </w:p>
    <w:p>
      <w:pPr>
        <w:spacing w:after="0" w:line="38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24765</wp:posOffset>
            </wp:positionV>
            <wp:extent cx="39789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9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90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5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20.55</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532</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14.04</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Released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19.21</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20.78</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92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40" w:type="dxa"/>
            <w:vAlign w:val="bottom"/>
            <w:tcBorders>
              <w:top w:val="single" w:sz="8" w:color="auto"/>
              <w:bottom w:val="single" w:sz="8" w:color="auto"/>
            </w:tcBorders>
          </w:tcPr>
          <w:p>
            <w:pPr>
              <w:spacing w:after="0"/>
              <w:rPr>
                <w:sz w:val="22"/>
                <w:szCs w:val="22"/>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17.61</w:t>
            </w:r>
          </w:p>
        </w:tc>
        <w:tc>
          <w:tcPr>
            <w:tcW w:w="22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723</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maintains Performance Restricted Stock Units (PRSUs) that have been granted to select executives and senior officers whose ultimate payout is based on the Company’s performance over a one-year period based on three metrics, as defined: (1) Operating Income, (2) Adjusted EBITDAS and (3) Revenue. There also is a discretionary portion of the PRSUs based on individual performance, at the discretion of the Compensation Committee (Discretionary PRSUs). PRSUs and Discretionary PRSUs generally vest ratably on each of the first four anniversary dates upon completion of the performance period, for a total requisite service period of up to five years and have no dividend rights.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PRSUs are equity-classified and compensation costs are initially measured using the fair value of the underlying stock at the date of grant, assuming that the target performance conditions will be achieved. Compensation costs related to the PRSUs are subsequently adjusted for changes in the expected outcomes of the performance conditions.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Discretionary PRSUs are liability-classified and adjusted to fair value (with a corresponding adjustment to compensation expense) based upon the targeted number of shares to be awarded and the fair value of the underlying stock each reporting period until approved by the Compensation Committee, at which point they are classified as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240665</wp:posOffset>
            </wp:positionV>
            <wp:extent cx="49225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right"/>
              <w:ind w:right="11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jc w:val="center"/>
              <w:ind w:left="70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8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jc w:val="center"/>
              <w:ind w:left="688"/>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00" w:type="dxa"/>
            <w:vAlign w:val="bottom"/>
          </w:tcPr>
          <w:p>
            <w:pPr>
              <w:jc w:val="center"/>
              <w:ind w:right="27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53"/>
        </w:trPr>
        <w:tc>
          <w:tcPr>
            <w:tcW w:w="4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560" w:type="dxa"/>
            <w:vAlign w:val="bottom"/>
            <w:gridSpan w:val="2"/>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278</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3"/>
            <w:shd w:val="clear" w:color="auto" w:fill="CCEEFF"/>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43"/>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Performance condition adjustments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60" w:type="dxa"/>
            <w:vAlign w:val="bottom"/>
            <w:gridSpan w:val="2"/>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Released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560" w:type="dxa"/>
            <w:vAlign w:val="bottom"/>
            <w:tcBorders>
              <w:bottom w:val="single" w:sz="8" w:color="CCEEFF"/>
            </w:tcBorders>
            <w:gridSpan w:val="2"/>
            <w:shd w:val="clear" w:color="auto" w:fill="CCEEFF"/>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13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560" w:type="dxa"/>
            <w:vAlign w:val="bottom"/>
            <w:gridSpan w:val="2"/>
            <w:shd w:val="clear" w:color="auto" w:fill="CCEEFF"/>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394</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and March 31, 2018, the Compensation Committee approved the final calculation of the award metrics for calendar year 2018 and calendar year 2017, respectively. As a result, the calendar year 2018 PRSUs decreased by approximately 3,000 units and the calendar year 2017 PRSUs increased by approximately 5,000 units.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and March 31, 2018, the Company recognized aggregate share-based compensation expense related to the awards described above of approximately $0.2 million and $0.1 million, respectively. At March 31, 2019, there was $1.5 million of total unrecognized compensation costs related to approximately 257,000 non-vested PRSUs, which are expected to be recognized over a remaining weighted average period of 1.8 years.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still in the process of reviewing the key terms and metrics related to the long-term executive compensation plan for calendar year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PRSUs. As such, no shares have been granted, as noted in the table above. The Company expects these awards to be finalized and approved by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during the second quarter of 2019.</w:t>
      </w:r>
    </w:p>
    <w:p>
      <w:pPr>
        <w:spacing w:after="0" w:line="203" w:lineRule="exact"/>
        <w:rPr>
          <w:sz w:val="20"/>
          <w:szCs w:val="20"/>
          <w:color w:val="auto"/>
        </w:rPr>
      </w:pPr>
    </w:p>
    <w:p>
      <w:pPr>
        <w:ind w:left="680" w:hanging="672"/>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7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200" w:firstLine="8"/>
        <w:spacing w:after="0" w:line="25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per share: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7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161"/>
        </w:trPr>
        <w:tc>
          <w:tcPr>
            <w:tcW w:w="7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Mistras Group, Inc.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5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2,907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28,574</w:t>
            </w:r>
          </w:p>
        </w:tc>
        <w:tc>
          <w:tcPr>
            <w:tcW w:w="3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28,304</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0.10</w:t>
            </w:r>
          </w:p>
        </w:tc>
      </w:tr>
      <w:tr>
        <w:trPr>
          <w:trHeight w:val="284"/>
        </w:trPr>
        <w:tc>
          <w:tcPr>
            <w:tcW w:w="7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Mistras Group, Inc.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2,907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28,574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28,304</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stock options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745</w:t>
            </w:r>
          </w:p>
        </w:tc>
      </w:tr>
      <w:tr>
        <w:trPr>
          <w:trHeight w:val="243"/>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restricted stock units outstanding</w:t>
            </w: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n/a</w:t>
            </w:r>
          </w:p>
        </w:tc>
        <w:tc>
          <w:tcPr>
            <w:tcW w:w="340" w:type="dxa"/>
            <w:vAlign w:val="bottom"/>
          </w:tcPr>
          <w:p>
            <w:pPr>
              <w:jc w:val="right"/>
              <w:ind w:right="83"/>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313</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28,574</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29,362</w:t>
            </w: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3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0.10</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the three months ended March 31, 2019, 212 shares were excluded from the calculation of diluted EPS due to the net loss for the period.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the three months ended March 31, 2019, 168 shares were excluded from the calculation of diluted EPS due to the net loss for the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46" w:lineRule="exact"/>
        <w:rPr>
          <w:sz w:val="20"/>
          <w:szCs w:val="20"/>
          <w:color w:val="auto"/>
        </w:rPr>
      </w:pPr>
    </w:p>
    <w:p>
      <w:pPr>
        <w:ind w:left="680" w:hanging="672"/>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2019 and March 31, 2018, the Company did not complete any acquisitions.</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accounts for acquisitions in accordance with the acquisition method of accounting for business combinations. The assets and liabilities of one of the businesses acquired in 2018 were included in the Company's condensed consolidated balance sheet based upon its estimated fair value on the date of acquisition as determined in a preliminary purchase price allocation, using available information and making assumptions management believed were reasonable. The Company is still in the process of completing its valuation of the assets, both tangible and intangible, and liabilities acquired for the acquisition completed during 2018. The results of operations for this acquisition have been included in the Services segment's results from the date of acquisition. Goodwill of $83.2 million primarily relates to expected synergies and assembled workforce, and is not deductible for tax purposes. Other intangible assets, primarily related to technology, customer relationships and covenants not to compete, were $59.6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Expense</w:t>
      </w:r>
    </w:p>
    <w:p>
      <w:pPr>
        <w:spacing w:after="0" w:line="2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 the course of its acquisition activities, the Company incurs costs in connection with due diligence, professional fees, and other expenses. Additionally, the Company adjusts the fair value of acquisition-related contingent consideration liabilities on a quarterly basis. These amounts are recorded as acquisition-related expense (benefit), net, on the condensed consolidated statements of income and were as follows for the three months ended March 31, 2019 and 2018:</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4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Due diligence, professional fees and other transaction costs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fair value of contingent consideration liabilities</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7"/>
        </w:trPr>
        <w:tc>
          <w:tcPr>
            <w:tcW w:w="8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contingent consideration liabilities are recorded on the balance sheet in accrued expenses and other liabilities.</w:t>
      </w:r>
    </w:p>
    <w:p>
      <w:pPr>
        <w:spacing w:after="0" w:line="200" w:lineRule="exact"/>
        <w:rPr>
          <w:sz w:val="20"/>
          <w:szCs w:val="20"/>
          <w:color w:val="auto"/>
        </w:rPr>
      </w:pPr>
    </w:p>
    <w:p>
      <w:pPr>
        <w:spacing w:after="0" w:line="237" w:lineRule="exact"/>
        <w:rPr>
          <w:sz w:val="20"/>
          <w:szCs w:val="20"/>
          <w:color w:val="auto"/>
        </w:rPr>
      </w:pPr>
    </w:p>
    <w:p>
      <w:pPr>
        <w:ind w:left="680" w:hanging="672"/>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161"/>
        </w:trPr>
        <w:tc>
          <w:tcPr>
            <w:tcW w:w="79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148,070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152,511</w:t>
            </w:r>
          </w:p>
        </w:tc>
      </w:tr>
      <w:tr>
        <w:trPr>
          <w:trHeight w:val="243"/>
        </w:trPr>
        <w:tc>
          <w:tcPr>
            <w:tcW w:w="7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w:t>
            </w:r>
          </w:p>
        </w:tc>
      </w:tr>
      <w:tr>
        <w:trPr>
          <w:trHeight w:val="27"/>
        </w:trPr>
        <w:tc>
          <w:tcPr>
            <w:tcW w:w="7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138,505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148,324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had $25.9 million and $16.1 million of unbilled revenues accrued as of March 31, 2019 and December 31, 2018, respectively and such amounts are included within the trade accounts receivable balances above. Unbilled revenues are generally billed in the subsequent quarter to their revenue recognition.</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the fourth quarter of 2018, the Company recorded a reserve of $0.7 million for a renewable energy industry customer of the Company’s Services Division, based in part on the available information about the financial difficulties of the customer. This customer filed for a voluntary insolvency proceeding on April 9, 2019 at which time payments under the previously agreed upon payment plan ceased. As a result, during the first quarter of 2019, the Company recorded an additional charge of $5.7 million to fully reserve for the amount of the exposure related to this customer. During the first quarter of 2019 the Company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also recorded a net $0.2 million recovery of an unrelated bad debt provision which the Company had initially recorded as a charge during the second quarter of 2017.</w:t>
      </w:r>
    </w:p>
    <w:p>
      <w:pPr>
        <w:spacing w:after="0" w:line="374" w:lineRule="exact"/>
        <w:rPr>
          <w:sz w:val="20"/>
          <w:szCs w:val="20"/>
          <w:color w:val="auto"/>
        </w:rPr>
      </w:pPr>
    </w:p>
    <w:p>
      <w:pPr>
        <w:ind w:left="680" w:hanging="672"/>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net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840" w:type="dxa"/>
            <w:vAlign w:val="bottom"/>
          </w:tcPr>
          <w:p>
            <w:pPr>
              <w:jc w:val="center"/>
              <w:ind w:left="1037"/>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80" w:type="dxa"/>
            <w:vAlign w:val="bottom"/>
          </w:tcPr>
          <w:p>
            <w:pPr>
              <w:spacing w:after="0"/>
              <w:rPr>
                <w:sz w:val="13"/>
                <w:szCs w:val="13"/>
                <w:color w:val="auto"/>
              </w:rPr>
            </w:pPr>
          </w:p>
        </w:tc>
        <w:tc>
          <w:tcPr>
            <w:tcW w:w="1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3"/>
                <w:szCs w:val="13"/>
                <w:color w:val="auto"/>
              </w:rPr>
            </w:pPr>
          </w:p>
        </w:tc>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2840" w:type="dxa"/>
            <w:vAlign w:val="bottom"/>
          </w:tcPr>
          <w:p>
            <w:pPr>
              <w:jc w:val="center"/>
              <w:ind w:left="1037"/>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8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2,680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40" w:type="dxa"/>
            <w:vAlign w:val="bottom"/>
          </w:tcPr>
          <w:p>
            <w:pPr>
              <w:jc w:val="center"/>
              <w:ind w:left="1057"/>
              <w:spacing w:after="0"/>
              <w:rPr>
                <w:sz w:val="20"/>
                <w:szCs w:val="20"/>
                <w:color w:val="auto"/>
              </w:rPr>
            </w:pPr>
            <w:r>
              <w:rPr>
                <w:rFonts w:ascii="Times New Roman" w:cs="Times New Roman" w:eastAsia="Times New Roman" w:hAnsi="Times New Roman"/>
                <w:sz w:val="18"/>
                <w:szCs w:val="18"/>
                <w:color w:val="auto"/>
                <w:w w:val="99"/>
              </w:rPr>
              <w:t>30-40</w:t>
            </w: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24,200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24,338</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40" w:type="dxa"/>
            <w:vAlign w:val="bottom"/>
            <w:tcBorders>
              <w:bottom w:val="single" w:sz="8" w:color="CCEEFF"/>
            </w:tcBorders>
            <w:shd w:val="clear" w:color="auto" w:fill="CCEEFF"/>
          </w:tcPr>
          <w:p>
            <w:pPr>
              <w:jc w:val="center"/>
              <w:ind w:left="1037"/>
              <w:spacing w:after="0"/>
              <w:rPr>
                <w:sz w:val="20"/>
                <w:szCs w:val="20"/>
                <w:color w:val="auto"/>
              </w:rPr>
            </w:pPr>
            <w:r>
              <w:rPr>
                <w:rFonts w:ascii="Times New Roman" w:cs="Times New Roman" w:eastAsia="Times New Roman" w:hAnsi="Times New Roman"/>
                <w:sz w:val="18"/>
                <w:szCs w:val="18"/>
                <w:color w:val="auto"/>
                <w:w w:val="99"/>
              </w:rPr>
              <w:t>5-8</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16,170</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40" w:type="dxa"/>
            <w:vAlign w:val="bottom"/>
          </w:tcPr>
          <w:p>
            <w:pPr>
              <w:jc w:val="center"/>
              <w:ind w:left="1037"/>
              <w:spacing w:after="0"/>
              <w:rPr>
                <w:sz w:val="20"/>
                <w:szCs w:val="20"/>
                <w:color w:val="auto"/>
              </w:rPr>
            </w:pPr>
            <w:r>
              <w:rPr>
                <w:rFonts w:ascii="Times New Roman" w:cs="Times New Roman" w:eastAsia="Times New Roman" w:hAnsi="Times New Roman"/>
                <w:sz w:val="18"/>
                <w:szCs w:val="18"/>
                <w:color w:val="auto"/>
                <w:w w:val="99"/>
              </w:rPr>
              <w:t>5-7</w:t>
            </w:r>
          </w:p>
        </w:tc>
        <w:tc>
          <w:tcPr>
            <w:tcW w:w="2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212,114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208,245</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255,412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251,433</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(157,538)</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93,916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93,895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both the three months ended March 31, 2019 and March 31, 2018 was approximately $6.1 million.</w:t>
      </w:r>
    </w:p>
    <w:p>
      <w:pPr>
        <w:spacing w:after="0" w:line="221"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by segment is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243,476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35,783</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279,259</w:t>
            </w: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acquired during the period</w:t>
            </w:r>
          </w:p>
        </w:tc>
        <w:tc>
          <w:tcPr>
            <w:tcW w:w="3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preliminary purchase price allocations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1,437</w:t>
            </w:r>
          </w:p>
        </w:tc>
      </w:tr>
      <w:tr>
        <w:trPr>
          <w:trHeight w:val="27"/>
        </w:trPr>
        <w:tc>
          <w:tcPr>
            <w:tcW w:w="5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245,496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35,200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280,696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 As of March 31, 2019, the Company did not identify any changes in circumstances that would indicate the carrying value of goodwill may not be recoverable.</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cumulative goodwill impairment as of March 31, 2019 and December 31, 2018 was $23.1 million, of which $13.2 million related to the Products and Systems segment and $9.9 million related to the International segment.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46" w:lineRule="exact"/>
        <w:rPr>
          <w:sz w:val="20"/>
          <w:szCs w:val="20"/>
          <w:color w:val="auto"/>
        </w:rPr>
      </w:pPr>
    </w:p>
    <w:p>
      <w:pPr>
        <w:ind w:left="680" w:hanging="672"/>
        <w:spacing w:after="0"/>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amount, accumulated amortization and net carrying amount of intangible assets were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2"/>
                <w:szCs w:val="12"/>
                <w:color w:val="auto"/>
              </w:rPr>
            </w:pPr>
          </w:p>
        </w:tc>
        <w:tc>
          <w:tcPr>
            <w:tcW w:w="1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2"/>
                <w:szCs w:val="12"/>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1"/>
        </w:trPr>
        <w:tc>
          <w:tcPr>
            <w:tcW w:w="298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112,544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49,913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112,624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51,631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Software/Technology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68,391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53,835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67,240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53,921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Covenants not to compete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10,344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4,075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203,911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109,055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202,774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111,395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three months ended March 31, 2019 and March 31, 2018 was approximately $3.6 million and $2.5 million, respectively.</w:t>
      </w:r>
    </w:p>
    <w:p>
      <w:pPr>
        <w:spacing w:after="0" w:line="221" w:lineRule="exact"/>
        <w:rPr>
          <w:sz w:val="20"/>
          <w:szCs w:val="20"/>
          <w:color w:val="auto"/>
        </w:rPr>
      </w:pPr>
    </w:p>
    <w:p>
      <w:pPr>
        <w:ind w:left="780" w:hanging="772"/>
        <w:spacing w:after="0"/>
        <w:tabs>
          <w:tab w:leader="none" w:pos="7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61"/>
        </w:trPr>
        <w:tc>
          <w:tcPr>
            <w:tcW w:w="56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28,688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29,959</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Contingent consideration, current portion</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5,086</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5,046</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accrual</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5,585</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25,630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26,532</w:t>
            </w:r>
          </w:p>
        </w:tc>
        <w:tc>
          <w:tcPr>
            <w:tcW w:w="0" w:type="dxa"/>
            <w:vAlign w:val="bottom"/>
          </w:tcPr>
          <w:p>
            <w:pPr>
              <w:spacing w:after="0"/>
              <w:rPr>
                <w:sz w:val="1"/>
                <w:szCs w:val="1"/>
                <w:color w:val="auto"/>
              </w:rPr>
            </w:pPr>
          </w:p>
        </w:tc>
      </w:tr>
      <w:tr>
        <w:trPr>
          <w:trHeight w:val="237"/>
        </w:trPr>
        <w:tc>
          <w:tcPr>
            <w:tcW w:w="7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79,641</w:t>
            </w:r>
          </w:p>
        </w:tc>
        <w:tc>
          <w:tcPr>
            <w:tcW w:w="10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73,895</w:t>
            </w:r>
          </w:p>
        </w:tc>
        <w:tc>
          <w:tcPr>
            <w:tcW w:w="0" w:type="dxa"/>
            <w:vAlign w:val="bottom"/>
          </w:tcPr>
          <w:p>
            <w:pPr>
              <w:spacing w:after="0"/>
              <w:rPr>
                <w:sz w:val="1"/>
                <w:szCs w:val="1"/>
                <w:color w:val="auto"/>
              </w:rPr>
            </w:pPr>
          </w:p>
        </w:tc>
      </w:tr>
      <w:tr>
        <w:trPr>
          <w:trHeight w:val="27"/>
        </w:trPr>
        <w:tc>
          <w:tcPr>
            <w:tcW w:w="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7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 w:type="dxa"/>
            <w:vAlign w:val="bottom"/>
            <w:vMerge w:val="continue"/>
          </w:tcPr>
          <w:p>
            <w:pPr>
              <w:spacing w:after="0" w:line="20" w:lineRule="exact"/>
              <w:rPr>
                <w:sz w:val="1"/>
                <w:szCs w:val="1"/>
                <w:color w:val="auto"/>
              </w:rPr>
            </w:pPr>
          </w:p>
        </w:tc>
        <w:tc>
          <w:tcPr>
            <w:tcW w:w="734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 w:type="dxa"/>
            <w:vAlign w:val="bottom"/>
            <w:vMerge w:val="continue"/>
          </w:tcPr>
          <w:p>
            <w:pPr>
              <w:spacing w:after="0"/>
              <w:rPr>
                <w:sz w:val="24"/>
                <w:szCs w:val="24"/>
                <w:color w:val="auto"/>
              </w:rPr>
            </w:pPr>
          </w:p>
        </w:tc>
        <w:tc>
          <w:tcPr>
            <w:tcW w:w="7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6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74"/>
        </w:trPr>
        <w:tc>
          <w:tcPr>
            <w:tcW w:w="56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credit facility</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180,475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181,656</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secured term loan, net of debt issuance costs of $0.1 million</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99,897</w:t>
            </w:r>
          </w:p>
        </w:tc>
        <w:tc>
          <w:tcPr>
            <w:tcW w:w="0" w:type="dxa"/>
            <w:vAlign w:val="bottom"/>
          </w:tcPr>
          <w:p>
            <w:pPr>
              <w:spacing w:after="0"/>
              <w:rPr>
                <w:sz w:val="1"/>
                <w:szCs w:val="1"/>
                <w:color w:val="auto"/>
              </w:rPr>
            </w:pPr>
          </w:p>
        </w:tc>
      </w:tr>
      <w:tr>
        <w:trPr>
          <w:trHeight w:val="27"/>
        </w:trPr>
        <w:tc>
          <w:tcPr>
            <w:tcW w:w="7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8,999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287,706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290,620</w:t>
            </w:r>
          </w:p>
        </w:tc>
        <w:tc>
          <w:tcPr>
            <w:tcW w:w="0" w:type="dxa"/>
            <w:vAlign w:val="bottom"/>
          </w:tcPr>
          <w:p>
            <w:pPr>
              <w:spacing w:after="0"/>
              <w:rPr>
                <w:sz w:val="1"/>
                <w:szCs w:val="1"/>
                <w:color w:val="auto"/>
              </w:rPr>
            </w:pPr>
          </w:p>
        </w:tc>
      </w:tr>
      <w:tr>
        <w:trPr>
          <w:trHeight w:val="243"/>
        </w:trPr>
        <w:tc>
          <w:tcPr>
            <w:tcW w:w="7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280,919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283,787</w:t>
            </w:r>
          </w:p>
        </w:tc>
        <w:tc>
          <w:tcPr>
            <w:tcW w:w="0" w:type="dxa"/>
            <w:vAlign w:val="bottom"/>
          </w:tcPr>
          <w:p>
            <w:pPr>
              <w:spacing w:after="0"/>
              <w:rPr>
                <w:sz w:val="1"/>
                <w:szCs w:val="1"/>
                <w:color w:val="auto"/>
              </w:rPr>
            </w:pP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revolving credit agreement with its banking group ("Credit Agreement") provides the Company with a $300 million revolving line of credit, which, under certain circumstances, can be increased to $450 million with the approval of the banks. In addition, the Credit Agreement provided the Company with a $100 million senior secured term loan A facility. Both</w:t>
      </w:r>
    </w:p>
    <w:p>
      <w:pPr>
        <w:sectPr>
          <w:pgSz w:w="11900" w:h="16838" w:orient="portrait"/>
          <w:cols w:equalWidth="0" w:num="1">
            <w:col w:w="11420"/>
          </w:cols>
          <w:pgMar w:left="240" w:top="117"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5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revolving line of credit and the term loan A facility under the Credit Agreement have a maturity date of December 12, 2023. The Company may borrow up to $100 million in non-U.S. Dollar currencies and use up to $20 million of the credit limit for the issuance of letters of credit. As of March 31, 2019, the Company had borrowings of $279.2 million and a total of $5.4 million of letters of credit outstanding under the Credit Agreement. The Company has capitalized costs associated with debt modifications of $1.0 million as of March 31, 2019, which amount is included in other long-term assets within the accompanying condensed consolidated balance sheet.</w:t>
      </w:r>
    </w:p>
    <w:p>
      <w:pPr>
        <w:spacing w:after="0" w:line="18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Loans under the Credit Agreement bear interest at the London Interbank Offered Rate ("LIBOR") plus an applicable LIBOR margin ranging from 1% to 2%, or a base rate less a margin of 1.25% to 0.375%, at the option of the Company, based upon the Company’s Funded Debt Leverage Ratio. Funded Debt Leverage Ratio is generally the ratio of (1) all outstanding indebtedness for borrowed money and other interest-bearing indebtedness as of the date of determination to (2) EBITDA (which is (a) net income, less (b) income (or plus loss) from discontinued operations and extraordinary items, plus (c) income tax expenses, plus (d) interest expense, plus (e) depreciation, depletion, and amortization (including non-cash loss on retirement of assets), plus (f) stock compensation expense, less (g) cash expense related to stock compensation, plus (h) certain amounts of EBITDA of acquired business for the prior twelve months, plus (i) certain expenses related to the closing of the Credit Agreement, plus (j) non-cash expenses which do not (in the current or any future period) represent a cash item (excluding non-cash gains which increase net income), plus (k) non-recurring charges (not to exceed $10.0 million in the four consecutive quarters immediately preceding the date of determination) for items such as severance, lease termination charges, asset write-offs and litigation settlements paid, and multi-employer pension plan withdrawal liabilities, all determined for the period of four consecutive fiscal quarters immediately preceding the date of determination of EBITDA. The Company has the benefit of the lowest margin if its Funded Debt Leverage Ratio is equal to or less than 1.0 to 1, and the margin increases as the ratio increases, to the maximum margin if the ratio is greater than 3.25 to 1. The Company will also bear additional costs for market disruption, regulatory changes effecting the lenders’ funding costs, and default pricing of an additional 2% interest rate margin on any amounts not paid when due. Amounts borrowed under the Credit Agreement are secured by liens on substantially all of the assets of the Company and is guaranteed by some of our subsidiaries.</w:t>
      </w:r>
    </w:p>
    <w:p>
      <w:pPr>
        <w:spacing w:after="0" w:line="19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Credit Agreement contains financial covenants requiring that the Company maintain a Funded Debt Leverage Ratio of no greater than 4.25 to 1 through December 31, 2018, reducing to a maximum permitted ratio of 4.0 to 1 as of March 31, 2019 to September 30, 2019, a maximum permitted ratio of 3.75 to 1 as of December 31, 2019 and a maximum permitted ratio of 3.50 to 1 as of March 31, 2020 and all quarterly periods thereafter, and a Fixed Charge Coverage Ratio of at least 1.25 to 1. Fixed Charge Coverage Ratio means the ratio, as of any date of determination, of (a) (i) EBITDA for the 12 month period immediately preceding the date of determination, taken together as one accounting period, less (ii) the aggregate amount of all capital expenditures made during the period, less (iii) taxes paid in cash during the period, less (iv) Restricted Payments (as defined in the Credit Agreement) paid in cash during the period, -to- (b) the sum of (i) all interest, premium payments, debt discount, fees, charges and related expenses of us and our subsidiaries in connection with borrowed money (including capitalized interest) or in connection with the deferred purchase price of assets, in each case, to the extent treated as interest in accordance with U.S. generally accepted accounting principles ("GAAP") and to the extent paid in cash during the period, (ii) the aggregate principal amount of all redemptions or similar acquisitions for value of outstanding debt for borrowed money or regularly scheduled principal payments made during the period, but excluding any such payments to the extent refinanced through the incurrence of additional Indebtedness otherwise expressly permitted under the Credit Agreement, and (iii) payments made during the period under all leases that have been or should be, in accordance with GAAP as in effect for the Company's 2017 audited financial statement, recorded as capitalized leases. Beginning in 2020, the Company can elect to increase the maximum Funded Debt Leverage Ratio to 4.0 to 1 for four fiscal quarters immediately following the fiscal quarter in which the Company acquires another business, with the maximum permitted ratio reducing back to 3.5 to 1 in the fifth fiscal quarter following such acquisition. The Company can make this election twice during the term of the Credit Agreement.</w:t>
      </w:r>
    </w:p>
    <w:p>
      <w:pPr>
        <w:spacing w:after="0" w:line="19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Credit Agreement also limits the Company’s ability to, among other things, create liens, make investments, incur more indebtedness, merge or consolidate, make dispositions of property, pay dividends and make distributions to stockholders or repurchase our stock,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5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31, 2019, the Company was in compliance with its Fixed Charge Coverage Ratio, but was not in compliance with its Funded Debt Leverage Ratio and obtained a waiver for such non-compliance.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and Other</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certain of its acquisitions, the Company issued subordinated notes payable to the sellers. The maturity of the notes remain outstanding through June 30, 2019 and bear interest at the prime rate for the Bank of Canada, currently 3.95% as of March 31, 2019. Interest expense is recorded in the condensed consolidated statements of income.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other debt includes local bank financing provided at the local subsidiary levels used to support working capital requirements and fund capital expenditures. At March 31, 2019, there was approximately $8.5 million outstanding, payable at various times from 2019 to 2029. Monthly payments range from $1 thousand to $17 thousand. Interest rates range from 0.4% to 6.2%.</w:t>
      </w:r>
    </w:p>
    <w:p>
      <w:pPr>
        <w:spacing w:after="0" w:line="172" w:lineRule="exact"/>
        <w:rPr>
          <w:sz w:val="20"/>
          <w:szCs w:val="20"/>
          <w:color w:val="auto"/>
        </w:rPr>
      </w:pPr>
    </w:p>
    <w:p>
      <w:pPr>
        <w:ind w:left="680" w:hanging="672"/>
        <w:spacing w:after="0"/>
        <w:tabs>
          <w:tab w:leader="none" w:pos="6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measured at fair value on a recurring basis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the fair value of Level 3 contingent consideration:</w:t>
      </w:r>
    </w:p>
    <w:p>
      <w:pPr>
        <w:spacing w:after="0" w:line="200" w:lineRule="exact"/>
        <w:rPr>
          <w:sz w:val="20"/>
          <w:szCs w:val="20"/>
          <w:color w:val="auto"/>
        </w:rPr>
      </w:pP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264"/>
        </w:trPr>
        <w:tc>
          <w:tcPr>
            <w:tcW w:w="6480" w:type="dxa"/>
            <w:vAlign w:val="bottom"/>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r>
      <w:tr>
        <w:trPr>
          <w:trHeight w:val="242"/>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60" w:type="dxa"/>
            <w:vAlign w:val="bottom"/>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21"/>
                <w:szCs w:val="21"/>
                <w:color w:val="auto"/>
              </w:rPr>
            </w:pP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5,508</w:t>
            </w:r>
          </w:p>
        </w:tc>
      </w:tr>
      <w:tr>
        <w:trPr>
          <w:trHeight w:val="27"/>
        </w:trPr>
        <w:tc>
          <w:tcPr>
            <w:tcW w:w="6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2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r>
      <w:tr>
        <w:trPr>
          <w:trHeight w:val="27"/>
        </w:trPr>
        <w:tc>
          <w:tcPr>
            <w:tcW w:w="6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liability</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Revaluation</w:t>
            </w:r>
          </w:p>
        </w:tc>
        <w:tc>
          <w:tcPr>
            <w:tcW w:w="12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7"/>
        </w:trPr>
        <w:tc>
          <w:tcPr>
            <w:tcW w:w="6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7"/>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60" w:type="dxa"/>
            <w:vAlign w:val="bottom"/>
            <w:tcBorders>
              <w:top w:val="single" w:sz="8" w:color="auto"/>
              <w:bottom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2,909</w:t>
            </w:r>
          </w:p>
        </w:tc>
      </w:tr>
      <w:tr>
        <w:trPr>
          <w:trHeight w:val="20"/>
        </w:trPr>
        <w:tc>
          <w:tcPr>
            <w:tcW w:w="64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measured at fair value on a recurring basis</w:t>
      </w:r>
    </w:p>
    <w:p>
      <w:pPr>
        <w:spacing w:after="0" w:line="229" w:lineRule="exact"/>
        <w:rPr>
          <w:sz w:val="20"/>
          <w:szCs w:val="20"/>
          <w:color w:val="auto"/>
        </w:rPr>
      </w:pPr>
    </w:p>
    <w:p>
      <w:pPr>
        <w:jc w:val="both"/>
        <w:ind w:right="800"/>
        <w:spacing w:after="0" w:line="266" w:lineRule="auto"/>
        <w:rPr>
          <w:sz w:val="20"/>
          <w:szCs w:val="20"/>
          <w:color w:val="auto"/>
        </w:rPr>
      </w:pPr>
      <w:r>
        <w:rPr>
          <w:rFonts w:ascii="Times New Roman" w:cs="Times New Roman" w:eastAsia="Times New Roman" w:hAnsi="Times New Roman"/>
          <w:sz w:val="18"/>
          <w:szCs w:val="18"/>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issuances of debt.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117" w:right="2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leases certain office and operating facilities, machinery, equipment, and vehicles. Concurrent with the adoption of ASC 842, the Company recognized a right-of-use (ROU) asset and lease liability based on the present value of the future lease payments over the lease term for each lease agreement. The Company has elected not to recognize a ROU asset and lease liability for leases with terms of 12 months or less and will continue to recognize lease expense for these leases on a straight-line basis over the lease term. The Company has leases with both lease components and non-lease components, such as common area maintenance, utilities, or other repairs and maintenance. For all asset classes, the Company decided to utilize the practical expedient to include both fixed lease components and fixed non-lease components in calculating the ROU asset and lease liability. The Company identified variable lease payments, such as maintenance payments based on actual activities performed or costs incurred, at lease commencement by assessing the nature of the payment provisions, including whether the payments are subject to a minimum charge. Many of our leases include one or more options to renew. When it is reasonably certain that we will exercise the option, we include the impact of the option in the lease term for purposes of determining future lease payments. As the Company is unable to determine the discount rate implicit in its lease agreements, the Company uses its incremental borrowing rate on the commencement date to calculate the present value of future payments.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Condensed Consolidated Balance Sheet includes the following related to operating leases:</w:t>
      </w: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940" w:type="dxa"/>
            <w:vAlign w:val="bottom"/>
            <w:tcBorders>
              <w:bottom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As of March 31, 2019</w:t>
            </w:r>
          </w:p>
        </w:tc>
        <w:tc>
          <w:tcPr>
            <w:tcW w:w="600" w:type="dxa"/>
            <w:vAlign w:val="bottom"/>
            <w:tcBorders>
              <w:bottom w:val="single" w:sz="8" w:color="auto"/>
            </w:tcBorders>
            <w:shd w:val="clear" w:color="auto" w:fill="CCEEFF"/>
          </w:tcPr>
          <w:p>
            <w:pPr>
              <w:spacing w:after="0"/>
              <w:rPr>
                <w:sz w:val="22"/>
                <w:szCs w:val="22"/>
                <w:color w:val="auto"/>
              </w:rPr>
            </w:pPr>
          </w:p>
        </w:tc>
      </w:tr>
      <w:tr>
        <w:trPr>
          <w:trHeight w:val="242"/>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9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4940" w:type="dxa"/>
            <w:vAlign w:val="bottom"/>
            <w:tcBorders>
              <w:bottom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36,289</w:t>
            </w:r>
          </w:p>
        </w:tc>
      </w:tr>
      <w:tr>
        <w:trPr>
          <w:trHeight w:val="189"/>
        </w:trPr>
        <w:tc>
          <w:tcPr>
            <w:tcW w:w="418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9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 use liability - current</w:t>
            </w:r>
          </w:p>
        </w:tc>
        <w:tc>
          <w:tcPr>
            <w:tcW w:w="49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8,700</w:t>
            </w:r>
          </w:p>
        </w:tc>
      </w:tr>
      <w:tr>
        <w:trPr>
          <w:trHeight w:val="27"/>
        </w:trPr>
        <w:tc>
          <w:tcPr>
            <w:tcW w:w="41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liability - long term</w:t>
            </w:r>
          </w:p>
        </w:tc>
        <w:tc>
          <w:tcPr>
            <w:tcW w:w="4940" w:type="dxa"/>
            <w:vAlign w:val="bottom"/>
            <w:tcBorders>
              <w:bottom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28,340</w:t>
            </w:r>
          </w:p>
        </w:tc>
      </w:tr>
      <w:tr>
        <w:trPr>
          <w:trHeight w:val="23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right-of-use liabilities</w:t>
            </w:r>
          </w:p>
        </w:tc>
        <w:tc>
          <w:tcPr>
            <w:tcW w:w="4940" w:type="dxa"/>
            <w:vAlign w:val="bottom"/>
          </w:tcPr>
          <w:p>
            <w:pPr>
              <w:spacing w:after="0"/>
              <w:rPr>
                <w:sz w:val="20"/>
                <w:szCs w:val="20"/>
                <w:color w:val="auto"/>
              </w:rPr>
            </w:pPr>
          </w:p>
        </w:tc>
        <w:tc>
          <w:tcPr>
            <w:tcW w:w="1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37,040</w:t>
            </w:r>
          </w:p>
        </w:tc>
      </w:tr>
    </w:tbl>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Included within the balance of operating leases is a lease for the Company’s headquarters which is with a related party. The right-of use liability for this facility is approximately $5.0 million as of March 31, 2019 and total rent payments made during the quarter ended March 31, 2019 were approximately $0.2 million.</w:t>
      </w:r>
    </w:p>
    <w:p>
      <w:pPr>
        <w:spacing w:after="0" w:line="9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March 31, 2019, the total right-of-use assets attributable to finance leases is approximately $14.9 million, which is classified within Property, Plant, &amp; Equipment on the accompanying condensed consolidated balance sheet.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80" w:type="dxa"/>
            <w:vAlign w:val="bottom"/>
            <w:shd w:val="clear" w:color="auto" w:fill="CCEEFF"/>
          </w:tcPr>
          <w:p>
            <w:pPr>
              <w:spacing w:after="0"/>
              <w:rPr>
                <w:sz w:val="19"/>
                <w:szCs w:val="19"/>
                <w:color w:val="auto"/>
              </w:rPr>
            </w:pPr>
          </w:p>
        </w:tc>
        <w:tc>
          <w:tcPr>
            <w:tcW w:w="6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r>
      <w:tr>
        <w:trPr>
          <w:trHeight w:val="270"/>
        </w:trPr>
        <w:tc>
          <w:tcPr>
            <w:tcW w:w="3180" w:type="dxa"/>
            <w:vAlign w:val="bottom"/>
            <w:tcBorders>
              <w:bottom w:val="single" w:sz="8" w:color="CCEEFF"/>
            </w:tcBorders>
            <w:shd w:val="clear" w:color="auto" w:fill="CCEEFF"/>
          </w:tcPr>
          <w:p>
            <w:pPr>
              <w:spacing w:after="0"/>
              <w:rPr>
                <w:sz w:val="23"/>
                <w:szCs w:val="23"/>
                <w:color w:val="auto"/>
              </w:rPr>
            </w:pPr>
          </w:p>
        </w:tc>
        <w:tc>
          <w:tcPr>
            <w:tcW w:w="6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ended March 31, 2019</w:t>
            </w:r>
          </w:p>
        </w:tc>
      </w:tr>
      <w:tr>
        <w:trPr>
          <w:trHeight w:val="237"/>
        </w:trPr>
        <w:tc>
          <w:tcPr>
            <w:tcW w:w="3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Finance lease expense</w:t>
            </w:r>
          </w:p>
        </w:tc>
        <w:tc>
          <w:tcPr>
            <w:tcW w:w="6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6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1,292</w:t>
            </w:r>
          </w:p>
        </w:tc>
      </w:tr>
      <w:tr>
        <w:trPr>
          <w:trHeight w:val="243"/>
        </w:trPr>
        <w:tc>
          <w:tcPr>
            <w:tcW w:w="3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r>
      <w:tr>
        <w:trPr>
          <w:trHeight w:val="27"/>
        </w:trPr>
        <w:tc>
          <w:tcPr>
            <w:tcW w:w="31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 expense</w:t>
            </w:r>
          </w:p>
        </w:tc>
        <w:tc>
          <w:tcPr>
            <w:tcW w:w="6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Costs of goods sold or Selling, General &amp; Administrative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3,023</w:t>
            </w:r>
          </w:p>
        </w:tc>
      </w:tr>
      <w:tr>
        <w:trPr>
          <w:trHeight w:val="243"/>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Short-term lease expense</w:t>
            </w:r>
          </w:p>
        </w:tc>
        <w:tc>
          <w:tcPr>
            <w:tcW w:w="63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Costs of goods sold or Selling, General &amp; Administrative expenses</w:t>
            </w:r>
          </w:p>
        </w:tc>
        <w:tc>
          <w:tcPr>
            <w:tcW w:w="1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318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Variable lease expense</w:t>
            </w:r>
          </w:p>
        </w:tc>
        <w:tc>
          <w:tcPr>
            <w:tcW w:w="6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Costs of goods sold or Selling, General &amp; 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37"/>
        </w:trPr>
        <w:tc>
          <w:tcPr>
            <w:tcW w:w="3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3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4,917</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6"/>
        </w:trPr>
        <w:tc>
          <w:tcPr>
            <w:tcW w:w="82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Mistras Group, Inc. and Subsidiaries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8280" w:type="dxa"/>
            <w:vAlign w:val="bottom"/>
            <w:gridSpan w:val="3"/>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38"/>
        </w:trPr>
        <w:tc>
          <w:tcPr>
            <w:tcW w:w="8280" w:type="dxa"/>
            <w:vAlign w:val="bottom"/>
            <w:gridSpan w:val="3"/>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(tabular dollars and shares in thousands, except per share data)</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837"/>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March 31, 2019</w:t>
            </w:r>
          </w:p>
        </w:tc>
      </w:tr>
      <w:tr>
        <w:trPr>
          <w:trHeight w:val="27"/>
        </w:trPr>
        <w:tc>
          <w:tcPr>
            <w:tcW w:w="6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 for finance leases</w:t>
            </w:r>
          </w:p>
        </w:tc>
        <w:tc>
          <w:tcPr>
            <w:tcW w:w="1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Finance - financing cash flows</w:t>
            </w:r>
          </w:p>
        </w:tc>
        <w:tc>
          <w:tcPr>
            <w:tcW w:w="1860" w:type="dxa"/>
            <w:vAlign w:val="bottom"/>
          </w:tcPr>
          <w:p>
            <w:pPr>
              <w:spacing w:after="0"/>
              <w:rPr>
                <w:sz w:val="21"/>
                <w:szCs w:val="21"/>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1,249</w:t>
            </w:r>
          </w:p>
        </w:tc>
      </w:tr>
      <w:tr>
        <w:trPr>
          <w:trHeight w:val="27"/>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 operating cash flows</w:t>
            </w:r>
          </w:p>
        </w:tc>
        <w:tc>
          <w:tcPr>
            <w:tcW w:w="1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197</w:t>
            </w:r>
          </w:p>
        </w:tc>
      </w:tr>
      <w:tr>
        <w:trPr>
          <w:trHeight w:val="243"/>
        </w:trPr>
        <w:tc>
          <w:tcPr>
            <w:tcW w:w="6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 operating cash flows</w:t>
            </w:r>
          </w:p>
        </w:tc>
        <w:tc>
          <w:tcPr>
            <w:tcW w:w="1860" w:type="dxa"/>
            <w:vAlign w:val="bottom"/>
          </w:tcPr>
          <w:p>
            <w:pPr>
              <w:spacing w:after="0"/>
              <w:rPr>
                <w:sz w:val="21"/>
                <w:szCs w:val="21"/>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3,079</w:t>
            </w:r>
          </w:p>
        </w:tc>
      </w:tr>
      <w:tr>
        <w:trPr>
          <w:trHeight w:val="27"/>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ROU assets obtained in the exchange for lease liabilities</w:t>
            </w:r>
          </w:p>
        </w:tc>
        <w:tc>
          <w:tcPr>
            <w:tcW w:w="1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1860" w:type="dxa"/>
            <w:vAlign w:val="bottom"/>
          </w:tcPr>
          <w:p>
            <w:pPr>
              <w:spacing w:after="0"/>
              <w:rPr>
                <w:sz w:val="21"/>
                <w:szCs w:val="21"/>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2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1,086</w:t>
            </w:r>
          </w:p>
        </w:tc>
      </w:tr>
      <w:tr>
        <w:trPr>
          <w:trHeight w:val="27"/>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1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1,348</w:t>
            </w:r>
          </w:p>
        </w:tc>
      </w:tr>
      <w:tr>
        <w:trPr>
          <w:trHeight w:val="243"/>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1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6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Finance leases</w:t>
            </w:r>
          </w:p>
        </w:tc>
        <w:tc>
          <w:tcPr>
            <w:tcW w:w="1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7"/>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Operating leases</w:t>
            </w:r>
          </w:p>
        </w:tc>
        <w:tc>
          <w:tcPr>
            <w:tcW w:w="1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581"/>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as of March 31, 2019 were as follows:</w:t>
            </w: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513"/>
        </w:trPr>
        <w:tc>
          <w:tcPr>
            <w:tcW w:w="6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7"/>
        </w:trPr>
        <w:tc>
          <w:tcPr>
            <w:tcW w:w="64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Remaining of 2019</w:t>
            </w:r>
          </w:p>
        </w:tc>
        <w:tc>
          <w:tcPr>
            <w:tcW w:w="1860" w:type="dxa"/>
            <w:vAlign w:val="bottom"/>
            <w:tcBorders>
              <w:bottom w:val="single" w:sz="8" w:color="CCEEFF"/>
            </w:tcBorders>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8,212</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3,694</w:t>
            </w:r>
          </w:p>
        </w:tc>
        <w:tc>
          <w:tcPr>
            <w:tcW w:w="300" w:type="dxa"/>
            <w:vAlign w:val="bottom"/>
          </w:tcPr>
          <w:p>
            <w:pPr>
              <w:spacing w:after="0"/>
              <w:rPr>
                <w:sz w:val="21"/>
                <w:szCs w:val="21"/>
                <w:color w:val="auto"/>
              </w:rPr>
            </w:pP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9,162</w:t>
            </w:r>
          </w:p>
        </w:tc>
      </w:tr>
      <w:tr>
        <w:trPr>
          <w:trHeight w:val="27"/>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2,415</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6,666</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1,546</w:t>
            </w:r>
          </w:p>
        </w:tc>
        <w:tc>
          <w:tcPr>
            <w:tcW w:w="300" w:type="dxa"/>
            <w:vAlign w:val="bottom"/>
          </w:tcPr>
          <w:p>
            <w:pPr>
              <w:spacing w:after="0"/>
              <w:rPr>
                <w:sz w:val="21"/>
                <w:szCs w:val="21"/>
                <w:color w:val="auto"/>
              </w:rPr>
            </w:pP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5,064</w:t>
            </w:r>
          </w:p>
        </w:tc>
      </w:tr>
      <w:tr>
        <w:trPr>
          <w:trHeight w:val="27"/>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4,526</w:t>
            </w:r>
          </w:p>
        </w:tc>
      </w:tr>
      <w:tr>
        <w:trPr>
          <w:trHeight w:val="243"/>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860" w:type="dxa"/>
            <w:vAlign w:val="bottom"/>
          </w:tcPr>
          <w:p>
            <w:pPr>
              <w:spacing w:after="0"/>
              <w:rPr>
                <w:sz w:val="21"/>
                <w:szCs w:val="2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w:t>
            </w:r>
          </w:p>
        </w:tc>
        <w:tc>
          <w:tcPr>
            <w:tcW w:w="300" w:type="dxa"/>
            <w:vAlign w:val="bottom"/>
          </w:tcPr>
          <w:p>
            <w:pPr>
              <w:spacing w:after="0"/>
              <w:rPr>
                <w:sz w:val="21"/>
                <w:szCs w:val="21"/>
                <w:color w:val="auto"/>
              </w:rPr>
            </w:pPr>
          </w:p>
        </w:tc>
        <w:tc>
          <w:tcPr>
            <w:tcW w:w="2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11,003</w:t>
            </w:r>
          </w:p>
        </w:tc>
      </w:tr>
      <w:tr>
        <w:trPr>
          <w:trHeight w:val="27"/>
        </w:trPr>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14,029</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44,633</w:t>
            </w:r>
          </w:p>
        </w:tc>
      </w:tr>
      <w:tr>
        <w:trPr>
          <w:trHeight w:val="243"/>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186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(1,219)</w:t>
            </w:r>
          </w:p>
        </w:tc>
        <w:tc>
          <w:tcPr>
            <w:tcW w:w="3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w:t>
            </w:r>
          </w:p>
        </w:tc>
      </w:tr>
      <w:tr>
        <w:trPr>
          <w:trHeight w:val="27"/>
        </w:trPr>
        <w:tc>
          <w:tcPr>
            <w:tcW w:w="64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7"/>
        </w:trPr>
        <w:tc>
          <w:tcPr>
            <w:tcW w:w="6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 liability</w:t>
            </w:r>
          </w:p>
        </w:tc>
        <w:tc>
          <w:tcPr>
            <w:tcW w:w="186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12,810</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37,040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Pursuant to the Company’s adoption of the new lease accounting guidance using a modified retrospective transition approach, as permitted, comparative information has not been restated and continues to be reported under the accounting standards in effect for those periods. As previously disclosed in its 2018 Annual Report, the following table presents the Company’s future minimum operating lease commitments as of December 31, 2018:</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10,939</w:t>
            </w:r>
          </w:p>
        </w:tc>
      </w:tr>
      <w:tr>
        <w:trPr>
          <w:trHeight w:val="24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8,764</w:t>
            </w:r>
          </w:p>
        </w:tc>
      </w:tr>
      <w:tr>
        <w:trPr>
          <w:trHeight w:val="27"/>
        </w:trPr>
        <w:tc>
          <w:tcPr>
            <w:tcW w:w="8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6,327</w:t>
            </w:r>
          </w:p>
        </w:tc>
      </w:tr>
      <w:tr>
        <w:trPr>
          <w:trHeight w:val="24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4,826</w:t>
            </w:r>
          </w:p>
        </w:tc>
      </w:tr>
      <w:tr>
        <w:trPr>
          <w:trHeight w:val="27"/>
        </w:trPr>
        <w:tc>
          <w:tcPr>
            <w:tcW w:w="8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4,239</w:t>
            </w:r>
          </w:p>
        </w:tc>
      </w:tr>
      <w:tr>
        <w:trPr>
          <w:trHeight w:val="243"/>
        </w:trPr>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10,667</w:t>
            </w:r>
          </w:p>
        </w:tc>
      </w:tr>
      <w:tr>
        <w:trPr>
          <w:trHeight w:val="27"/>
        </w:trPr>
        <w:tc>
          <w:tcPr>
            <w:tcW w:w="8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45,762</w:t>
            </w:r>
          </w:p>
        </w:tc>
      </w:tr>
      <w:tr>
        <w:trPr>
          <w:trHeight w:val="27"/>
        </w:trPr>
        <w:tc>
          <w:tcPr>
            <w:tcW w:w="88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80" w:hanging="672"/>
        <w:spacing w:after="0"/>
        <w:tabs>
          <w:tab w:leader="none" w:pos="6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7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possibly for certain of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subsidiary in France has been involved in a dispute with a former owner of a business purchased by the Company’s French subsidiary. The former owner received a judgment in his favor in the amount of $0.4 million for payment of the contingent consideration portion of the purchase price for the business. The Company recorded an accrual for this judgment during 2016. The Company's subsidiary appealed the judgment and the entire judgment was overturned on appeal. The appeal process was completed in July 2018 in the Company's favor, and accordingly, the Company reversed the accrual as of June 30, 2018.</w:t>
      </w:r>
    </w:p>
    <w:p>
      <w:pPr>
        <w:spacing w:after="0" w:line="18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The Company was a defendant in a lawsuit, </w:t>
      </w:r>
      <w:r>
        <w:rPr>
          <w:rFonts w:ascii="Times New Roman" w:cs="Times New Roman" w:eastAsia="Times New Roman" w:hAnsi="Times New Roman"/>
          <w:sz w:val="18"/>
          <w:szCs w:val="18"/>
          <w:i w:val="1"/>
          <w:iCs w:val="1"/>
          <w:color w:val="auto"/>
        </w:rPr>
        <w:t>Triumph Aerostructures, LLC d/b/a Triumph Aerostructures-Vought Aircraft Division v. Mistras Group, Inc</w:t>
      </w:r>
      <w:r>
        <w:rPr>
          <w:rFonts w:ascii="Times New Roman" w:cs="Times New Roman" w:eastAsia="Times New Roman" w:hAnsi="Times New Roman"/>
          <w:sz w:val="18"/>
          <w:szCs w:val="18"/>
          <w:color w:val="auto"/>
        </w:rPr>
        <w:t>., pending in Texas State district court, 193rd Judicial District, Dallas County, Texas, filed September 2016. The plaintiff alleged that in 2014 Mistras delivered a defective Ultrasonic inspection system and alleged damages of approximately $2.3 million, the amount it paid for the system. In January 2018, the Company agreed to settle this matter for a payment of $1.6 million and Mistras subsequently obtained ownership of the underlying ultrasonic inspection components. A charge for $1.6 million was recorded in 2017 and payment was made in February 2018.</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 Company vehicle was involved in an accident in which individuals were injured, property was damaged, and businesses alleged impacted by the accident have claimed economic losses. One lawsuit has been filed by one of the injured individuals in the U.S. District Court for the District of Colorado, McAllister v. Mistras Group, Inc. The Company has insurance for these types of matters and believes its insurance is sufficient to cover all claims resulting from this accident. However, the possibility exists that the insurance ultimately will not be sufficient to satisfy all claims or insurance coverage is denied, in which case the Company would be responsible for the amount of claims in excess of insurance coverage.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Investigations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May 2015, the Company received a notice from the U.S. Environmental Protection Agency (“EPA”) that it performed a preliminary assessment at a leased facility the Company operates in Cudahy, California. Based upon the preliminary assessment, the EPA is conducting an investigation of the site, which includes taking groundwater and soil samples. The purpose of the investigation is to determine whether any hazardous materials were released from the facility. The Company has been informed that certain hazardous materials and pollutants have been found in the ground water in the general vicinity of the site and the EPA is attempting to ascertain the origination or source of these materials and pollutants. Given the historic industrial use of the site, the EPA determined that the site of the Cudahy facility should be examined, along with numerous other sites in the vicinity. In addition, in 2018, the California Department of Toxic Substances Control notified the owner of the property that it will be performing an additional investigation at the property. At this time, the Company is unable to determine whether it has any liability in connection with this matter and if so, the amount or range of any such liability, and accordingly, has not established any accruals for this matter.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117" w:right="29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was notified that a significant project was awarded to another contractor in January 2018, and as a result, one of the Company’s subsidiaries experienced a significant reduction in the number of its employees covered by one of the CBAs. 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has explored options to retain a level of union work that would avoid withdrawal liability to the pension plans, but concluded during the third quarter of 2018 that the Company's subsidiaries probably would not obtain sufficient union work to avoid withdrawal liability. Therefore, the Company determined that it is probable that its subsidiary will incur a withdrawal liability related to these multi-employer pension plans. Accordingly, the Company recorded a charge of $5.9 million during the third quarter of 2018 and $0.5 million during the three months ended March 31, 2019 for this potential withdrawal liability. The balance of the estimated total amount of this potential liability as of March 31, 2019 is approximately $4.9 million, which is net of $1.5 million of payments made to one of the pension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and labor disputes</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During 2018, the Company recorded approximately $1.2 million in charges related to labor claims for its Brazilian subsidiary, which are included within Selling, General and Administrative expenses. These claims related to employees in a company acquired by the Brazilian subsidiary in a prior period. The Company believes it is entitled to indemnification from the sellers of the acquired company for most of these charges, but has not recorded the expected recovery of indemnification for these labor claims as the amount and timing of collection is uncertain as of March 31, 2019.</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German subsidiary provides employees to customers under temporary staff leasing arrangements. In April 2017, the German Labor Lease Act was passed in Germany limiting the duration of temporary workers to eighteen months, or longer as subsequently agreed with by a customer appropriate authority. Since the passing of the German Labor Lease Act, the Company explored selling its staff leasing services and concluded during the third quarter of 2018 that a sale would not be probable. As a result, the Company decided that it will not renew several of these leasing services contracts when they expire beginning in 2019. Due to the cap on the length of service allowed under the German Labor Lease Act, employees will have to be transitioned off the customer contracts. It is expected that the German subsidiary then will either terminate these employees, creating a severance obligation to the terminated employees, or transition them to the Company's other customers. As of March 31, 2019, the Company estimated approximately $1.6 million in severance payment obligations, which takes into account the Company's estimate with respect to the employees that would be transitioned to the German subsidiaries' other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disposition related contingencies</w:t>
      </w:r>
    </w:p>
    <w:p>
      <w:pPr>
        <w:spacing w:after="0" w:line="22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liable for contingent consideration in connection with certain of its acquisitions. As of March 31, 2019, total potential acquisition-related contingent consideration ranged from zero to approximately $5.8 million and would be payable upon the achievement of specific performance metrics by certain of the acquired companies over the next 1.3 years of operations. See Note 5 -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to these condensed consolidated financial statements for further discussion of the Company’s acquisitions.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third quarter of 2018, the Company sold a subsidiary in the Products and Systems segment. As part of the sale, the Company entered into a three-year agreement to purchase products from the buyer, with a cumulative commitment of $2.3 million, of which $2.0 million is remaining as of March 31, 2019. The agreement is based on third party pricing and the Company's planned purchase requirements over the next three years to meet the minimum contractual purchases.</w:t>
      </w:r>
    </w:p>
    <w:p>
      <w:pPr>
        <w:spacing w:after="0" w:line="176" w:lineRule="exact"/>
        <w:rPr>
          <w:sz w:val="20"/>
          <w:szCs w:val="20"/>
          <w:color w:val="auto"/>
        </w:rPr>
      </w:pPr>
    </w:p>
    <w:p>
      <w:pPr>
        <w:ind w:left="680" w:hanging="672"/>
        <w:spacing w:after="0"/>
        <w:tabs>
          <w:tab w:leader="none" w:pos="6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Disclosure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are:</w:t>
      </w:r>
    </w:p>
    <w:p>
      <w:pPr>
        <w:spacing w:after="0" w:line="223" w:lineRule="exact"/>
        <w:rPr>
          <w:sz w:val="20"/>
          <w:szCs w:val="20"/>
          <w:color w:val="auto"/>
        </w:rPr>
      </w:pPr>
    </w:p>
    <w:p>
      <w:pPr>
        <w:ind w:left="1140" w:right="180" w:hanging="484"/>
        <w:spacing w:after="0" w:line="267" w:lineRule="auto"/>
        <w:tabs>
          <w:tab w:leader="none" w:pos="897"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followed by Canada, consisting primarily of NDT and inspection and engineering services that are used to evaluate the safety, structural integrity and reliability of critical energy, industrial and public infrastructure and commercial aerospace components.</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117" w:right="2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48" w:lineRule="exact"/>
        <w:rPr>
          <w:sz w:val="20"/>
          <w:szCs w:val="20"/>
          <w:color w:val="auto"/>
        </w:rPr>
      </w:pPr>
    </w:p>
    <w:p>
      <w:pPr>
        <w:ind w:left="1140" w:right="100" w:hanging="484"/>
        <w:spacing w:after="0" w:line="267" w:lineRule="auto"/>
        <w:tabs>
          <w:tab w:leader="none" w:pos="8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1140" w:right="380" w:hanging="484"/>
        <w:spacing w:after="0" w:line="284" w:lineRule="auto"/>
        <w:tabs>
          <w:tab w:leader="none" w:pos="89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8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(intercompany transactions are eliminated in Corporate and eliminations)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2"/>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30"/>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140,298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145,595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35,162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38,456</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6,184</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176,787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187,630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29"/>
        </w:trPr>
        <w:tc>
          <w:tcPr>
            <w:tcW w:w="8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2"/>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30"/>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37,365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34,710</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10,707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2,890</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48,874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48,145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r>
      <w:tr>
        <w:trPr>
          <w:trHeight w:val="529"/>
        </w:trPr>
        <w:tc>
          <w:tcPr>
            <w:tcW w:w="8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2"/>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30"/>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12,275</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920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6,399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from operations by operating segment includes intercompany transactions, which are eliminated in Corporate and eliminations.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2"/>
        </w:trPr>
        <w:tc>
          <w:tcPr>
            <w:tcW w:w="8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22"/>
                <w:szCs w:val="22"/>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230"/>
        </w:trPr>
        <w:tc>
          <w:tcPr>
            <w:tcW w:w="8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1"/>
                <w:szCs w:val="2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97"/>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8"/>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96,893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98,362</w:t>
            </w:r>
          </w:p>
        </w:tc>
        <w:tc>
          <w:tcPr>
            <w:tcW w:w="20" w:type="dxa"/>
            <w:vAlign w:val="bottom"/>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11,143</w:t>
            </w:r>
          </w:p>
        </w:tc>
        <w:tc>
          <w:tcPr>
            <w:tcW w:w="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1,438</w:t>
            </w:r>
          </w:p>
        </w:tc>
        <w:tc>
          <w:tcPr>
            <w:tcW w:w="20" w:type="dxa"/>
            <w:vAlign w:val="bottom"/>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452</w:t>
            </w:r>
          </w:p>
        </w:tc>
        <w:tc>
          <w:tcPr>
            <w:tcW w:w="20" w:type="dxa"/>
            <w:vAlign w:val="bottom"/>
          </w:tcPr>
          <w:p>
            <w:pPr>
              <w:spacing w:after="0"/>
              <w:rPr>
                <w:sz w:val="21"/>
                <w:szCs w:val="2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109,055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111,395</w:t>
            </w:r>
          </w:p>
        </w:tc>
        <w:tc>
          <w:tcPr>
            <w:tcW w:w="20" w:type="dxa"/>
            <w:vAlign w:val="bottom"/>
          </w:tcPr>
          <w:p>
            <w:pPr>
              <w:spacing w:after="0"/>
              <w:rPr>
                <w:sz w:val="22"/>
                <w:szCs w:val="22"/>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3"/>
        </w:trPr>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8"/>
        </w:trPr>
        <w:tc>
          <w:tcPr>
            <w:tcW w:w="8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536,346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523,506</w:t>
            </w:r>
          </w:p>
        </w:tc>
        <w:tc>
          <w:tcPr>
            <w:tcW w:w="20" w:type="dxa"/>
            <w:vAlign w:val="bottom"/>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153,077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146,535</w:t>
            </w:r>
          </w:p>
        </w:tc>
        <w:tc>
          <w:tcPr>
            <w:tcW w:w="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12,832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12,264</w:t>
            </w:r>
          </w:p>
        </w:tc>
        <w:tc>
          <w:tcPr>
            <w:tcW w:w="20" w:type="dxa"/>
            <w:vAlign w:val="bottom"/>
          </w:tcPr>
          <w:p>
            <w:pPr>
              <w:spacing w:after="0"/>
              <w:rPr>
                <w:sz w:val="21"/>
                <w:szCs w:val="21"/>
                <w:color w:val="auto"/>
              </w:rPr>
            </w:pPr>
          </w:p>
        </w:tc>
      </w:tr>
      <w:tr>
        <w:trPr>
          <w:trHeight w:val="243"/>
        </w:trPr>
        <w:tc>
          <w:tcPr>
            <w:tcW w:w="8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0" w:type="dxa"/>
            <w:vAlign w:val="bottom"/>
          </w:tcPr>
          <w:p>
            <w:pPr>
              <w:spacing w:after="0"/>
              <w:rPr>
                <w:sz w:val="21"/>
                <w:szCs w:val="21"/>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23,182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11,732</w:t>
            </w:r>
          </w:p>
        </w:tc>
        <w:tc>
          <w:tcPr>
            <w:tcW w:w="20" w:type="dxa"/>
            <w:vAlign w:val="bottom"/>
          </w:tcPr>
          <w:p>
            <w:pPr>
              <w:spacing w:after="0"/>
              <w:rPr>
                <w:sz w:val="21"/>
                <w:szCs w:val="2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8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725,437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694,037</w:t>
            </w:r>
          </w:p>
        </w:tc>
        <w:tc>
          <w:tcPr>
            <w:tcW w:w="20" w:type="dxa"/>
            <w:vAlign w:val="bottom"/>
          </w:tcPr>
          <w:p>
            <w:pPr>
              <w:spacing w:after="0"/>
              <w:rPr>
                <w:sz w:val="22"/>
                <w:szCs w:val="22"/>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area for the three months ended March 31, 2019 and 2018, respectively, were as follows:</w:t>
      </w:r>
    </w:p>
    <w:p>
      <w:pPr>
        <w:spacing w:after="0" w:line="381"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24765</wp:posOffset>
            </wp:positionV>
            <wp:extent cx="2101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4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Pr>
          <w:p>
            <w:pPr>
              <w:spacing w:after="0"/>
              <w:rPr>
                <w:sz w:val="16"/>
                <w:szCs w:val="16"/>
                <w:color w:val="auto"/>
              </w:rPr>
            </w:pPr>
          </w:p>
        </w:tc>
        <w:tc>
          <w:tcPr>
            <w:tcW w:w="13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0" w:type="dxa"/>
            <w:vAlign w:val="bottom"/>
          </w:tcPr>
          <w:p>
            <w:pPr>
              <w:spacing w:after="0"/>
              <w:rPr>
                <w:sz w:val="1"/>
                <w:szCs w:val="1"/>
                <w:color w:val="auto"/>
              </w:rPr>
            </w:pPr>
          </w:p>
        </w:tc>
      </w:tr>
      <w:tr>
        <w:trPr>
          <w:trHeight w:val="230"/>
        </w:trPr>
        <w:tc>
          <w:tcPr>
            <w:tcW w:w="3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6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4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114,100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125,990</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Americas</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28,947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23,513</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4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31,626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34,268</w:t>
            </w:r>
          </w:p>
        </w:tc>
        <w:tc>
          <w:tcPr>
            <w:tcW w:w="0" w:type="dxa"/>
            <w:vAlign w:val="bottom"/>
          </w:tcPr>
          <w:p>
            <w:pPr>
              <w:spacing w:after="0"/>
              <w:rPr>
                <w:sz w:val="1"/>
                <w:szCs w:val="1"/>
                <w:color w:val="auto"/>
              </w:rPr>
            </w:pPr>
          </w:p>
        </w:tc>
      </w:tr>
      <w:tr>
        <w:trPr>
          <w:trHeight w:val="243"/>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3,859</w:t>
            </w: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6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176,787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187,630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6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Repurchase of Common Stock</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approved a $50 million stock repurchase plan in 2015. The Company retired all its repurchased shares during the fourth quarter of 2017. There were no repurchases of common stock during the three months ended March 31, 2019, and the Board of Directors approved the termination of the stock repurchase plan on April 1, 2019.</w:t>
      </w:r>
    </w:p>
    <w:p>
      <w:pPr>
        <w:spacing w:after="0" w:line="17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following Management’s Discussion and Analysis (“MD&amp;A”) includes a narrative explanation and analysis of our results of operations and financial condition for the three months ended March 31, 2019 and March 31, 2018. The MD&amp;A should be read together with our condensed consolidated financial statements and related notes included in Item 1 in this Quarterly Report on Form 10-Q and our audited consolidated financial statements and related notes included in our Annual Report on Form 10-K for the year ended December 31, 2018, filed March 15, 2019 (“2018 Annual Report”). Unless otherwise specified or the context otherwise requires, “Mistras,” “the Company,” “we,” “us” and “our” refer to Mistras Group, Inc. and its consolidated subsidiaries. The MD&amp;A includes disclosure in the following areas:</w:t>
      </w:r>
    </w:p>
    <w:p>
      <w:pPr>
        <w:spacing w:after="0" w:line="215" w:lineRule="exact"/>
        <w:rPr>
          <w:sz w:val="20"/>
          <w:szCs w:val="20"/>
          <w:color w:val="auto"/>
        </w:rPr>
      </w:pPr>
    </w:p>
    <w:p>
      <w:pPr>
        <w:ind w:left="720" w:hanging="388"/>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49"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2018 Annual Report as well as those discussed in this Quarterly Report on Form 10-Q and in our other filings with the Securities and Exchange Commission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offer our customers “OneSource for Asset Protection Solutions®” and are a leading global provider of technology-enabled asset protection solutions used to evaluate the safety, structural integrity and reliability of critical energy, industrial and public infrastructure, and commercial aerospace components.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asset protections are intended to help maximize safety and uptime of our customers' assets and facilities. These mission critical solutions enhance our customers’ ability to comply with governmental safety and environmental regulations, extend the useful life of their assets, increase productivity, minimize repair costs, manage risk and avoid catastrophic disasters. We deliver value through a comprehensive “OneSource” portfolio of customized solutions, utilizing a proven systematic method that creates a closed-loop lifecycle for addressing continuous asset protection and improvement.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specialized asset protection solutions include: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Field Inspections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Management</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Quality Assurance/Control (QA/QC)</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OneSource model emphasizes the integration of these solutions to service our customers throughout their assets’ lifetimes. Under this business model, many customers outsource their inspection and other asset protection needs to us on a “run-and maintain” basis to ensure the continued safety and structural and operational integrity of their assets.</w:t>
      </w:r>
    </w:p>
    <w:p>
      <w:pPr>
        <w:spacing w:after="0" w:line="17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We have established long-term relationships as a critical solutions provider to many of the leading companies with assetintensive infrastructure in our target markets. These markets include:</w:t>
      </w:r>
    </w:p>
    <w:p>
      <w:pPr>
        <w:spacing w:after="0" w:line="162" w:lineRule="exact"/>
        <w:rPr>
          <w:sz w:val="20"/>
          <w:szCs w:val="20"/>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&amp; Gas (Downstream, Midstream, Upstream and Petrochemical)</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Aerospace &amp; Defense</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Transmission</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Infrastructure, Research and Engineering</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Industries</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Asset protection plays a crucial role in assuring the integrity and reliability of critical infrastructure. As an asset protection solutions provider, MISTRAS seeks to maximize the uptime and safety of critical infrastructure, by helping customers to detect, locate, mitigate and prevent damages such as corrosion, cracks, leaks, manufacturing flaws and other concerns to operating and structural integrity. In addition to these core utilities, the storage and analysis of collected inspection and mechanical integrity data is also a key aspect of asset protection.</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NDT has historically been a prominent solution in the asset protection industry due to its capacity to detect defects without compromising the integrity of the tested materials or equipment. The supply of NDT inspection services has traditionally come from many small vendors, who provide services to a small geographic region. A trend has emerged, however, for customers to engage a select few vendors capable of providing a wider spectrum of asset protection solutions for global infrastructure, in addition to an increased demand for advanced non-destructive testing (ANDT) solutions and data acquisition software, both of which require a highly-trained workforce.</w:t>
      </w:r>
    </w:p>
    <w:p>
      <w:pPr>
        <w:spacing w:after="0" w:line="18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Due to these trends, we believe those vendors offering integrated solutions, scalable operations skilled personnel and a global footprint will have a distinct competitive advantage. Moreover, we believe that vendors that are able to effectively deliver both advanced solutions and data analytics, by virtue of their access to customers’ data, create a significant barrier to entry for competitors, leading to the opportunity to further create significant recurring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Services, International and Products and Systems.</w:t>
      </w:r>
    </w:p>
    <w:p>
      <w:pPr>
        <w:spacing w:after="0" w:line="223" w:lineRule="exact"/>
        <w:rPr>
          <w:sz w:val="20"/>
          <w:szCs w:val="20"/>
          <w:color w:val="auto"/>
        </w:rPr>
      </w:pPr>
    </w:p>
    <w:p>
      <w:pPr>
        <w:ind w:left="740" w:right="140" w:hanging="246"/>
        <w:spacing w:after="0" w:line="267" w:lineRule="auto"/>
        <w:tabs>
          <w:tab w:leader="none" w:pos="7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consisting primarily of NDT and inspection, mechanical and engineering services that are used to evaluate the safety, structural integrity and reliability of critical energy, industrial and public infrastructure and commercial aerospace components.</w:t>
      </w:r>
    </w:p>
    <w:p>
      <w:pPr>
        <w:spacing w:after="0" w:line="173" w:lineRule="exact"/>
        <w:rPr>
          <w:rFonts w:ascii="Times New Roman" w:cs="Times New Roman" w:eastAsia="Times New Roman" w:hAnsi="Times New Roman"/>
          <w:sz w:val="18"/>
          <w:szCs w:val="18"/>
          <w:i w:val="1"/>
          <w:iCs w:val="1"/>
          <w:color w:val="auto"/>
        </w:rPr>
      </w:pPr>
    </w:p>
    <w:p>
      <w:pPr>
        <w:jc w:val="both"/>
        <w:ind w:left="740" w:right="180" w:hanging="246"/>
        <w:spacing w:after="0" w:line="267" w:lineRule="auto"/>
        <w:tabs>
          <w:tab w:leader="none" w:pos="7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our Services and Products and Systems segments to select markets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the 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i w:val="1"/>
          <w:iCs w:val="1"/>
          <w:color w:val="auto"/>
        </w:rPr>
      </w:pPr>
    </w:p>
    <w:p>
      <w:pPr>
        <w:ind w:left="740" w:right="500" w:hanging="246"/>
        <w:spacing w:after="0" w:line="284" w:lineRule="auto"/>
        <w:tabs>
          <w:tab w:leader="none" w:pos="7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our asset protection products and systems, including equipment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instrumentation, predominantly in the United States.</w:t>
      </w:r>
    </w:p>
    <w:p>
      <w:pPr>
        <w:spacing w:after="0" w:line="16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Most of our revenues are generated by deploying technicians at our customers' locations. However, the majority of our revenues from aerospace and certain manufacturing clients are generated by performing inspections and testing at our various in-house laboratories.</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20"/>
          </w:cols>
          <w:pgMar w:left="24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and leverage our fixed costs. We have increased our capabilities and the size of our customer base through the development of applied technologies and managed support services, organic growth and the integration of acquired companies. These acquisitions also have provided us with additional service lines, technologies, resources and customers that we believe will enhance our advantages over our competition.</w:t>
      </w:r>
    </w:p>
    <w:p>
      <w:pPr>
        <w:spacing w:after="0" w:line="1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Onstream acquisition, which was completed in December 2018, helps support many of our Corporate initiatives. Onstream's strong presence in inline inspection provides us with a strong foundation within the midstream oil and gas market, which is an important piece of our overall growth strategy. We expect to generate new business opportunities through introduction of our inline inspection capabilities to existing midstream customers. The acquisition of Onstream also provides us with an additional digital solution for our customers, the Streamview™ software, which is an innovative application of advanced digital technology.</w:t>
      </w:r>
    </w:p>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believe the following represent key dynamics of the asset protection industry, and that the market available to us will continue to grow as these macro-market trends continue to develop:</w:t>
      </w:r>
    </w:p>
    <w:p>
      <w:pPr>
        <w:spacing w:after="0" w:line="16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Extending the Useful Life of Aging Infrastructure While Increasing Utilization</w:t>
      </w:r>
      <w:r>
        <w:rPr>
          <w:rFonts w:ascii="Times New Roman" w:cs="Times New Roman" w:eastAsia="Times New Roman" w:hAnsi="Times New Roman"/>
          <w:sz w:val="18"/>
          <w:szCs w:val="18"/>
          <w:color w:val="auto"/>
        </w:rPr>
        <w:t>. Due to the prohibitive costs and challenges of building new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companies have chosen to extend the useful life of existing assets through enhancements, rather than replacing these assets. This has resulted in the significant aging and increased utilization of existing infrastructure in our target markets. Increasing demand for refined petroleum products, combined with high plant-utilization rates, are driving refineries to upgrade facilities to make them more efficient and expand capacities. Because aging infrastructure requires more frequent inspection and maintenance in comparison to new infrastructure, companies and public authorities continue to spend on asset protection to ensure their aging infrastructure assets continue to operate effectively.</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Outsourcing of Non-Core Activities and Technical Resource Constraints</w:t>
      </w:r>
      <w:r>
        <w:rPr>
          <w:rFonts w:ascii="Times New Roman" w:cs="Times New Roman" w:eastAsia="Times New Roman" w:hAnsi="Times New Roman"/>
          <w:sz w:val="18"/>
          <w:szCs w:val="18"/>
          <w:color w:val="auto"/>
        </w:rPr>
        <w:t>. Due to the increasing sophistication and automation of NDT programs, a decreasing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of skilled professionals and increasing governmental regulations, companies are increasingly outsourcing NDT to third-party providers with advanced solution portfolios, engineering expertise and trained workforces.</w:t>
      </w:r>
    </w:p>
    <w:p>
      <w:pPr>
        <w:spacing w:after="0" w:line="174"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7"/>
          <w:szCs w:val="17"/>
          <w:i w:val="1"/>
          <w:iCs w:val="1"/>
          <w:color w:val="auto"/>
        </w:rPr>
        <w:t>Increasing Corrosion from Low-Quality Inputs</w:t>
      </w:r>
      <w:r>
        <w:rPr>
          <w:rFonts w:ascii="Times New Roman" w:cs="Times New Roman" w:eastAsia="Times New Roman" w:hAnsi="Times New Roman"/>
          <w:sz w:val="17"/>
          <w:szCs w:val="17"/>
          <w:color w:val="auto"/>
        </w:rPr>
        <w:t>. The increased availability and low cost of crude oil from areas such as shale plays and oil sands resources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have led to the use of lower-grade raw materials and feedstock. This leads to higher rates of corrosion, especially in refining processes involving petroleum with higher sulfur content, which in turn increases the need for asset protection solutions to detect and/or proactively prevent corrosion-related issues.</w:t>
      </w:r>
    </w:p>
    <w:p>
      <w:pPr>
        <w:spacing w:after="0" w:line="1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Increasing Use of Advanced Materials</w:t>
      </w:r>
      <w:r>
        <w:rPr>
          <w:rFonts w:ascii="Times New Roman" w:cs="Times New Roman" w:eastAsia="Times New Roman" w:hAnsi="Times New Roman"/>
          <w:sz w:val="18"/>
          <w:szCs w:val="18"/>
          <w:color w:val="auto"/>
        </w:rPr>
        <w:t>. Customers in various of our target markets, particularly aerospace and defense, are increasingly utilizing advanced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such as composites and other unique technologies in their assets. These materials often cannot be tested using traditional NDT techniques. We believe that demand for more advanced testing and assessment solutions will increase along with the demand for these advanced materials during the design, manufacturing, operating and quality control phases.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Meeting Safety Regulations</w:t>
      </w:r>
      <w:r>
        <w:rPr>
          <w:rFonts w:ascii="Times New Roman" w:cs="Times New Roman" w:eastAsia="Times New Roman" w:hAnsi="Times New Roman"/>
          <w:sz w:val="18"/>
          <w:szCs w:val="18"/>
          <w:color w:val="auto"/>
        </w:rPr>
        <w:t>. Owners and operators of refineries, pipelines and petrochemical and chemical plants increasingly face strict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and more stringent process safety enforcement standards. This includes the continued implementation of the Occupational Safety and Health Administration’s (OSHA) National Emphasis Program (NEP). Failure to meet these standards can result in significant financial liabilities, increased scrutiny by government and industry regulators, higher insurance premiums and tarnished corporate brand value. As a result, these owners and operators are seeking highly reliable asset protection suppliers with a track record of assisting organizations in meeting increasingly stringent regulations. Our clients benefit from MISTRAS’ extensive engineering consulting base that supports them in devising mechanical integrity programs that both meet regulatory compliance standards and enable enhanced safety and uptime at their facilities.</w:t>
      </w:r>
    </w:p>
    <w:p>
      <w:pPr>
        <w:spacing w:after="0" w:line="183"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Expanding Addressable End-Markets</w:t>
      </w:r>
      <w:r>
        <w:rPr>
          <w:rFonts w:ascii="Times New Roman" w:cs="Times New Roman" w:eastAsia="Times New Roman" w:hAnsi="Times New Roman"/>
          <w:sz w:val="18"/>
          <w:szCs w:val="18"/>
          <w:color w:val="auto"/>
        </w:rPr>
        <w:t>. The continued emergence of and advances in asset protection technologies and software based systems are increasing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demand for asset protection solutions in applications where existing techniques were previously ineffective.</w:t>
      </w:r>
    </w:p>
    <w:p>
      <w:pPr>
        <w:spacing w:after="0" w:line="15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Expanding Aerospace Industry</w:t>
      </w:r>
      <w:r>
        <w:rPr>
          <w:rFonts w:ascii="Times New Roman" w:cs="Times New Roman" w:eastAsia="Times New Roman" w:hAnsi="Times New Roman"/>
          <w:sz w:val="18"/>
          <w:szCs w:val="18"/>
          <w:color w:val="auto"/>
        </w:rPr>
        <w:t>. We believe that increased demand will continue to come from the aerospace industry due to the approximately decade-long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backlog for next-generation commercial aircraft to be built, driving the need for advanced solutions that drive cost and quality efficiencies.</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60"/>
          </w:cols>
          <w:pgMar w:left="240" w:top="118" w:right="29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6"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Crude Oil Prices. </w:t>
      </w:r>
      <w:r>
        <w:rPr>
          <w:rFonts w:ascii="Times New Roman" w:cs="Times New Roman" w:eastAsia="Times New Roman" w:hAnsi="Times New Roman"/>
          <w:sz w:val="18"/>
          <w:szCs w:val="18"/>
          <w:color w:val="auto"/>
        </w:rPr>
        <w:t>During 2018, crude oil prices rebounded from prior year levels, with exception of the last two months of the year. In 2019, crude oil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recovered back to year-ago 2018 levels, and we believe that this present range for crude oil prices is expected to persist for the foreseeable future. As a result, we expect relatively stable oil and gas customer spend for inspection services throughout the remainder of the year, with spending on maintenance shutdowns in 2019 to remain steady with 2018 levels. This demand will be balanced against our continued focus on process efficiencies and cost savings initiatives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About Non-GAAP Measures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this MD&amp;A under the heading "Income (loss) from Operations", the non-GAAP financial performance measure "Income (loss) before special items” is used for each of our three segments, the Corporate segment and the "Total Company", with tables reconciling the measure to a financial measure under GAAP. This non-GAAP measure excludes from the GAAP measure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the Company’s or Segment’s core business operations. The acquisition related costs and special items can be a net expense or credit in any given period.</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believe investors and other users of our financial statements benefit from the presentation of "Income (loss) before special items" for each of our three segments, the Corporate segment and the Total Company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GAAP and/or necessarily comparable to other companies non-GAAP financial measures.</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240" w:top="118" w:right="319" w:bottom="1440" w:gutter="0" w:footer="0" w:header="0"/>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results of operations for the three months ended March 31, 2019 and March 31, 2018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1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7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196"/>
        </w:trPr>
        <w:tc>
          <w:tcPr>
            <w:tcW w:w="7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gridSpan w:val="4"/>
          </w:tcPr>
          <w:p>
            <w:pPr>
              <w:jc w:val="right"/>
              <w:ind w:right="1151"/>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255"/>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176,787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187,630</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1"/>
                <w:szCs w:val="21"/>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48,874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48,145</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Pr>
          <w:p>
            <w:pPr>
              <w:spacing w:after="0"/>
              <w:rPr>
                <w:sz w:val="21"/>
                <w:szCs w:val="21"/>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53,270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41,746</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 as a %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40" w:type="dxa"/>
            <w:vAlign w:val="bottom"/>
          </w:tcPr>
          <w:p>
            <w:pPr>
              <w:spacing w:after="0"/>
              <w:rPr>
                <w:sz w:val="21"/>
                <w:szCs w:val="21"/>
                <w:color w:val="auto"/>
              </w:rPr>
            </w:pPr>
          </w:p>
        </w:tc>
        <w:tc>
          <w:tcPr>
            <w:tcW w:w="14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6,399</w:t>
            </w:r>
          </w:p>
        </w:tc>
      </w:tr>
      <w:tr>
        <w:trPr>
          <w:trHeight w:val="27"/>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(Loss) income from Operations as a %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1,792</w:t>
            </w: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(7,923)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4,607</w:t>
            </w:r>
          </w:p>
        </w:tc>
      </w:tr>
      <w:tr>
        <w:trPr>
          <w:trHeight w:val="243"/>
        </w:trPr>
        <w:tc>
          <w:tcPr>
            <w:tcW w:w="7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40" w:type="dxa"/>
            <w:vAlign w:val="bottom"/>
          </w:tcPr>
          <w:p>
            <w:pPr>
              <w:spacing w:after="0"/>
              <w:rPr>
                <w:sz w:val="21"/>
                <w:szCs w:val="21"/>
                <w:color w:val="auto"/>
              </w:rPr>
            </w:pPr>
          </w:p>
        </w:tc>
        <w:tc>
          <w:tcPr>
            <w:tcW w:w="14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1,688</w:t>
            </w: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2,919</w:t>
            </w: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taxes</w:t>
            </w:r>
          </w:p>
        </w:tc>
        <w:tc>
          <w:tcPr>
            <w:tcW w:w="240" w:type="dxa"/>
            <w:vAlign w:val="bottom"/>
          </w:tcPr>
          <w:p>
            <w:pPr>
              <w:spacing w:after="0"/>
              <w:rPr>
                <w:sz w:val="21"/>
                <w:szCs w:val="21"/>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(loss) income attributable to Mistras Group, Inc.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2,907</w:t>
            </w: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Revenues for the three months ended March 31, 2019 were $176.8 million, a decrease of $10.8 million, or 6%, compared with the three months ended March 31,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segment for the three months ended March 31, 2019 and March 31, 2018 were as follows:</w:t>
      </w:r>
    </w:p>
    <w:p>
      <w:pPr>
        <w:spacing w:after="0" w:line="165"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24765</wp:posOffset>
            </wp:positionV>
            <wp:extent cx="2101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p>
      <w:pPr>
        <w:ind w:left="8440"/>
        <w:spacing w:after="0"/>
        <w:tabs>
          <w:tab w:leader="none" w:pos="10120" w:val="left"/>
        </w:tabs>
        <w:rPr>
          <w:sz w:val="20"/>
          <w:szCs w:val="20"/>
          <w:color w:val="auto"/>
        </w:rPr>
      </w:pPr>
      <w:r>
        <w:rPr>
          <w:rFonts w:ascii="Times New Roman" w:cs="Times New Roman" w:eastAsia="Times New Roman" w:hAnsi="Times New Roman"/>
          <w:sz w:val="14"/>
          <w:szCs w:val="14"/>
          <w:b w:val="1"/>
          <w:bCs w:val="1"/>
          <w:color w:val="auto"/>
        </w:rPr>
        <w:t>March 31, 2019</w:t>
      </w:r>
      <w:r>
        <w:rPr>
          <w:sz w:val="20"/>
          <w:szCs w:val="20"/>
          <w:color w:val="auto"/>
        </w:rPr>
        <w:tab/>
      </w:r>
      <w:r>
        <w:rPr>
          <w:rFonts w:ascii="Times New Roman" w:cs="Times New Roman" w:eastAsia="Times New Roman" w:hAnsi="Times New Roman"/>
          <w:sz w:val="14"/>
          <w:szCs w:val="14"/>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24765</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140,298</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145,595</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38,456</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5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6,184</w:t>
            </w:r>
          </w:p>
        </w:tc>
      </w:tr>
      <w:tr>
        <w:trPr>
          <w:trHeight w:val="27"/>
        </w:trPr>
        <w:tc>
          <w:tcPr>
            <w:tcW w:w="8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r>
      <w:tr>
        <w:trPr>
          <w:trHeight w:val="237"/>
        </w:trPr>
        <w:tc>
          <w:tcPr>
            <w:tcW w:w="81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176,787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187,630</w:t>
            </w:r>
          </w:p>
        </w:tc>
      </w:tr>
      <w:tr>
        <w:trPr>
          <w:trHeight w:val="27"/>
        </w:trPr>
        <w:tc>
          <w:tcPr>
            <w:tcW w:w="8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three months ended March 31, 2019, total revenues decreased 6% due to a combination of mid-single digit organic decline, which was primarily due to a $10 million reduction from a contract that ended after the first quarter of 2018, and a low-single digit unfavorable impact of foreign exchange rates, offset by low-single digit acquisition growth. Services segment revenues decreased 4%, driven by high single digit organic decline from the contract mentioned above, offset by mid-single digit acquisition growth. International segment revenues decreased 9%, driven by high single digit unfavorable impact of foreign exchange rates, as well as a low-single digit organic decline. Products and Systems segment revenues decreased by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due to a combination of less sales volume within the core business and the sale of a subsidiary within the segment during the third quarter of 2018.</w:t>
      </w:r>
    </w:p>
    <w:p>
      <w:pPr>
        <w:spacing w:after="0" w:line="22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Oil and gas customer revenues comprised approximately 57% and 60% of total revenues for the three months ended March 31, 2019 and 2018, respectively. Aerospace and defense customer revenues comprised approximately 14% and 15% of total revenues for the three months ended March 31, 2019 and 2018, respectively. The Company’s top ten customers comprised approximately 38% of total revenues for the three months ended March 31, 2019, as compared to 41% for the three months ended March 31, 2018, with no customer accounting for 10% or more of total revenues in either three-month period.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increased by $0.7 million, or 2%, in the three months ended March 31, 2019, on a sales decrease of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three months ended March 31, 2019 and March 31, 2018 was as follows:</w:t>
      </w:r>
    </w:p>
    <w:p>
      <w:pPr>
        <w:spacing w:after="0" w:line="381"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24765</wp:posOffset>
            </wp:positionV>
            <wp:extent cx="21869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103" w:lineRule="exact"/>
        <w:rPr>
          <w:sz w:val="20"/>
          <w:szCs w:val="20"/>
          <w:color w:val="auto"/>
        </w:rPr>
      </w:pPr>
    </w:p>
    <w:p>
      <w:pPr>
        <w:ind w:left="8340"/>
        <w:spacing w:after="0"/>
        <w:tabs>
          <w:tab w:leader="none" w:pos="10080" w:val="left"/>
        </w:tabs>
        <w:rPr>
          <w:sz w:val="20"/>
          <w:szCs w:val="20"/>
          <w:color w:val="auto"/>
        </w:rPr>
      </w:pPr>
      <w:r>
        <w:rPr>
          <w:rFonts w:ascii="Times New Roman" w:cs="Times New Roman" w:eastAsia="Times New Roman" w:hAnsi="Times New Roman"/>
          <w:sz w:val="14"/>
          <w:szCs w:val="14"/>
          <w:b w:val="1"/>
          <w:bCs w:val="1"/>
          <w:color w:val="auto"/>
        </w:rPr>
        <w:t>March 31, 2019</w:t>
      </w:r>
      <w:r>
        <w:rPr>
          <w:sz w:val="20"/>
          <w:szCs w:val="20"/>
          <w:color w:val="auto"/>
        </w:rPr>
        <w:tab/>
      </w:r>
      <w:r>
        <w:rPr>
          <w:rFonts w:ascii="Times New Roman" w:cs="Times New Roman" w:eastAsia="Times New Roman" w:hAnsi="Times New Roman"/>
          <w:sz w:val="14"/>
          <w:szCs w:val="14"/>
          <w:b w:val="1"/>
          <w:bCs w:val="1"/>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24765</wp:posOffset>
            </wp:positionV>
            <wp:extent cx="21869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3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37,365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34,710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23.8%</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5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10,707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27.8%</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Products and Systems</w:t>
            </w:r>
          </w:p>
        </w:tc>
        <w:tc>
          <w:tcPr>
            <w:tcW w:w="54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46.7%</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5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48,874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48,145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0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25.7%</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Gross profit margin was 27.6% and 25.7% for the three month periods ended March 31, 2019 and 2018, respectively. Services segment gross profit margins had a year-on-year increase of 280 basis points to 26.6% in the three months ended March 31, 2019, which primarily reflected a more favorable sales mix. International segment gross margins had a year-on-year increase of 170 basis points to 29.5% in the three months ended March 31, 2019. This increase was primarily driven by higher utilization of technical labor and overhead as well as a more favorable sales mix. Products and Systems segment gross margin had a year-on-year decrease of 1060 basis points to 36.1% in the three months ended March 31, 2019. This decrease was primarily driven by the reduction in revenues described above.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income (loss) from operations to income (loss) before special items for each of the Company's three segments and for the Company in total:</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gridSpan w:val="4"/>
          </w:tcPr>
          <w:p>
            <w:pPr>
              <w:jc w:val="right"/>
              <w:ind w:right="1051"/>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12,275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withdrawal expense</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9,647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11,242</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 from operations (GAAP)</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1,009</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income from operations (GAAP)</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income before special items (non-GAAP)</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Acquisition-related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before special items (non-GAAP)</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(7,030)</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304"/>
        </w:trPr>
        <w:tc>
          <w:tcPr>
            <w:tcW w:w="8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(Loss) income from operations (GAAP)</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6,399</w:t>
            </w:r>
          </w:p>
        </w:tc>
      </w:tr>
      <w:tr>
        <w:trPr>
          <w:trHeight w:val="237"/>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Pension withdrawal expense</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provision for troubled customers, net of recoveries</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Acquisition-related expense (benefit), net</w:t>
            </w: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5,494</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w:t>
      </w:r>
    </w:p>
    <w:p>
      <w:pPr>
        <w:spacing w:after="0" w:line="1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2019, income from operations (GAAP) decreased $10.8 million, or 169%, compared with the three months ended March 31, 2018, while income before special items (non-GAAP) decreased $3.2 million, or 58%. As a percentage of revenues, income before special items decreased by 160 basis points to 1.3% in the three months ended March 31, 2019 from 2.9% in the three months ended March 31, 2018.</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(GAAP), as a percentage of revenue, increased to 30% for the three months ended March 31, 2019 from 22%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2018. Operating expenses, excluding special items, (non-GAAP), as a percentage of revenues, was 26% of revenue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 compared to 23% for the three months ended March 31, 2018. The chart above highlights the special expense items that resulted in a higher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operating expense percentage for 2019 compared to 2018. In addition to the special items, for both GAAP and non-GAAP comparisons, there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 million of operating expenses for the Onstream acquisition, inclusive of depreciation and amortization of $1.3 million, which represented the majority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3% increase for the respective periods.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fourth quarter of 2018, we recorded a reserve of $0.7 million for a renewable energy industry customer of the Company’s Services Division, based in part on the available information about the financial difficulties of the customer. This customer filed for a voluntary insolvency proceeding on April 9, 2019 at which time payments under the previously agreed to payment plan ceased. As a result, during the first quarter of 2019, we recorded an additional charge of $5.7 million to fully reserve for the amount of the exposure related to this customer. During the first quarter of 2019 we additionally recorded a net $0.2 million recovery of an unrelated bad debt provision which we had initially recorded as a charge during the second quarter of 2017.</w:t>
      </w:r>
    </w:p>
    <w:p>
      <w:pPr>
        <w:spacing w:after="0" w:line="1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workforce of certain of the Company’s subsidiaries are unionized and the terms of employment for these workers are governed by collective bargaining agreements, or CBAs. Under these CBAs, the Company’s subsidiaries are required to contribute to the national pension funds for the unions representing these employees, which are multi-employer pension plans. The Company was notified that a significant project was awarded to another contractor in January 2018, and as a result, one of the Company’s subsidiaries experienced a significant reduction in the number of its employees covered by one of the CBAs. Under certain circumstances, such a reduction in the number of employees participating in multi-employer pension plans pursuant to this CBA could result in a complete or partial withdrawal liability to these multi-employer pension plans under the Employee Retirement Income Security Act of 1974 ("ERISA"). Management has explored options to retain a level of union work that would avoid withdrawal liability to the pension plans, but concluded during the third quarter of 2018 that the Company's subsidiaries probably would not obtain sufficient union work to avoid withdrawal liability. Therefore, the Company determined that it is probable that its subsidiary will incur a withdrawal liability related to these multi-employer pension plans. Accordingly, the Company recorded a charge of $5.9 million during the third quarter of 2018 and $0.5 million during the three months ended March 31, 2019 for this potential withdrawal liability. The balance of the estimated total amount of this potential liability as of March 31, 2019 is approximately $4.9 million, which is net of $1.5 million of payments made to one of the pension plans.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approximately $3.5 million and $1.8 million for the three months ended March 31, 2019 and 2018, respectively. The increases were due to borrowings on the Company's Credit Agreement attributable primarily to the acquisition completed during the fourth quarter of 2018, and to a lesser extent, from an increase in the base borrowing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effective income tax rate was approximately 33% and 37% for the three months ended March 31, 2019 and 2018, respectively. The effective income tax rate for the first quarter of 2019 and 2018 was higher than the statutory rate due to the impact of discrete items, GILTI and executive compensation provisions resulting from the passage of the Tax Act, and foreign tax rates different than statutory rates in the U.S.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are summarized in the table below: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64"/>
        </w:trPr>
        <w:tc>
          <w:tcPr>
            <w:tcW w:w="8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2018</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gridSpan w:val="4"/>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 in thousands)</w:t>
            </w: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8,177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5,818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w:t>
            </w:r>
          </w:p>
        </w:tc>
      </w:tr>
      <w:tr>
        <w:trPr>
          <w:trHeight w:val="243"/>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4,261</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284</w:t>
            </w:r>
          </w:p>
        </w:tc>
      </w:tr>
      <w:tr>
        <w:trPr>
          <w:trHeight w:val="257"/>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5,591</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cash provided by operating activities was $8.2 million, representing a year-on-year increase of $2.4 million, or 41%. The increase was primarily attributable to movements in working capital, including the timing of collections on accounts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cash used in investing activities was $5.0 million, compared with $4.8 million in 2018. Capital expenditures were $5.7 million for the first three months of 2019, compared with $5.3 million in the comparable 2018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by financing activities was $3.9 million for the three months ended March 31, 2019. The Company paid down $2.3 million, net, on its Credit Agreement, inclusive of quarterly payments of the Term Loan, as well as payments of $1.4 million of other debt and capital lease obligations. For the comparable period in 2018, net cash provided by financing activities was $4.3 million. The Company borrowed $7.9 million, net, on its Credit Agreement for working capital needs, offset by payments of $2.1 million of debt and capital lease obligations and $1.5 million of acquisition earnout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 net decrease of $0.2 million in the first three months of 2019, compared to a $0.3 million increase for the first three months of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The terms of our Credit Agreement have not changed from those set forth in Part II, Item 7 of our 2018 Annual Report under the Section “Liquidity and Capital Resources”, under the heading “Cash Balance and Credit Facility Borrowings,” and in Note 11 -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these condensed consolidated financial statements in this Quarterly Report, under the heading “Senior Credit Facility.”</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March 31, 2019, we had cash and cash equivalents totaling $24.6 million and available borrowing capacity of $114.1 million under our Credit Agreement with borrowings of $279.2 million and $5.4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March 31, 2019, the Company was in compliance with its Fixed Charge Coverage Ratio, but was not in compliance with its Funded Debt Leverage Ratio and obtained a waiver for such non-compliance (See Note 11 for the covenant requirements of our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our contractual obligations and outstanding indebtedness as disclosed in the 2018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2018 Annual Report.</w:t>
      </w:r>
    </w:p>
    <w:p>
      <w:pPr>
        <w:spacing w:after="0" w:line="15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118" w:right="279" w:bottom="1440" w:gutter="0" w:footer="0" w:header="0"/>
        </w:sectPr>
      </w:pPr>
    </w:p>
    <w:bookmarkStart w:id="36" w:name="page37"/>
    <w:bookmarkEnd w:id="36"/>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Company’s quantitative and qualitative disclosures about market risk as discussed in Part II, Item 7A “Quantitative and Qualitative Disclosures About Market Risk,” included in the 2018 Annual Report.</w:t>
      </w:r>
    </w:p>
    <w:p>
      <w:pPr>
        <w:spacing w:after="0" w:line="15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March 31, 2019,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Exchange Act is recorded, processed, summarized and reported within the time periods specified in SEC rules and forms.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that occurred during the Company’s quarter ended March 31, 2019 that has materially affected, or is reasonably likely to materially affect, such internal control over financial reporting.</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60"/>
          </w:cols>
          <w:pgMar w:left="240" w:top="118" w:right="299" w:bottom="1440" w:gutter="0" w:footer="0" w:header="0"/>
        </w:sectPr>
      </w:pPr>
    </w:p>
    <w:bookmarkStart w:id="37" w:name="page38"/>
    <w:bookmarkEnd w:id="37"/>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68"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See Note 13 -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condensed consolidated financial statements included in this Quarterly Report for a description of our legal proceedings. There have been no material developments with regard to any matters disclosed under Part I, Item 3 "Legal Proceedings" in our 2018 Annual Report, except as disclosed in such Note 14.</w:t>
      </w:r>
    </w:p>
    <w:p>
      <w:pPr>
        <w:spacing w:after="0" w:line="17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risk factors discussed under the “Risk Factors” section included in our 2018 Annual Report. There have been no material changes to the risk factors previously disclosed in the 2018 Annual Report, except that as disclosed above under “Management's Discussion and Analysis of Financial Condition and Results of Operations - Liquidity and Capital Resources,” the Company failed to maintain a Funded Debt Leverage Ratio of 4.00 to 1.00 for the twelve month period ended March 31, 2019, as required by the Credit Agreement, for which the Company received a waiver. The calculation period is a rolling twelve months, and there can be no assurance that the Company will be in compliance with this covenant at the end of the next quarter, and if necessary, similarly obtain a waiver of any such noncompliance. If we fail to comply with financial or other covenants in our Credit Agreement, we may be required to repay the indebtedness to our existing lenders, which may harm our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 of Equity Securities and Use of Proceeds</w:t>
      </w:r>
    </w:p>
    <w:p>
      <w:pPr>
        <w:spacing w:after="0" w:line="266" w:lineRule="exact"/>
        <w:rPr>
          <w:sz w:val="20"/>
          <w:szCs w:val="20"/>
          <w:color w:val="auto"/>
        </w:rPr>
      </w:pPr>
    </w:p>
    <w:p>
      <w:pPr>
        <w:ind w:left="660" w:right="8800" w:hanging="652"/>
        <w:spacing w:after="0" w:line="501" w:lineRule="auto"/>
        <w:tabs>
          <w:tab w:leader="none" w:pos="267"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Sales of Unregistered Securities </w:t>
      </w:r>
      <w:r>
        <w:rPr>
          <w:rFonts w:ascii="Times New Roman" w:cs="Times New Roman" w:eastAsia="Times New Roman" w:hAnsi="Times New Roman"/>
          <w:sz w:val="18"/>
          <w:szCs w:val="18"/>
          <w:color w:val="auto"/>
        </w:rPr>
        <w:t>None.</w:t>
      </w:r>
    </w:p>
    <w:p>
      <w:pPr>
        <w:ind w:left="660" w:right="6980" w:hanging="652"/>
        <w:spacing w:after="0" w:line="501" w:lineRule="auto"/>
        <w:tabs>
          <w:tab w:leader="none" w:pos="267"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Use of Proceeds from Public Offering of Common Stock </w:t>
      </w:r>
      <w:r>
        <w:rPr>
          <w:rFonts w:ascii="Times New Roman" w:cs="Times New Roman" w:eastAsia="Times New Roman" w:hAnsi="Times New Roman"/>
          <w:sz w:val="18"/>
          <w:szCs w:val="18"/>
          <w:color w:val="auto"/>
        </w:rPr>
        <w:t>None.</w:t>
      </w:r>
    </w:p>
    <w:p>
      <w:pPr>
        <w:ind w:left="260" w:hanging="252"/>
        <w:spacing w:after="0"/>
        <w:tabs>
          <w:tab w:leader="none" w:pos="2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Repurchases of Our Equity Securities</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 There were no shares of stock acquired during the quarter, and the share repurchase plan was terminated on April 1, 2019 as described below.</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26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220" w:type="dxa"/>
            <w:vAlign w:val="bottom"/>
          </w:tcPr>
          <w:p>
            <w:pPr>
              <w:spacing w:after="0"/>
              <w:rPr>
                <w:sz w:val="13"/>
                <w:szCs w:val="13"/>
                <w:color w:val="auto"/>
              </w:rPr>
            </w:pPr>
          </w:p>
        </w:tc>
        <w:tc>
          <w:tcPr>
            <w:tcW w:w="18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 Shares</w:t>
            </w:r>
          </w:p>
        </w:tc>
        <w:tc>
          <w:tcPr>
            <w:tcW w:w="0" w:type="dxa"/>
            <w:vAlign w:val="bottom"/>
          </w:tcPr>
          <w:p>
            <w:pPr>
              <w:spacing w:after="0"/>
              <w:rPr>
                <w:sz w:val="1"/>
                <w:szCs w:val="1"/>
                <w:color w:val="auto"/>
              </w:rPr>
            </w:pPr>
          </w:p>
        </w:tc>
      </w:tr>
      <w:tr>
        <w:trPr>
          <w:trHeight w:val="149"/>
        </w:trPr>
        <w:tc>
          <w:tcPr>
            <w:tcW w:w="1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2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 Announced</w:t>
            </w:r>
          </w:p>
        </w:tc>
        <w:tc>
          <w:tcPr>
            <w:tcW w:w="200" w:type="dxa"/>
            <w:vAlign w:val="bottom"/>
          </w:tcPr>
          <w:p>
            <w:pPr>
              <w:spacing w:after="0"/>
              <w:rPr>
                <w:sz w:val="12"/>
                <w:szCs w:val="12"/>
                <w:color w:val="auto"/>
              </w:rPr>
            </w:pPr>
          </w:p>
        </w:tc>
        <w:tc>
          <w:tcPr>
            <w:tcW w:w="22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 Purchased Under</w:t>
            </w:r>
          </w:p>
        </w:tc>
        <w:tc>
          <w:tcPr>
            <w:tcW w:w="0" w:type="dxa"/>
            <w:vAlign w:val="bottom"/>
          </w:tcPr>
          <w:p>
            <w:pPr>
              <w:spacing w:after="0"/>
              <w:rPr>
                <w:sz w:val="1"/>
                <w:szCs w:val="1"/>
                <w:color w:val="auto"/>
              </w:rPr>
            </w:pPr>
          </w:p>
        </w:tc>
      </w:tr>
      <w:tr>
        <w:trPr>
          <w:trHeight w:val="195"/>
        </w:trPr>
        <w:tc>
          <w:tcPr>
            <w:tcW w:w="1820" w:type="dxa"/>
            <w:vAlign w:val="bottom"/>
            <w:tcBorders>
              <w:bottom w:val="single" w:sz="8" w:color="auto"/>
            </w:tcBorders>
            <w:vMerge w:val="continue"/>
          </w:tcPr>
          <w:p>
            <w:pPr>
              <w:spacing w:after="0"/>
              <w:rPr>
                <w:sz w:val="16"/>
                <w:szCs w:val="16"/>
                <w:color w:val="auto"/>
              </w:rPr>
            </w:pPr>
          </w:p>
        </w:tc>
        <w:tc>
          <w:tcPr>
            <w:tcW w:w="25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 xml:space="preserve">the Plans or Programs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49"/>
        </w:trPr>
        <w:tc>
          <w:tcPr>
            <w:tcW w:w="1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January 31, 2019</w:t>
            </w:r>
          </w:p>
        </w:tc>
        <w:tc>
          <w:tcPr>
            <w:tcW w:w="2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Borders>
              <w:bottom w:val="single" w:sz="8" w:color="CCEEFF"/>
            </w:tcBorders>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25,088,000</w:t>
            </w:r>
          </w:p>
        </w:tc>
        <w:tc>
          <w:tcPr>
            <w:tcW w:w="0" w:type="dxa"/>
            <w:vAlign w:val="bottom"/>
          </w:tcPr>
          <w:p>
            <w:pPr>
              <w:spacing w:after="0"/>
              <w:rPr>
                <w:sz w:val="1"/>
                <w:szCs w:val="1"/>
                <w:color w:val="auto"/>
              </w:rPr>
            </w:pPr>
          </w:p>
        </w:tc>
      </w:tr>
      <w:tr>
        <w:trPr>
          <w:trHeight w:val="243"/>
        </w:trPr>
        <w:tc>
          <w:tcPr>
            <w:tcW w:w="1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28, 2019</w:t>
            </w:r>
          </w:p>
        </w:tc>
        <w:tc>
          <w:tcPr>
            <w:tcW w:w="2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25,088,000</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31, 2019</w:t>
            </w:r>
          </w:p>
        </w:tc>
        <w:tc>
          <w:tcPr>
            <w:tcW w:w="25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20,440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13.90</w:t>
            </w:r>
          </w:p>
        </w:tc>
        <w:tc>
          <w:tcPr>
            <w:tcW w:w="238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25,088,000</w:t>
            </w:r>
          </w:p>
        </w:tc>
        <w:tc>
          <w:tcPr>
            <w:tcW w:w="0" w:type="dxa"/>
            <w:vAlign w:val="bottom"/>
          </w:tcPr>
          <w:p>
            <w:pPr>
              <w:spacing w:after="0"/>
              <w:rPr>
                <w:sz w:val="1"/>
                <w:szCs w:val="1"/>
                <w:color w:val="auto"/>
              </w:rPr>
            </w:pPr>
          </w:p>
        </w:tc>
      </w:tr>
      <w:tr>
        <w:trPr>
          <w:trHeight w:val="27"/>
        </w:trPr>
        <w:tc>
          <w:tcPr>
            <w:tcW w:w="18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40" w:firstLine="8"/>
        <w:spacing w:after="0" w:line="266"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On October 7, 2015, the Company announced that its Board of Directors approved a share repurchase plan, which authorized the expenditure of up to $50.0 million for the purchase of the Company's common stock. Effective April 1, 2019, the Company's Board of Directors terminated its share repurchase plan, of which $25.1 million was remaining before the aforementioned termination of the plan.</w:t>
      </w:r>
    </w:p>
    <w:p>
      <w:pPr>
        <w:spacing w:after="0" w:line="17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219"/>
          </w:cols>
          <w:pgMar w:left="240" w:top="118"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1160" w:type="dxa"/>
            <w:vAlign w:val="bottom"/>
            <w:gridSpan w:val="5"/>
          </w:tcPr>
          <w:p>
            <w:pPr>
              <w:spacing w:after="0"/>
              <w:rPr>
                <w:rFonts w:ascii="Times New Roman" w:cs="Times New Roman" w:eastAsia="Times New Roman" w:hAnsi="Times New Roman"/>
                <w:sz w:val="14"/>
                <w:szCs w:val="14"/>
                <w:color w:val="0000EE"/>
              </w:rPr>
            </w:pPr>
            <w:hyperlink w:anchor="page3">
              <w:r>
                <w:rPr>
                  <w:rFonts w:ascii="Times New Roman" w:cs="Times New Roman" w:eastAsia="Times New Roman" w:hAnsi="Times New Roman"/>
                  <w:sz w:val="14"/>
                  <w:szCs w:val="14"/>
                  <w:color w:val="0000EE"/>
                </w:rPr>
                <w:t>Table of Contents</w:t>
              </w:r>
            </w:hyperlink>
          </w:p>
        </w:tc>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466"/>
        </w:trPr>
        <w:tc>
          <w:tcPr>
            <w:tcW w:w="10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589"/>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24"/>
                <w:szCs w:val="24"/>
                <w:color w:val="auto"/>
              </w:rPr>
            </w:pPr>
          </w:p>
        </w:tc>
        <w:tc>
          <w:tcPr>
            <w:tcW w:w="10240" w:type="dxa"/>
            <w:vAlign w:val="bottom"/>
            <w:gridSpan w:val="3"/>
          </w:tcPr>
          <w:p>
            <w:pPr>
              <w:ind w:left="47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525"/>
        </w:trPr>
        <w:tc>
          <w:tcPr>
            <w:tcW w:w="360" w:type="dxa"/>
            <w:vAlign w:val="bottom"/>
            <w:tcBorders>
              <w:top w:val="single" w:sz="8" w:color="auto"/>
            </w:tcBorders>
            <w:gridSpan w:val="2"/>
          </w:tcPr>
          <w:p>
            <w:pPr>
              <w:ind w:left="40"/>
              <w:spacing w:after="0"/>
              <w:rPr>
                <w:rFonts w:ascii="Times New Roman" w:cs="Times New Roman" w:eastAsia="Times New Roman" w:hAnsi="Times New Roman"/>
                <w:sz w:val="18"/>
                <w:szCs w:val="18"/>
                <w:color w:val="0000FF"/>
                <w:w w:val="95"/>
              </w:rPr>
            </w:pPr>
            <w:hyperlink w:anchor="page42">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hyperlink>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gridSpan w:val="3"/>
          </w:tcPr>
          <w:p>
            <w:pPr>
              <w:spacing w:after="0"/>
              <w:rPr>
                <w:rFonts w:ascii="Times New Roman" w:cs="Times New Roman" w:eastAsia="Times New Roman" w:hAnsi="Times New Roman"/>
                <w:sz w:val="18"/>
                <w:szCs w:val="18"/>
                <w:color w:val="0000FF"/>
              </w:rPr>
            </w:pPr>
            <w:hyperlink w:anchor="page42">
              <w:r>
                <w:rPr>
                  <w:rFonts w:ascii="Times New Roman" w:cs="Times New Roman" w:eastAsia="Times New Roman" w:hAnsi="Times New Roman"/>
                  <w:sz w:val="18"/>
                  <w:szCs w:val="18"/>
                  <w:color w:val="0000FF"/>
                </w:rPr>
                <w:t>Certification of Chief Executive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60" w:type="dxa"/>
            <w:vAlign w:val="bottom"/>
            <w:tcBorders>
              <w:left w:val="single" w:sz="8" w:color="0000FF"/>
            </w:tcBorders>
          </w:tcPr>
          <w:p>
            <w:pPr>
              <w:spacing w:after="0" w:line="20" w:lineRule="exact"/>
              <w:rPr>
                <w:sz w:val="1"/>
                <w:szCs w:val="1"/>
                <w:color w:val="auto"/>
              </w:rPr>
            </w:pPr>
          </w:p>
        </w:tc>
      </w:tr>
      <w:tr>
        <w:trPr>
          <w:trHeight w:val="520"/>
        </w:trPr>
        <w:tc>
          <w:tcPr>
            <w:tcW w:w="360" w:type="dxa"/>
            <w:vAlign w:val="bottom"/>
            <w:gridSpan w:val="2"/>
          </w:tcPr>
          <w:p>
            <w:pPr>
              <w:ind w:left="40"/>
              <w:spacing w:after="0"/>
              <w:rPr>
                <w:rFonts w:ascii="Times New Roman" w:cs="Times New Roman" w:eastAsia="Times New Roman" w:hAnsi="Times New Roman"/>
                <w:sz w:val="18"/>
                <w:szCs w:val="18"/>
                <w:color w:val="0000FF"/>
                <w:w w:val="95"/>
              </w:rPr>
            </w:pPr>
            <w:hyperlink w:anchor="page43">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spacing w:after="0"/>
              <w:rPr>
                <w:rFonts w:ascii="Times New Roman" w:cs="Times New Roman" w:eastAsia="Times New Roman" w:hAnsi="Times New Roman"/>
                <w:sz w:val="18"/>
                <w:szCs w:val="18"/>
                <w:color w:val="0000FF"/>
              </w:rPr>
            </w:pPr>
            <w:hyperlink w:anchor="page43">
              <w:r>
                <w:rPr>
                  <w:rFonts w:ascii="Times New Roman" w:cs="Times New Roman" w:eastAsia="Times New Roman" w:hAnsi="Times New Roman"/>
                  <w:sz w:val="18"/>
                  <w:szCs w:val="18"/>
                  <w:color w:val="0000FF"/>
                </w:rPr>
                <w:t>Certification of Chief Financial Officer pursuant to Rule 13a-14(a) under the Securities Exchange Act of 1934.</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574"/>
        </w:trPr>
        <w:tc>
          <w:tcPr>
            <w:tcW w:w="360" w:type="dxa"/>
            <w:vAlign w:val="bottom"/>
            <w:gridSpan w:val="2"/>
          </w:tcPr>
          <w:p>
            <w:pPr>
              <w:ind w:left="40"/>
              <w:spacing w:after="0"/>
              <w:rPr>
                <w:rFonts w:ascii="Times New Roman" w:cs="Times New Roman" w:eastAsia="Times New Roman" w:hAnsi="Times New Roman"/>
                <w:sz w:val="18"/>
                <w:szCs w:val="18"/>
                <w:color w:val="0000FF"/>
                <w:w w:val="95"/>
              </w:rPr>
            </w:pPr>
            <w:hyperlink w:anchor="page44">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hyperlink>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
          </w:tcPr>
          <w:p>
            <w:pPr>
              <w:spacing w:after="0"/>
              <w:rPr>
                <w:rFonts w:ascii="Times New Roman" w:cs="Times New Roman" w:eastAsia="Times New Roman" w:hAnsi="Times New Roman"/>
                <w:sz w:val="18"/>
                <w:szCs w:val="18"/>
                <w:color w:val="0000FF"/>
              </w:rPr>
            </w:pPr>
            <w:hyperlink w:anchor="page44">
              <w:r>
                <w:rPr>
                  <w:rFonts w:ascii="Times New Roman" w:cs="Times New Roman" w:eastAsia="Times New Roman" w:hAnsi="Times New Roman"/>
                  <w:sz w:val="18"/>
                  <w:szCs w:val="18"/>
                  <w:color w:val="0000FF"/>
                </w:rPr>
                <w:t>Certification pursuant to Section 906 of the Sarbanes-Oxley Act of 2002.</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shd w:val="clear" w:color="auto" w:fill="0000FF"/>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561"/>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540"/>
        </w:trPr>
        <w:tc>
          <w:tcPr>
            <w:tcW w:w="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918"/>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gridSpan w:val="2"/>
          </w:tcPr>
          <w:p>
            <w:pPr>
              <w:jc w:val="right"/>
              <w:ind w:right="552"/>
              <w:spacing w:after="0"/>
              <w:rPr>
                <w:sz w:val="20"/>
                <w:szCs w:val="20"/>
                <w:color w:val="auto"/>
              </w:rPr>
            </w:pPr>
            <w:r>
              <w:rPr>
                <w:rFonts w:ascii="Times New Roman" w:cs="Times New Roman" w:eastAsia="Times New Roman" w:hAnsi="Times New Roman"/>
                <w:sz w:val="18"/>
                <w:szCs w:val="18"/>
                <w:color w:val="auto"/>
              </w:rPr>
              <w:t>37</w:t>
            </w:r>
          </w:p>
        </w:tc>
        <w:tc>
          <w:tcPr>
            <w:tcW w:w="27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40" w:name="page41"/>
    <w:bookmarkEnd w:id="40"/>
    <w:p>
      <w:pPr>
        <w:spacing w:after="0"/>
        <w:rPr>
          <w:rFonts w:ascii="Times New Roman" w:cs="Times New Roman" w:eastAsia="Times New Roman" w:hAnsi="Times New Roman"/>
          <w:sz w:val="14"/>
          <w:szCs w:val="14"/>
          <w:u w:val="single" w:color="auto"/>
          <w:color w:val="0000EE"/>
        </w:rPr>
      </w:pPr>
      <w:hyperlink w:anchor="page3">
        <w:r>
          <w:rPr>
            <w:rFonts w:ascii="Times New Roman" w:cs="Times New Roman" w:eastAsia="Times New Roman" w:hAnsi="Times New Roman"/>
            <w:sz w:val="14"/>
            <w:szCs w:val="14"/>
            <w:u w:val="single" w:color="auto"/>
            <w:color w:val="0000EE"/>
          </w:rPr>
          <w:t>Table of Contents</w:t>
        </w:r>
      </w:hyperlink>
    </w:p>
    <w:p>
      <w:pPr>
        <w:spacing w:after="0" w:line="244"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MISTRAS GROUP, INC.</w:t>
      </w:r>
    </w:p>
    <w:p>
      <w:pPr>
        <w:spacing w:after="0" w:line="337" w:lineRule="exact"/>
        <w:rPr>
          <w:sz w:val="20"/>
          <w:szCs w:val="20"/>
          <w:color w:val="auto"/>
        </w:rPr>
      </w:pPr>
    </w:p>
    <w:p>
      <w:pPr>
        <w:ind w:left="496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34290</wp:posOffset>
            </wp:positionV>
            <wp:extent cx="38334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6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6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(Principal Financial and Accounting Officer and duly authorized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200" w:lineRule="exact"/>
        <w:rPr>
          <w:sz w:val="20"/>
          <w:szCs w:val="20"/>
          <w:color w:val="auto"/>
        </w:rPr>
      </w:pPr>
    </w:p>
    <w:p>
      <w:pPr>
        <w:spacing w:after="0" w:line="26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40"/>
          </w:cols>
          <w:pgMar w:left="240" w:top="118" w:right="7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Dennis Bertolotti, certify that:</w:t>
      </w:r>
    </w:p>
    <w:p>
      <w:pPr>
        <w:spacing w:after="0" w:line="171"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25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Dennis Bertolotti</w:t>
      </w:r>
    </w:p>
    <w:p>
      <w:pPr>
        <w:spacing w:after="0" w:line="14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657"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171"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Mistras Group, Inc.;</w:t>
      </w:r>
    </w:p>
    <w:p>
      <w:pPr>
        <w:spacing w:after="0" w:line="171"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2019</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1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657"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March 31, 2019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7, 2019</w:t>
      </w:r>
    </w:p>
    <w:p>
      <w:pPr>
        <w:spacing w:after="0" w:line="3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Dennis Bertolotti</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6874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Edward J. Prajzner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3"/>
    </w:lvl>
  </w:abstractNum>
  <w:abstractNum w:abstractNumId="4">
    <w:nsid w:val="41A7C4C9"/>
    <w:multiLevelType w:val="hybridMultilevel"/>
    <w:lvl w:ilvl="0">
      <w:lvlJc w:val="left"/>
      <w:lvlText w:val="%1."/>
      <w:numFmt w:val="decimal"/>
      <w:start w:val="4"/>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5"/>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7"/>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1."/>
      <w:numFmt w:val="decimal"/>
      <w:start w:val="9"/>
    </w:lvl>
  </w:abstractNum>
  <w:abstractNum w:abstractNumId="12">
    <w:nsid w:val="257130A3"/>
    <w:multiLevelType w:val="hybridMultilevel"/>
    <w:lvl w:ilvl="0">
      <w:lvlJc w:val="left"/>
      <w:lvlText w:val="%1."/>
      <w:numFmt w:val="decimal"/>
      <w:start w:val="10"/>
    </w:lvl>
  </w:abstractNum>
  <w:abstractNum w:abstractNumId="13">
    <w:nsid w:val="62BBD95A"/>
    <w:multiLevelType w:val="hybridMultilevel"/>
    <w:lvl w:ilvl="0">
      <w:lvlJc w:val="left"/>
      <w:lvlText w:val="%1."/>
      <w:numFmt w:val="decimal"/>
      <w:start w:val="12"/>
    </w:lvl>
  </w:abstractNum>
  <w:abstractNum w:abstractNumId="14">
    <w:nsid w:val="436C6125"/>
    <w:multiLevelType w:val="hybridMultilevel"/>
    <w:lvl w:ilvl="0">
      <w:lvlJc w:val="left"/>
      <w:lvlText w:val="%1."/>
      <w:numFmt w:val="decimal"/>
      <w:start w:val="14"/>
    </w:lvl>
  </w:abstractNum>
  <w:abstractNum w:abstractNumId="15">
    <w:nsid w:val="628C895D"/>
    <w:multiLevelType w:val="hybridMultilevel"/>
    <w:lvl w:ilvl="0">
      <w:lvlJc w:val="left"/>
      <w:lvlText w:val="%1."/>
      <w:numFmt w:val="decimal"/>
      <w:start w:val="15"/>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2019-12-28T12:32:04Z</dcterms:created>
  <dcterms:modified xsi:type="dcterms:W3CDTF">2019-12-28T12:32:04Z</dcterms:modified>
</cp:coreProperties>
</file>